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2" w:firstLine="708"/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bookmarkStart w:id="0" w:name="_GoBack"/>
      <w:r>
        <w:rPr>
          <w:rFonts w:ascii="Times New Roman" w:hAnsi="Times New Roman" w:eastAsia="Times New Roman" w:cs="Times New Roman"/>
          <w:b/>
          <w:color w:val="333333"/>
          <w:sz w:val="22"/>
          <w:szCs w:val="22"/>
          <w:shd w:val="clear" w:color="auto" w:fill="ffffff"/>
        </w:rPr>
        <w:t xml:space="preserve">Приложение 1</w:t>
      </w:r>
      <w:bookmarkEnd w:id="0"/>
      <w:r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С тарифными планами </w:t>
      </w:r>
      <w:hyperlink r:id="rId8" w:tooltip="https://www.rshb.ru/business/business-cards" w:history="1">
        <w:r>
          <w:rPr>
            <w:rStyle w:val="836"/>
            <w:rFonts w:ascii="Times New Roman" w:hAnsi="Times New Roman" w:eastAsia="Times New Roman" w:cs="Times New Roman"/>
            <w:color w:val="337ab7"/>
            <w:sz w:val="22"/>
            <w:szCs w:val="22"/>
            <w:u w:val="none"/>
            <w:shd w:val="clear" w:color="auto" w:fill="ffffff"/>
          </w:rPr>
          <w:t xml:space="preserve">бизнес-карт</w:t>
        </w:r>
      </w:hyperlink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 можно ознакомиться в соответствующих разделах.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- срок зачисления средств зависит от банка получателя перевода, и может составлять от нескольких минут до нескольких дней.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333333"/>
          <w:sz w:val="22"/>
          <w:szCs w:val="22"/>
          <w:shd w:val="clear" w:color="auto" w:fill="ffffff"/>
        </w:rPr>
        <w:t xml:space="preserve">- банки-эмитенты карт могут устанавливать дополнительные условия и ограничения для проведения переводов с карты на карту.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КОМИССИИ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6"/>
        <w:gridCol w:w="4110"/>
      </w:tblGrid>
      <w:tr>
        <w:tblPrEx/>
        <w:trPr/>
        <w:tc>
          <w:tcPr>
            <w:gridSpan w:val="3"/>
            <w:shd w:val="clear" w:color="auto" w:fill="auto"/>
            <w:tcW w:w="9354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tabs>
                <w:tab w:val="left" w:pos="0" w:leader="none"/>
                <w:tab w:val="left" w:pos="1134" w:leader="none"/>
                <w:tab w:val="left" w:pos="3569" w:leader="none"/>
              </w:tabs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Операция перевода денежных средств по номеру банковской карты с использованием Бизнес-карты/реквизитов Бизнес-карты АО «Россельхозбанк»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на платежные карты физических лиц АО «Россельхозбанк» и карты других банков-эмитентов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r>
          </w:p>
        </w:tc>
      </w:tr>
      <w:tr>
        <w:tblPrEx/>
        <w:trPr>
          <w:trHeight w:val="1592"/>
        </w:trPr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до 500 000,00 руб. (включительно) по Счету в течение календарного месяца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1,5% от суммы операции, мин.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перации перевода денежных средств с использованием реквизитов Бизнес-карты осуществляются в валюте Российской Федерации на банковские карты, эмитированные кредитными организациями на территории Российской Федерации. Операции перевода могут быть осуществлен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ы на странице Банка по адресу www.rshb.business.p2p, в ИС Свой Бизнес, банкоматах и информационно-платежных терминалах Банка, а также в банкоматно-терминальной сети и интернет-ресурсах сторонних организаций.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свыше 500 000,00 руб. по Счету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6% от суммы операции, мин.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4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ЛИМИТЫ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4435"/>
        <w:gridCol w:w="2974"/>
      </w:tblGrid>
      <w:tr>
        <w:tblPrEx/>
        <w:trPr/>
        <w:tc>
          <w:tcPr>
            <w:gridSpan w:val="3"/>
            <w:shd w:val="clear" w:color="auto" w:fill="auto"/>
            <w:tcW w:w="5000" w:type="pct"/>
            <w:textDirection w:val="lrTb"/>
            <w:noWrap w:val="false"/>
          </w:tcPr>
          <w:p>
            <w:pPr>
              <w:spacing w:before="120" w:after="12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  <w:t xml:space="preserve">Лимит переводов денежных средств  по номеру банковской карты с использованием Бизнес-карты/реквизитов Бизнес-карты АО «Россельхозбанк» 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 платежные карты физических лиц АО «Россельхозбанк» и карты других банков-эмитентов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  <w:t xml:space="preserve">: </w:t>
            </w:r>
            <w:r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</w:p>
        </w:tc>
      </w:tr>
      <w:tr>
        <w:tblPrEx/>
        <w:trPr>
          <w:trHeight w:val="793"/>
        </w:trPr>
        <w:tc>
          <w:tcPr>
            <w:shd w:val="clear" w:color="auto" w:fill="auto"/>
            <w:tcW w:w="1036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в сутки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37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100 000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1" w:type="pct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Лимит устанавливается суммарно на все Счета Клиента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036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- в месяц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2373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1 000 000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1591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contextualSpacing/>
        <w:jc w:val="both"/>
        <w:spacing w:after="0" w:line="256" w:lineRule="auto"/>
        <w:tabs>
          <w:tab w:val="left" w:pos="1276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character" w:styleId="837">
    <w:name w:val="FollowedHyperlink"/>
    <w:basedOn w:val="832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rshb.ru/business/business-card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Осокин Андрей Сергеевич</dc:creator>
  <cp:keywords/>
  <dc:description/>
  <cp:lastModifiedBy>motuznaya-tv</cp:lastModifiedBy>
  <cp:revision>7</cp:revision>
  <dcterms:created xsi:type="dcterms:W3CDTF">2023-08-24T14:42:00Z</dcterms:created>
  <dcterms:modified xsi:type="dcterms:W3CDTF">2025-04-29T13:49:45Z</dcterms:modified>
</cp:coreProperties>
</file>