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49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hAnsi="Times New Roman" w:cs="Times New Roman"/>
          <w:sz w:val="20"/>
          <w:szCs w:val="20"/>
        </w:rPr>
        <w:t xml:space="preserve">АО «Россельхозбанк»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10206"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tbl>
      <w:tblPr>
        <w:tblStyle w:val="1149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4854"/>
        <w:gridCol w:w="3188"/>
        <w:gridCol w:w="6258"/>
      </w:tblGrid>
      <w:tr>
        <w:tblPrEx/>
        <w:trPr>
          <w:jc w:val="center"/>
        </w:trPr>
        <w:tc>
          <w:tcPr>
            <w:gridSpan w:val="4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«Карта Хозяина»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="0" w:beforeAutospacing="0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с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01.05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.2025)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Применяется для кредитных карт с льготным периодом кредитования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W w:w="183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63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074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210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183" w:type="pct"/>
            <w:textDirection w:val="lrTb"/>
            <w:noWrap w:val="false"/>
          </w:tcPr>
          <w:p>
            <w:pPr>
              <w:pStyle w:val="1150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817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150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8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150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8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01.08.2020 выпуск банковской карты не осуществляется.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 карт осуществляется только в период действия кредитного лимита или по заявкам, поданным в срок до 01.08.2020.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/замена карт/дополнительных карт осуществляется только в период действия кредитного лимита.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150"/>
              <w:numPr>
                <w:ilvl w:val="0"/>
                <w:numId w:val="1"/>
              </w:numPr>
              <w:ind w:left="0" w:firstLine="0"/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 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0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150"/>
              <w:numPr>
                <w:ilvl w:val="0"/>
                <w:numId w:val="4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Style w:val="1153"/>
                <w:rFonts w:ascii="Times New Roman" w:hAnsi="Times New Roman" w:cs="Times New Roman"/>
                <w:bCs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Карта МИР Моментального выпуска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(для карт в виде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форм-фактора)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08" w:type="pct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составляет 5 лет и зависит от наличия карт данных категорий в подразделении АО «Россельхозбанк»</w:t>
            </w:r>
            <w:r>
              <w:rPr>
                <w:rStyle w:val="1153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1150"/>
              <w:numPr>
                <w:ilvl w:val="0"/>
                <w:numId w:val="4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08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W w:w="5021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680"/>
        <w:gridCol w:w="3088"/>
        <w:gridCol w:w="6577"/>
      </w:tblGrid>
      <w:tr>
        <w:tblPrEx/>
        <w:trPr/>
        <w:tc>
          <w:tcPr>
            <w:shd w:val="clear" w:color="auto" w:fill="92d050"/>
            <w:tcW w:w="570" w:type="dxa"/>
            <w:vAlign w:val="center"/>
            <w:textDirection w:val="lrTb"/>
            <w:noWrap w:val="false"/>
          </w:tcPr>
          <w:p>
            <w:pPr>
              <w:ind w:left="0" w:firstLine="0"/>
              <w:spacing w:before="120" w:after="12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br w:type="page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W w:w="14346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pStyle w:val="1150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page" w:clear="all"/>
              <w:t xml:space="preserve">2.1.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1434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выпуск карты/дополнительной карты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ind w:left="144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3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57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замены карты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 по причине изменения данных держателя/держателя дополнительной карты, признания Банком факта неправомерного (без согласия держателя) использования карты посторонними лицами, механического повреждения карты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условии, что до окончания срока действия карты осталось не менее 3 (трех) календарных месяцев, а также в некоторых иных случаях (по решению Банка) комиссия не взимается, при этом держателю будет предоставлена карта со сроком действия заменяемой карты.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pStyle w:val="1150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1434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банковской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ind w:left="426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(М)/Карта МИР Моментального выпуска/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3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6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Ежемесячная комиссия за обслуживание дополнительной карты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3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Style w:val="1149"/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4664"/>
        <w:gridCol w:w="13"/>
        <w:gridCol w:w="391"/>
        <w:gridCol w:w="2681"/>
        <w:gridCol w:w="6408"/>
      </w:tblGrid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Borders>
              <w:bottom w:val="single" w:color="auto" w:sz="4" w:space="0"/>
            </w:tcBorders>
            <w:tcW w:w="7748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jc w:val="both"/>
              <w:tabs>
                <w:tab w:val="left" w:pos="3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31"/>
              <w:jc w:val="both"/>
              <w:tabs>
                <w:tab w:val="left" w:pos="1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3%* от суммы общей ссудной задолженности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10%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"/>
              </w:numPr>
              <w:ind w:left="231"/>
              <w:jc w:val="both"/>
              <w:tabs>
                <w:tab w:val="left" w:pos="1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"/>
              </w:numPr>
              <w:ind w:left="231"/>
              <w:jc w:val="both"/>
              <w:tabs>
                <w:tab w:val="left" w:pos="1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сумма начисленных процентов на льготную 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период(ы)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pStyle w:val="1150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минимального 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0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Клиентом самостоятельно в системах «Ин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тернет-банк» и «Мобильный банк»;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0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0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0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*Минимальный платеж в размере 3% от суммы общей ссудной задолженности применяется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кредитных карт, выпущенных с 14.09.2015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77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restart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Датой окончания начисления процентов считается дата окончательного</w:t>
            </w:r>
            <w:r>
              <w:rPr>
                <w:rFonts w:ascii="Times New Roman" w:hAnsi="Times New Roman" w:cs="Times New Roman"/>
              </w:rPr>
              <w:t xml:space="preserve"> возврата кредита, определенная в соответствии с условиями кредитного договора,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40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Borders>
              <w:bottom w:val="single" w:color="auto" w:sz="4" w:space="0"/>
            </w:tcBorders>
            <w:tcW w:w="14156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40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c использованием услуги «Перевод денежных средств по реквизит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 получателя на сайте партнера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устанавливается и ведется каждым подразделением Банка самостоятельно в электронном виде и доводится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реквизитов платежных карт»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посредством банкоматов, информационно-платежных терминалов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77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Условий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по 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Банка и на официальном интернет-сайте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по адресу </w:t>
            </w:r>
            <w:hyperlink r:id="rId11" w:tooltip="http://www.rshb.ru" w:history="1">
              <w:r>
                <w:rPr>
                  <w:rStyle w:val="1164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«ВымпелКом» (Билайн) и ПАО «Мегафон» - 10 000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3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«ВымпелКом» (Билайн) и ПАО «Мегафон» - 30 руб., 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40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vAlign w:val="center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92d050"/>
            <w:tcW w:w="141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к счету, открытому с 05.04.2022.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«Райффайзенбанк», 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textDirection w:val="lrTb"/>
            <w:noWrap w:val="false"/>
          </w:tcPr>
          <w:p>
            <w:pPr>
              <w:pStyle w:val="1151"/>
              <w:jc w:val="both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141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14156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вкладов,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«до востребования»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или счета другого физического лица в пределах одного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</w:t>
            </w:r>
            <w:r>
              <w:rPr>
                <w:rFonts w:ascii="Times New Roman" w:hAnsi="Times New Roman" w:cs="Times New Roman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</w:rPr>
              <w:t xml:space="preserve">, в</w:t>
            </w:r>
            <w:r>
              <w:rPr>
                <w:rFonts w:ascii="Times New Roman" w:hAnsi="Times New Roman" w:cs="Times New Roman"/>
              </w:rPr>
              <w:t xml:space="preserve"> случаях, предусмотренных Договором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</w:rPr>
              <w:t xml:space="preserve">9.2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Перевод денежных</w:t>
            </w:r>
            <w:r>
              <w:rPr>
                <w:rFonts w:ascii="Times New Roman" w:hAnsi="Times New Roman" w:cs="Times New Roman"/>
              </w:rPr>
              <w:t xml:space="preserve"> средств производится на счета физических, юридических лиц и ИП (за исключением налоговых платежей и платежей в бюджет) открытых в 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14156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с карты на</w:t>
            </w:r>
            <w:r>
              <w:rPr>
                <w:rFonts w:ascii="Times New Roman" w:hAnsi="Times New Roman" w:cs="Times New Roman"/>
                <w:b/>
              </w:rPr>
              <w:t xml:space="preserve"> карту с использованием услуги </w:t>
            </w:r>
            <w:r>
              <w:rPr>
                <w:rFonts w:ascii="Times New Roman" w:hAnsi="Times New Roman" w:cs="Times New Roman"/>
                <w:b/>
              </w:rPr>
              <w:t xml:space="preserve">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Банка</w:t>
            </w:r>
            <w:r>
              <w:rPr>
                <w:rFonts w:ascii="Times New Roman" w:hAnsi="Times New Roman" w:cs="Times New Roman"/>
                <w:b/>
              </w:rPr>
              <w:t xml:space="preserve">/«Перевод по реквизитам платежных карт»/банкоматов </w:t>
            </w:r>
            <w:r>
              <w:rPr>
                <w:rFonts w:ascii="Times New Roman" w:hAnsi="Times New Roman" w:cs="Times New Roman"/>
              </w:rPr>
              <w:t xml:space="preserve">Банка </w:t>
            </w:r>
            <w:r>
              <w:rPr>
                <w:rFonts w:ascii="Times New Roman" w:hAnsi="Times New Roman" w:cs="Times New Roman"/>
                <w:b/>
              </w:rPr>
              <w:t xml:space="preserve">по реквизиту </w:t>
            </w:r>
            <w:r>
              <w:rPr>
                <w:rFonts w:ascii="Times New Roman" w:hAnsi="Times New Roman" w:cs="Times New Roman"/>
                <w:b/>
              </w:rPr>
              <w:t xml:space="preserve">«№ карты»</w:t>
            </w:r>
            <w:r>
              <w:rPr>
                <w:rFonts w:ascii="Times New Roman" w:hAnsi="Times New Roman" w:cs="Times New Roman"/>
                <w:b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Merge w:val="restart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Merge w:val="continue"/>
            <w:textDirection w:val="lrTb"/>
            <w:noWrap w:val="false"/>
          </w:tcPr>
          <w:p>
            <w:pPr>
              <w:pStyle w:val="1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Федерации*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6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/банкоматов/сайтов сторонних банков и сайтов иных организаций*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3085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W w:w="77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Банка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4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Банка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141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9.2.1.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еждународной платежной системой,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(доллары США)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9.2.2.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Style w:val="1153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Банка, выдавшем карту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774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640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подразделения Банка,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календарный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vAlign w:val="center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ользовании карты без его согласия, принятого по телефону службы поддержки или в виде SMS-сообщения (для подключивших услугу «Уведомления»), через систему дистанционного банковского обслуживания (для пользователей системы «Интернет-банк» и «Мобильный банк»)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утраченной осуществляется согласно Правилам предоставления и использования кредитных карт 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соответствии с п. 2 настоящего Тарифного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vAlign w:val="center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774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взимается при подключении услуги, далее - ежемесячно. Порядок предоставления услуги «Уведомления» определяется Условиями предоставления услуги «Уведомления»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счете</w:t>
            </w:r>
            <w:r>
              <w:rPr>
                <w:rStyle w:val="1153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3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 последних операций)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20" w:type="dxa"/>
            <w:vAlign w:val="center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92d050"/>
            <w:tcW w:w="14156" w:type="dxa"/>
            <w:vAlign w:val="center"/>
            <w:textDirection w:val="lrTb"/>
            <w:noWrap w:val="false"/>
          </w:tcPr>
          <w:p>
            <w:pPr>
              <w:pStyle w:val="1150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обслуживание кредитной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bottom w:val="single" w:color="auto" w:sz="4" w:space="0"/>
            </w:tcBorders>
            <w:tcW w:w="506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 Банка 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681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408" w:type="dxa"/>
            <w:vAlign w:val="center"/>
            <w:textDirection w:val="lrTb"/>
            <w:noWrap w:val="false"/>
          </w:tcPr>
          <w:p>
            <w:pPr>
              <w:pStyle w:val="115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993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Peterburg">
    <w:panose1 w:val="02000603000000000000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Карта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может быть оформлена в виде форм-фактора, приобретенного в Торговой организации, с привязкой к счету, к которому имеется действующая карта: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Клиента при оформлении Анкеты-заявления на получение карты и установление кредитного лимита;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представителя Клиента при оформлении Заявления на получение дополнительной карты АО «Россельхозбанк».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Комиссия за обслуживание карты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в виде форм-фактора, приобретенного в Торговой организации, не взимается.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Информация о сроке действ</w:t>
      </w:r>
      <w:r>
        <w:rPr>
          <w:rFonts w:ascii="Times New Roman" w:hAnsi="Times New Roman" w:cs="Times New Roman"/>
          <w:sz w:val="18"/>
          <w:szCs w:val="18"/>
        </w:rPr>
        <w:t xml:space="preserve">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АО «Россельхозбанк» и в Службу поддержки АО «Россельхозбанк» по телефону, указанному на сайте </w:t>
      </w:r>
      <w:hyperlink r:id="rId1" w:tooltip="http://www.rshb.ru" w:history="1">
        <w:r>
          <w:rPr>
            <w:rStyle w:val="1164"/>
            <w:rFonts w:ascii="Times New Roman" w:hAnsi="Times New Roman" w:cs="Times New Roman"/>
            <w:sz w:val="18"/>
            <w:szCs w:val="18"/>
          </w:rPr>
          <w:t xml:space="preserve">www.rshb.ru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Безналичные операции, операции выдачи наличных денежных средств, пополнения счета по картам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в виде форм-фактора осуществляются в банкоматах/информационно-платежных терминалах/электронных терминалах с бесконтактным обслуживанием.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 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51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</w:t>
      </w:r>
      <w:r>
        <w:rPr>
          <w:rFonts w:ascii="Times New Roman" w:hAnsi="Times New Roman" w:cs="Times New Roman"/>
          <w:sz w:val="18"/>
          <w:szCs w:val="18"/>
        </w:rPr>
        <w:t xml:space="preserve">Банка:www.rshb.ru</w:t>
      </w:r>
      <w:r>
        <w:rPr>
          <w:rFonts w:ascii="Times New Roman" w:hAnsi="Times New Roman" w:cs="Times New Roman"/>
          <w:sz w:val="18"/>
          <w:szCs w:val="18"/>
        </w:rPr>
        <w:t xml:space="preserve">, в пунктах выдачи наличных и банкоматах Банка.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5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79966016"/>
      <w:docPartObj>
        <w:docPartGallery w:val="Page Numbers (Top of Page)"/>
        <w:docPartUnique w:val="true"/>
      </w:docPartObj>
      <w:rPr/>
    </w:sdtPr>
    <w:sdtContent>
      <w:p>
        <w:pPr>
          <w:pStyle w:val="116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11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644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0" w:firstLine="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5.2.%1.1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5.%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5.%1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80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180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5.2.%1.2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7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502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862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9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9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502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8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5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3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7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4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18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4"/>
      <w:numFmt w:val="decimal"/>
      <w:pStyle w:val="1171"/>
      <w:isLgl w:val="false"/>
      <w:suff w:val="tab"/>
      <w:lvlText w:val="%1.%2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9"/>
  </w:num>
  <w:num w:numId="3">
    <w:abstractNumId w:val="44"/>
  </w:num>
  <w:num w:numId="4">
    <w:abstractNumId w:val="2"/>
  </w:num>
  <w:num w:numId="5">
    <w:abstractNumId w:val="12"/>
  </w:num>
  <w:num w:numId="6">
    <w:abstractNumId w:val="14"/>
  </w:num>
  <w:num w:numId="7">
    <w:abstractNumId w:val="21"/>
  </w:num>
  <w:num w:numId="8">
    <w:abstractNumId w:val="0"/>
  </w:num>
  <w:num w:numId="9">
    <w:abstractNumId w:val="6"/>
  </w:num>
  <w:num w:numId="10">
    <w:abstractNumId w:val="48"/>
  </w:num>
  <w:num w:numId="11">
    <w:abstractNumId w:val="8"/>
  </w:num>
  <w:num w:numId="12">
    <w:abstractNumId w:val="32"/>
  </w:num>
  <w:num w:numId="13">
    <w:abstractNumId w:val="25"/>
  </w:num>
  <w:num w:numId="14">
    <w:abstractNumId w:val="4"/>
  </w:num>
  <w:num w:numId="15">
    <w:abstractNumId w:val="22"/>
  </w:num>
  <w:num w:numId="16">
    <w:abstractNumId w:val="42"/>
  </w:num>
  <w:num w:numId="17">
    <w:abstractNumId w:val="39"/>
  </w:num>
  <w:num w:numId="18">
    <w:abstractNumId w:val="28"/>
  </w:num>
  <w:num w:numId="19">
    <w:abstractNumId w:val="1"/>
  </w:num>
  <w:num w:numId="20">
    <w:abstractNumId w:val="41"/>
  </w:num>
  <w:num w:numId="21">
    <w:abstractNumId w:val="36"/>
  </w:num>
  <w:num w:numId="22">
    <w:abstractNumId w:val="38"/>
  </w:num>
  <w:num w:numId="23">
    <w:abstractNumId w:val="23"/>
  </w:num>
  <w:num w:numId="24">
    <w:abstractNumId w:val="13"/>
  </w:num>
  <w:num w:numId="25">
    <w:abstractNumId w:val="20"/>
  </w:num>
  <w:num w:numId="26">
    <w:abstractNumId w:val="31"/>
  </w:num>
  <w:num w:numId="27">
    <w:abstractNumId w:val="47"/>
  </w:num>
  <w:num w:numId="28">
    <w:abstractNumId w:val="26"/>
  </w:num>
  <w:num w:numId="29">
    <w:abstractNumId w:val="16"/>
  </w:num>
  <w:num w:numId="30">
    <w:abstractNumId w:val="30"/>
  </w:num>
  <w:num w:numId="31">
    <w:abstractNumId w:val="45"/>
  </w:num>
  <w:num w:numId="32">
    <w:abstractNumId w:val="40"/>
  </w:num>
  <w:num w:numId="33">
    <w:abstractNumId w:val="15"/>
  </w:num>
  <w:num w:numId="34">
    <w:abstractNumId w:val="5"/>
  </w:num>
  <w:num w:numId="35">
    <w:abstractNumId w:val="18"/>
  </w:num>
  <w:num w:numId="36">
    <w:abstractNumId w:val="27"/>
  </w:num>
  <w:num w:numId="37">
    <w:abstractNumId w:val="10"/>
  </w:num>
  <w:num w:numId="38">
    <w:abstractNumId w:val="7"/>
  </w:num>
  <w:num w:numId="39">
    <w:abstractNumId w:val="11"/>
  </w:num>
  <w:num w:numId="40">
    <w:abstractNumId w:val="29"/>
  </w:num>
  <w:num w:numId="41">
    <w:abstractNumId w:val="46"/>
  </w:num>
  <w:num w:numId="42">
    <w:abstractNumId w:val="34"/>
  </w:num>
  <w:num w:numId="43">
    <w:abstractNumId w:val="3"/>
  </w:num>
  <w:num w:numId="44">
    <w:abstractNumId w:val="24"/>
  </w:num>
  <w:num w:numId="45">
    <w:abstractNumId w:val="33"/>
  </w:num>
  <w:num w:numId="46">
    <w:abstractNumId w:val="35"/>
  </w:num>
  <w:num w:numId="47">
    <w:abstractNumId w:val="37"/>
  </w:num>
  <w:num w:numId="48">
    <w:abstractNumId w:val="4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75">
    <w:name w:val="Heading 1"/>
    <w:basedOn w:val="1144"/>
    <w:next w:val="1144"/>
    <w:link w:val="9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76">
    <w:name w:val="Heading 1 Char"/>
    <w:basedOn w:val="1145"/>
    <w:link w:val="975"/>
    <w:uiPriority w:val="9"/>
    <w:rPr>
      <w:rFonts w:ascii="Arial" w:hAnsi="Arial" w:eastAsia="Arial" w:cs="Arial"/>
      <w:sz w:val="40"/>
      <w:szCs w:val="40"/>
    </w:rPr>
  </w:style>
  <w:style w:type="paragraph" w:styleId="977">
    <w:name w:val="Heading 2"/>
    <w:basedOn w:val="1144"/>
    <w:next w:val="1144"/>
    <w:link w:val="9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78">
    <w:name w:val="Heading 2 Char"/>
    <w:basedOn w:val="1145"/>
    <w:link w:val="977"/>
    <w:uiPriority w:val="9"/>
    <w:rPr>
      <w:rFonts w:ascii="Arial" w:hAnsi="Arial" w:eastAsia="Arial" w:cs="Arial"/>
      <w:sz w:val="34"/>
    </w:rPr>
  </w:style>
  <w:style w:type="paragraph" w:styleId="979">
    <w:name w:val="Heading 3"/>
    <w:basedOn w:val="1144"/>
    <w:next w:val="1144"/>
    <w:link w:val="9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80">
    <w:name w:val="Heading 3 Char"/>
    <w:basedOn w:val="1145"/>
    <w:link w:val="979"/>
    <w:uiPriority w:val="9"/>
    <w:rPr>
      <w:rFonts w:ascii="Arial" w:hAnsi="Arial" w:eastAsia="Arial" w:cs="Arial"/>
      <w:sz w:val="30"/>
      <w:szCs w:val="30"/>
    </w:rPr>
  </w:style>
  <w:style w:type="paragraph" w:styleId="981">
    <w:name w:val="Heading 4"/>
    <w:basedOn w:val="1144"/>
    <w:next w:val="1144"/>
    <w:link w:val="9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2">
    <w:name w:val="Heading 4 Char"/>
    <w:basedOn w:val="1145"/>
    <w:link w:val="981"/>
    <w:uiPriority w:val="9"/>
    <w:rPr>
      <w:rFonts w:ascii="Arial" w:hAnsi="Arial" w:eastAsia="Arial" w:cs="Arial"/>
      <w:b/>
      <w:bCs/>
      <w:sz w:val="26"/>
      <w:szCs w:val="26"/>
    </w:rPr>
  </w:style>
  <w:style w:type="paragraph" w:styleId="983">
    <w:name w:val="Heading 5"/>
    <w:basedOn w:val="1144"/>
    <w:next w:val="1144"/>
    <w:link w:val="9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4">
    <w:name w:val="Heading 5 Char"/>
    <w:basedOn w:val="1145"/>
    <w:link w:val="983"/>
    <w:uiPriority w:val="9"/>
    <w:rPr>
      <w:rFonts w:ascii="Arial" w:hAnsi="Arial" w:eastAsia="Arial" w:cs="Arial"/>
      <w:b/>
      <w:bCs/>
      <w:sz w:val="24"/>
      <w:szCs w:val="24"/>
    </w:rPr>
  </w:style>
  <w:style w:type="paragraph" w:styleId="985">
    <w:name w:val="Heading 6"/>
    <w:basedOn w:val="1144"/>
    <w:next w:val="1144"/>
    <w:link w:val="9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6">
    <w:name w:val="Heading 6 Char"/>
    <w:basedOn w:val="1145"/>
    <w:link w:val="985"/>
    <w:uiPriority w:val="9"/>
    <w:rPr>
      <w:rFonts w:ascii="Arial" w:hAnsi="Arial" w:eastAsia="Arial" w:cs="Arial"/>
      <w:b/>
      <w:bCs/>
      <w:sz w:val="22"/>
      <w:szCs w:val="22"/>
    </w:rPr>
  </w:style>
  <w:style w:type="paragraph" w:styleId="987">
    <w:name w:val="Heading 7"/>
    <w:basedOn w:val="1144"/>
    <w:next w:val="1144"/>
    <w:link w:val="9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8">
    <w:name w:val="Heading 7 Char"/>
    <w:basedOn w:val="1145"/>
    <w:link w:val="9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9">
    <w:name w:val="Heading 8"/>
    <w:basedOn w:val="1144"/>
    <w:next w:val="1144"/>
    <w:link w:val="9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0">
    <w:name w:val="Heading 8 Char"/>
    <w:basedOn w:val="1145"/>
    <w:link w:val="989"/>
    <w:uiPriority w:val="9"/>
    <w:rPr>
      <w:rFonts w:ascii="Arial" w:hAnsi="Arial" w:eastAsia="Arial" w:cs="Arial"/>
      <w:i/>
      <w:iCs/>
      <w:sz w:val="22"/>
      <w:szCs w:val="22"/>
    </w:rPr>
  </w:style>
  <w:style w:type="paragraph" w:styleId="991">
    <w:name w:val="Heading 9"/>
    <w:basedOn w:val="1144"/>
    <w:next w:val="1144"/>
    <w:link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2">
    <w:name w:val="Heading 9 Char"/>
    <w:basedOn w:val="1145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993">
    <w:name w:val="No Spacing"/>
    <w:uiPriority w:val="1"/>
    <w:qFormat/>
    <w:pPr>
      <w:spacing w:before="0" w:after="0" w:line="240" w:lineRule="auto"/>
    </w:pPr>
  </w:style>
  <w:style w:type="paragraph" w:styleId="994">
    <w:name w:val="Title"/>
    <w:basedOn w:val="1144"/>
    <w:next w:val="1144"/>
    <w:link w:val="9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5">
    <w:name w:val="Title Char"/>
    <w:basedOn w:val="1145"/>
    <w:link w:val="994"/>
    <w:uiPriority w:val="10"/>
    <w:rPr>
      <w:sz w:val="48"/>
      <w:szCs w:val="48"/>
    </w:rPr>
  </w:style>
  <w:style w:type="paragraph" w:styleId="996">
    <w:name w:val="Subtitle"/>
    <w:basedOn w:val="1144"/>
    <w:next w:val="1144"/>
    <w:link w:val="997"/>
    <w:uiPriority w:val="11"/>
    <w:qFormat/>
    <w:pPr>
      <w:spacing w:before="200" w:after="200"/>
    </w:pPr>
    <w:rPr>
      <w:sz w:val="24"/>
      <w:szCs w:val="24"/>
    </w:rPr>
  </w:style>
  <w:style w:type="character" w:styleId="997">
    <w:name w:val="Subtitle Char"/>
    <w:basedOn w:val="1145"/>
    <w:link w:val="996"/>
    <w:uiPriority w:val="11"/>
    <w:rPr>
      <w:sz w:val="24"/>
      <w:szCs w:val="24"/>
    </w:rPr>
  </w:style>
  <w:style w:type="paragraph" w:styleId="998">
    <w:name w:val="Quote"/>
    <w:basedOn w:val="1144"/>
    <w:next w:val="1144"/>
    <w:link w:val="999"/>
    <w:uiPriority w:val="29"/>
    <w:qFormat/>
    <w:pPr>
      <w:ind w:left="720" w:right="720"/>
    </w:pPr>
    <w:rPr>
      <w:i/>
    </w:rPr>
  </w:style>
  <w:style w:type="character" w:styleId="999">
    <w:name w:val="Quote Char"/>
    <w:link w:val="998"/>
    <w:uiPriority w:val="29"/>
    <w:rPr>
      <w:i/>
    </w:rPr>
  </w:style>
  <w:style w:type="paragraph" w:styleId="1000">
    <w:name w:val="Intense Quote"/>
    <w:basedOn w:val="1144"/>
    <w:next w:val="1144"/>
    <w:link w:val="10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1">
    <w:name w:val="Intense Quote Char"/>
    <w:link w:val="1000"/>
    <w:uiPriority w:val="30"/>
    <w:rPr>
      <w:i/>
    </w:rPr>
  </w:style>
  <w:style w:type="character" w:styleId="1002">
    <w:name w:val="Header Char"/>
    <w:basedOn w:val="1145"/>
    <w:link w:val="1166"/>
    <w:uiPriority w:val="99"/>
  </w:style>
  <w:style w:type="character" w:styleId="1003">
    <w:name w:val="Footer Char"/>
    <w:basedOn w:val="1145"/>
    <w:link w:val="1168"/>
    <w:uiPriority w:val="99"/>
  </w:style>
  <w:style w:type="paragraph" w:styleId="1004">
    <w:name w:val="Caption"/>
    <w:basedOn w:val="1144"/>
    <w:next w:val="11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5">
    <w:name w:val="Caption Char"/>
    <w:basedOn w:val="1004"/>
    <w:link w:val="1168"/>
    <w:uiPriority w:val="99"/>
  </w:style>
  <w:style w:type="table" w:styleId="1006">
    <w:name w:val="Table Grid Light"/>
    <w:basedOn w:val="11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>
    <w:name w:val="Plain Table 1"/>
    <w:basedOn w:val="11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8">
    <w:name w:val="Plain Table 2"/>
    <w:basedOn w:val="11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9">
    <w:name w:val="Plain Table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0">
    <w:name w:val="Plain Table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Plain Table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2">
    <w:name w:val="Grid Table 1 Light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1 Light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2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4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4">
    <w:name w:val="Grid Table 4 - Accent 1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5">
    <w:name w:val="Grid Table 4 - Accent 2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6">
    <w:name w:val="Grid Table 4 - Accent 3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7">
    <w:name w:val="Grid Table 4 - Accent 4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8">
    <w:name w:val="Grid Table 4 - Accent 5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9">
    <w:name w:val="Grid Table 4 - Accent 6"/>
    <w:basedOn w:val="11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0">
    <w:name w:val="Grid Table 5 Dark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1">
    <w:name w:val="Grid Table 5 Dark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42">
    <w:name w:val="Grid Table 5 Dark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43">
    <w:name w:val="Grid Table 5 Dark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44">
    <w:name w:val="Grid Table 5 Dark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46">
    <w:name w:val="Grid Table 5 Dark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47">
    <w:name w:val="Grid Table 6 Colorful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8">
    <w:name w:val="Grid Table 6 Colorful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9">
    <w:name w:val="Grid Table 6 Colorful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0">
    <w:name w:val="Grid Table 6 Colorful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1">
    <w:name w:val="Grid Table 6 Colorful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2">
    <w:name w:val="Grid Table 6 Colorful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3">
    <w:name w:val="Grid Table 6 Colorful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4">
    <w:name w:val="Grid Table 7 Colorful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7 Colorful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9">
    <w:name w:val="List Table 2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0">
    <w:name w:val="List Table 2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1">
    <w:name w:val="List Table 2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2">
    <w:name w:val="List Table 2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3">
    <w:name w:val="List Table 2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4">
    <w:name w:val="List Table 2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5">
    <w:name w:val="List Table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3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5 Dark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5 Dark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6 Colorful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7">
    <w:name w:val="List Table 6 Colorful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8">
    <w:name w:val="List Table 6 Colorful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9">
    <w:name w:val="List Table 6 Colorful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0">
    <w:name w:val="List Table 6 Colorful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1">
    <w:name w:val="List Table 6 Colorful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2">
    <w:name w:val="List Table 6 Colorful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3">
    <w:name w:val="List Table 7 Colorful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4">
    <w:name w:val="List Table 7 Colorful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05">
    <w:name w:val="List Table 7 Colorful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06">
    <w:name w:val="List Table 7 Colorful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07">
    <w:name w:val="List Table 7 Colorful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08">
    <w:name w:val="List Table 7 Colorful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09">
    <w:name w:val="List Table 7 Colorful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10">
    <w:name w:val="Lined - Accent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Lined - Accent 1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12">
    <w:name w:val="Lined - Accent 2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13">
    <w:name w:val="Lined - Accent 3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14">
    <w:name w:val="Lined - Accent 4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15">
    <w:name w:val="Lined - Accent 5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16">
    <w:name w:val="Lined - Accent 6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17">
    <w:name w:val="Bordered &amp; Lined - Accent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8">
    <w:name w:val="Bordered &amp; Lined - Accent 1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19">
    <w:name w:val="Bordered &amp; Lined - Accent 2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20">
    <w:name w:val="Bordered &amp; Lined - Accent 3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21">
    <w:name w:val="Bordered &amp; Lined - Accent 4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22">
    <w:name w:val="Bordered &amp; Lined - Accent 5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23">
    <w:name w:val="Bordered &amp; Lined - Accent 6"/>
    <w:basedOn w:val="11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24">
    <w:name w:val="Bordered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5">
    <w:name w:val="Bordered - Accent 1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6">
    <w:name w:val="Bordered - Accent 2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7">
    <w:name w:val="Bordered - Accent 3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8">
    <w:name w:val="Bordered - Accent 4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9">
    <w:name w:val="Bordered - Accent 5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0">
    <w:name w:val="Bordered - Accent 6"/>
    <w:basedOn w:val="11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1">
    <w:name w:val="Footnote Text Char"/>
    <w:link w:val="1151"/>
    <w:uiPriority w:val="99"/>
    <w:rPr>
      <w:sz w:val="18"/>
    </w:rPr>
  </w:style>
  <w:style w:type="character" w:styleId="1132">
    <w:name w:val="Endnote Text Char"/>
    <w:link w:val="1161"/>
    <w:uiPriority w:val="99"/>
    <w:rPr>
      <w:sz w:val="20"/>
    </w:rPr>
  </w:style>
  <w:style w:type="paragraph" w:styleId="1133">
    <w:name w:val="toc 1"/>
    <w:basedOn w:val="1144"/>
    <w:next w:val="1144"/>
    <w:uiPriority w:val="39"/>
    <w:unhideWhenUsed/>
    <w:pPr>
      <w:ind w:left="0" w:right="0" w:firstLine="0"/>
      <w:spacing w:after="57"/>
    </w:pPr>
  </w:style>
  <w:style w:type="paragraph" w:styleId="1134">
    <w:name w:val="toc 2"/>
    <w:basedOn w:val="1144"/>
    <w:next w:val="1144"/>
    <w:uiPriority w:val="39"/>
    <w:unhideWhenUsed/>
    <w:pPr>
      <w:ind w:left="283" w:right="0" w:firstLine="0"/>
      <w:spacing w:after="57"/>
    </w:pPr>
  </w:style>
  <w:style w:type="paragraph" w:styleId="1135">
    <w:name w:val="toc 3"/>
    <w:basedOn w:val="1144"/>
    <w:next w:val="1144"/>
    <w:uiPriority w:val="39"/>
    <w:unhideWhenUsed/>
    <w:pPr>
      <w:ind w:left="567" w:right="0" w:firstLine="0"/>
      <w:spacing w:after="57"/>
    </w:pPr>
  </w:style>
  <w:style w:type="paragraph" w:styleId="1136">
    <w:name w:val="toc 4"/>
    <w:basedOn w:val="1144"/>
    <w:next w:val="1144"/>
    <w:uiPriority w:val="39"/>
    <w:unhideWhenUsed/>
    <w:pPr>
      <w:ind w:left="850" w:right="0" w:firstLine="0"/>
      <w:spacing w:after="57"/>
    </w:pPr>
  </w:style>
  <w:style w:type="paragraph" w:styleId="1137">
    <w:name w:val="toc 5"/>
    <w:basedOn w:val="1144"/>
    <w:next w:val="1144"/>
    <w:uiPriority w:val="39"/>
    <w:unhideWhenUsed/>
    <w:pPr>
      <w:ind w:left="1134" w:right="0" w:firstLine="0"/>
      <w:spacing w:after="57"/>
    </w:pPr>
  </w:style>
  <w:style w:type="paragraph" w:styleId="1138">
    <w:name w:val="toc 6"/>
    <w:basedOn w:val="1144"/>
    <w:next w:val="1144"/>
    <w:uiPriority w:val="39"/>
    <w:unhideWhenUsed/>
    <w:pPr>
      <w:ind w:left="1417" w:right="0" w:firstLine="0"/>
      <w:spacing w:after="57"/>
    </w:pPr>
  </w:style>
  <w:style w:type="paragraph" w:styleId="1139">
    <w:name w:val="toc 7"/>
    <w:basedOn w:val="1144"/>
    <w:next w:val="1144"/>
    <w:uiPriority w:val="39"/>
    <w:unhideWhenUsed/>
    <w:pPr>
      <w:ind w:left="1701" w:right="0" w:firstLine="0"/>
      <w:spacing w:after="57"/>
    </w:pPr>
  </w:style>
  <w:style w:type="paragraph" w:styleId="1140">
    <w:name w:val="toc 8"/>
    <w:basedOn w:val="1144"/>
    <w:next w:val="1144"/>
    <w:uiPriority w:val="39"/>
    <w:unhideWhenUsed/>
    <w:pPr>
      <w:ind w:left="1984" w:right="0" w:firstLine="0"/>
      <w:spacing w:after="57"/>
    </w:pPr>
  </w:style>
  <w:style w:type="paragraph" w:styleId="1141">
    <w:name w:val="toc 9"/>
    <w:basedOn w:val="1144"/>
    <w:next w:val="1144"/>
    <w:uiPriority w:val="39"/>
    <w:unhideWhenUsed/>
    <w:pPr>
      <w:ind w:left="2268" w:right="0" w:firstLine="0"/>
      <w:spacing w:after="57"/>
    </w:pPr>
  </w:style>
  <w:style w:type="paragraph" w:styleId="1142">
    <w:name w:val="TOC Heading"/>
    <w:uiPriority w:val="39"/>
    <w:unhideWhenUsed/>
  </w:style>
  <w:style w:type="paragraph" w:styleId="1143">
    <w:name w:val="table of figures"/>
    <w:basedOn w:val="1144"/>
    <w:next w:val="1144"/>
    <w:uiPriority w:val="99"/>
    <w:unhideWhenUsed/>
    <w:pPr>
      <w:spacing w:after="0" w:afterAutospacing="0"/>
    </w:pPr>
  </w:style>
  <w:style w:type="paragraph" w:styleId="1144" w:default="1">
    <w:name w:val="Normal"/>
    <w:qFormat/>
  </w:style>
  <w:style w:type="character" w:styleId="1145" w:default="1">
    <w:name w:val="Default Paragraph Font"/>
    <w:uiPriority w:val="1"/>
    <w:semiHidden/>
    <w:unhideWhenUsed/>
  </w:style>
  <w:style w:type="table" w:styleId="11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7" w:default="1">
    <w:name w:val="No List"/>
    <w:uiPriority w:val="99"/>
    <w:semiHidden/>
    <w:unhideWhenUsed/>
  </w:style>
  <w:style w:type="paragraph" w:styleId="1148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149">
    <w:name w:val="Table Grid"/>
    <w:basedOn w:val="11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0">
    <w:name w:val="List Paragraph"/>
    <w:basedOn w:val="1144"/>
    <w:uiPriority w:val="34"/>
    <w:qFormat/>
    <w:pPr>
      <w:contextualSpacing/>
      <w:ind w:left="720"/>
    </w:pPr>
  </w:style>
  <w:style w:type="paragraph" w:styleId="1151">
    <w:name w:val="footnote text"/>
    <w:basedOn w:val="1144"/>
    <w:link w:val="1152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52" w:customStyle="1">
    <w:name w:val="Текст сноски Знак"/>
    <w:basedOn w:val="1145"/>
    <w:link w:val="1151"/>
    <w:uiPriority w:val="99"/>
    <w:qFormat/>
    <w:rPr>
      <w:sz w:val="20"/>
      <w:szCs w:val="20"/>
    </w:rPr>
  </w:style>
  <w:style w:type="character" w:styleId="1153">
    <w:name w:val="footnote reference"/>
    <w:basedOn w:val="1145"/>
    <w:uiPriority w:val="99"/>
    <w:unhideWhenUsed/>
    <w:qFormat/>
    <w:rPr>
      <w:vertAlign w:val="superscript"/>
    </w:rPr>
  </w:style>
  <w:style w:type="character" w:styleId="1154">
    <w:name w:val="annotation reference"/>
    <w:basedOn w:val="1145"/>
    <w:uiPriority w:val="99"/>
    <w:semiHidden/>
    <w:unhideWhenUsed/>
    <w:rPr>
      <w:sz w:val="16"/>
      <w:szCs w:val="16"/>
    </w:rPr>
  </w:style>
  <w:style w:type="paragraph" w:styleId="1155">
    <w:name w:val="annotation text"/>
    <w:basedOn w:val="1144"/>
    <w:link w:val="115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56" w:customStyle="1">
    <w:name w:val="Текст примечания Знак"/>
    <w:basedOn w:val="1145"/>
    <w:link w:val="1155"/>
    <w:uiPriority w:val="99"/>
    <w:semiHidden/>
    <w:rPr>
      <w:sz w:val="20"/>
      <w:szCs w:val="20"/>
    </w:rPr>
  </w:style>
  <w:style w:type="paragraph" w:styleId="1157">
    <w:name w:val="annotation subject"/>
    <w:basedOn w:val="1155"/>
    <w:next w:val="1155"/>
    <w:link w:val="1158"/>
    <w:uiPriority w:val="99"/>
    <w:semiHidden/>
    <w:unhideWhenUsed/>
    <w:rPr>
      <w:b/>
      <w:bCs/>
    </w:rPr>
  </w:style>
  <w:style w:type="character" w:styleId="1158" w:customStyle="1">
    <w:name w:val="Тема примечания Знак"/>
    <w:basedOn w:val="1156"/>
    <w:link w:val="1157"/>
    <w:uiPriority w:val="99"/>
    <w:semiHidden/>
    <w:rPr>
      <w:b/>
      <w:bCs/>
      <w:sz w:val="20"/>
      <w:szCs w:val="20"/>
    </w:rPr>
  </w:style>
  <w:style w:type="paragraph" w:styleId="1159">
    <w:name w:val="Balloon Text"/>
    <w:basedOn w:val="1144"/>
    <w:link w:val="11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60" w:customStyle="1">
    <w:name w:val="Текст выноски Знак"/>
    <w:basedOn w:val="1145"/>
    <w:link w:val="1159"/>
    <w:uiPriority w:val="99"/>
    <w:semiHidden/>
    <w:rPr>
      <w:rFonts w:ascii="Tahoma" w:hAnsi="Tahoma" w:cs="Tahoma"/>
      <w:sz w:val="16"/>
      <w:szCs w:val="16"/>
    </w:rPr>
  </w:style>
  <w:style w:type="paragraph" w:styleId="1161">
    <w:name w:val="endnote text"/>
    <w:basedOn w:val="1144"/>
    <w:link w:val="116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62" w:customStyle="1">
    <w:name w:val="Текст концевой сноски Знак"/>
    <w:basedOn w:val="1145"/>
    <w:link w:val="1161"/>
    <w:uiPriority w:val="99"/>
    <w:semiHidden/>
    <w:rPr>
      <w:sz w:val="20"/>
      <w:szCs w:val="20"/>
    </w:rPr>
  </w:style>
  <w:style w:type="character" w:styleId="1163">
    <w:name w:val="endnote reference"/>
    <w:basedOn w:val="1145"/>
    <w:uiPriority w:val="99"/>
    <w:semiHidden/>
    <w:unhideWhenUsed/>
    <w:rPr>
      <w:vertAlign w:val="superscript"/>
    </w:rPr>
  </w:style>
  <w:style w:type="character" w:styleId="1164">
    <w:name w:val="Hyperlink"/>
    <w:basedOn w:val="1145"/>
    <w:uiPriority w:val="99"/>
    <w:unhideWhenUsed/>
    <w:rPr>
      <w:color w:val="0000ff" w:themeColor="hyperlink"/>
      <w:u w:val="single"/>
    </w:rPr>
  </w:style>
  <w:style w:type="paragraph" w:styleId="1165">
    <w:name w:val="Revision"/>
    <w:hidden/>
    <w:uiPriority w:val="99"/>
    <w:semiHidden/>
    <w:pPr>
      <w:spacing w:after="0" w:line="240" w:lineRule="auto"/>
    </w:pPr>
  </w:style>
  <w:style w:type="paragraph" w:styleId="1166">
    <w:name w:val="Header"/>
    <w:basedOn w:val="1144"/>
    <w:link w:val="11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67" w:customStyle="1">
    <w:name w:val="Верхний колонтитул Знак"/>
    <w:basedOn w:val="1145"/>
    <w:link w:val="1166"/>
    <w:uiPriority w:val="99"/>
  </w:style>
  <w:style w:type="paragraph" w:styleId="1168">
    <w:name w:val="Footer"/>
    <w:basedOn w:val="1144"/>
    <w:link w:val="11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69" w:customStyle="1">
    <w:name w:val="Нижний колонтитул Знак"/>
    <w:basedOn w:val="1145"/>
    <w:link w:val="1168"/>
    <w:uiPriority w:val="99"/>
  </w:style>
  <w:style w:type="paragraph" w:styleId="1170" w:customStyle="1">
    <w:name w:val="Noeeu1"/>
    <w:basedOn w:val="1144"/>
    <w:pPr>
      <w:ind w:firstLine="709"/>
      <w:jc w:val="both"/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styleId="1171">
    <w:name w:val="List Number"/>
    <w:basedOn w:val="1144"/>
    <w:pPr>
      <w:numPr>
        <w:ilvl w:val="1"/>
        <w:numId w:val="48"/>
      </w:numPr>
      <w:jc w:val="both"/>
      <w:spacing w:before="60" w:after="60" w:line="240" w:lineRule="auto"/>
      <w:tabs>
        <w:tab w:val="clear" w:pos="1065" w:leader="none"/>
        <w:tab w:val="num" w:pos="144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rshb.ru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0647-863E-470D-84CD-03FF5C6E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Татьяна Сергеевна</dc:creator>
  <cp:revision>26</cp:revision>
  <dcterms:created xsi:type="dcterms:W3CDTF">2024-03-20T12:09:00Z</dcterms:created>
  <dcterms:modified xsi:type="dcterms:W3CDTF">2025-04-11T07:52:59Z</dcterms:modified>
</cp:coreProperties>
</file>