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006"/>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64"/>
                    <w:jc w:val="center"/>
                    <w:rPr>
                      <w:rFonts w:ascii="Cambria" w:hAnsi="Cambria" w:cs="Cambria"/>
                      <w:sz w:val="36"/>
                      <w:szCs w:val="36"/>
                    </w:rPr>
                  </w:pPr>
                  <w:r>
                    <w:rPr>
                      <w:rFonts w:ascii="Cambria" w:hAnsi="Cambria" w:cs="Cambria"/>
                      <w:sz w:val="36"/>
                      <w:szCs w:val="36"/>
                    </w:rPr>
                    <w:t xml:space="preserve">ТАРИФЫ КОМИССИОННОГО</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ВОЗНАГРАЖДЕНИЯ НА УСЛУГИ</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ЮРИДИЧЕСКИМ ЛИЦАМ, СУБЪЕКТАМ РОССИЙСКОЙ ФЕДЕРАЦИИ, МУНИЦИПАЛЬНЫМ ОБРАЗОВАНИЯМ, ИНДИВИДУАЛЬНЫМ</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ПРЕДПРИНИМАТЕЛЯМ И ФИЗИЧЕСКИМ</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ЛИЦАМ, ЗАНИМАЮЩИМСЯ В</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УСТАНОВЛЕННОМ ЗАКОНОДАТЕЛЬСТВОМ</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РОССИЙСКОЙ ФЕДЕРАЦИИ ПОРЯДКЕ</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ЧАСТНОЙ ПРАКТИКОЙ</w:t>
                  </w:r>
                  <w:r>
                    <w:rPr>
                      <w:rFonts w:ascii="Cambria" w:hAnsi="Cambria" w:cs="Cambria"/>
                      <w:sz w:val="36"/>
                      <w:szCs w:val="36"/>
                    </w:rPr>
                  </w:r>
                  <w:r>
                    <w:rPr>
                      <w:rFonts w:ascii="Cambria" w:hAnsi="Cambria" w:cs="Cambria"/>
                      <w:sz w:val="36"/>
                      <w:szCs w:val="36"/>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ССП-владелец НД:</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color w:val="000000"/>
                          </w:rPr>
                        </w:r>
                        <w:r>
                          <w:rPr>
                            <w:color w:val="000000"/>
                          </w:rPr>
                          <w:t xml:space="preserve">Департамент транзакционного бизнеса (ДТБ)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8"/>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Код нормативного документа:</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6"/>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Номер версии:</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Область применения:</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rFonts w:eastAsia="Calibri"/>
                            <w:lang w:eastAsia="en-US"/>
                          </w:rPr>
                          <w:t xml:space="preserve">РФ/ВСП РФ</w:t>
                        </w:r>
                        <w:r>
                          <w:rPr>
                            <w:color w:val="000000"/>
                            <w:lang w:eastAsia="en-US"/>
                          </w:rPr>
                        </w:r>
                        <w:r>
                          <w:rPr>
                            <w:color w:val="000000"/>
                            <w:lang w:eastAsia="en-US"/>
                          </w:rPr>
                        </w:r>
                      </w:p>
                    </w:tc>
                  </w:tr>
                </w:tbl>
                <w:p>
                  <w:pPr>
                    <w:pStyle w:val="1164"/>
                    <w:jc w:val="center"/>
                    <w:rPr>
                      <w:rFonts w:ascii="Cambria" w:hAnsi="Cambria"/>
                      <w:sz w:val="80"/>
                      <w:szCs w:val="80"/>
                    </w:rPr>
                  </w:pPr>
                  <w:r>
                    <w:rPr>
                      <w:rFonts w:ascii="Cambria" w:hAnsi="Cambria"/>
                      <w:sz w:val="80"/>
                      <w:szCs w:val="80"/>
                    </w:rPr>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64"/>
                    <w:jc w:val="center"/>
                  </w:pPr>
                  <w:r/>
                  <w:r/>
                </w:p>
              </w:tc>
            </w:tr>
            <w:tr>
              <w:tblPrEx/>
              <w:trPr>
                <w:trHeight w:val="360"/>
              </w:trPr>
              <w:tc>
                <w:tcPr>
                  <w:tcBorders>
                    <w:top w:val="single" w:color="008444" w:sz="12" w:space="0"/>
                  </w:tcBorders>
                  <w:tcW w:w="5000" w:type="pct"/>
                  <w:vAlign w:val="center"/>
                  <w:textDirection w:val="lrTb"/>
                  <w:noWrap w:val="false"/>
                </w:tcPr>
                <w:p>
                  <w:pPr>
                    <w:pStyle w:val="1164"/>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64"/>
                    <w:jc w:val="center"/>
                    <w:rPr>
                      <w:bCs/>
                      <w:sz w:val="32"/>
                      <w:szCs w:val="32"/>
                    </w:rPr>
                  </w:pPr>
                  <w:r>
                    <w:rPr>
                      <w:bCs/>
                      <w:sz w:val="32"/>
                      <w:szCs w:val="32"/>
                    </w:rPr>
                    <w:t xml:space="preserve">действуют с 26</w:t>
                  </w:r>
                  <w:r>
                    <w:rPr>
                      <w:bCs/>
                      <w:sz w:val="32"/>
                      <w:szCs w:val="32"/>
                    </w:rPr>
                    <w:t xml:space="preserve">.11</w:t>
                  </w:r>
                  <w:r>
                    <w:rPr>
                      <w:bCs/>
                      <w:sz w:val="32"/>
                      <w:szCs w:val="32"/>
                    </w:rPr>
                    <w:t xml:space="preserve">.</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1164"/>
              <w:jc w:val="center"/>
              <w:rPr>
                <w:rFonts w:ascii="Cambria" w:hAnsi="Cambria"/>
                <w:caps/>
                <w:sz w:val="32"/>
                <w:szCs w:val="32"/>
              </w:rPr>
            </w:pPr>
            <w:r>
              <w:rPr>
                <w:rFonts w:ascii="Cambria" w:hAnsi="Cambria"/>
                <w:sz w:val="32"/>
                <w:szCs w:val="32"/>
              </w:rPr>
              <w:t xml:space="preserve">ТАТАРСТАНСКИЙ </w:t>
            </w:r>
            <w:r>
              <w:rPr>
                <w:rFonts w:ascii="Cambria" w:hAnsi="Cambria"/>
                <w:sz w:val="32"/>
                <w:szCs w:val="32"/>
              </w:rPr>
              <w:t xml:space="preserve">Р</w:t>
            </w:r>
            <w:r>
              <w:rPr>
                <w:rFonts w:ascii="Cambria" w:hAnsi="Cambria"/>
                <w:sz w:val="32"/>
                <w:szCs w:val="32"/>
              </w:rPr>
              <w:t xml:space="preserve">Ф</w:t>
            </w:r>
            <w:r>
              <w:rPr>
                <w:rFonts w:ascii="Cambria" w:hAnsi="Cambria"/>
                <w:sz w:val="32"/>
                <w:szCs w:val="32"/>
              </w:rPr>
              <w:t xml:space="preserve"> АО </w:t>
            </w:r>
            <w:r>
              <w:rPr>
                <w:rFonts w:ascii="Cambria" w:hAnsi="Cambria"/>
                <w:caps/>
                <w:sz w:val="32"/>
                <w:szCs w:val="32"/>
              </w:rPr>
              <w:t xml:space="preserve"> «РОССЕЛЬХОЗБАНК» </w:t>
            </w:r>
            <w:r>
              <w:rPr>
                <w:rFonts w:ascii="Cambria" w:hAnsi="Cambria"/>
                <w:caps/>
                <w:sz w:val="32"/>
                <w:szCs w:val="32"/>
              </w:rPr>
            </w:r>
            <w:r>
              <w:rPr>
                <w:rFonts w:ascii="Cambria" w:hAnsi="Cambria"/>
                <w:caps/>
                <w:sz w:val="32"/>
                <w:szCs w:val="32"/>
              </w:rPr>
            </w:r>
          </w:p>
        </w:tc>
      </w:tr>
    </w:tbl>
    <w:p>
      <w:pPr>
        <w:pStyle w:val="1164"/>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r>
        <w:rPr>
          <w:rFonts w:ascii="Cambria" w:hAnsi="Cambria"/>
          <w:sz w:val="48"/>
          <w:szCs w:val="48"/>
        </w:rPr>
      </w:r>
    </w:p>
    <w:p>
      <w:pPr>
        <w:pStyle w:val="1148"/>
      </w:pPr>
      <w:r/>
      <w:r/>
    </w:p>
    <w:p>
      <w:pPr>
        <w:pStyle w:val="1148"/>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1148"/>
        <w:rPr>
          <w:b/>
          <w:caps/>
        </w:rPr>
      </w:pPr>
      <w:r>
        <w:rPr>
          <w:i/>
        </w:rPr>
        <w:br w:type="page" w:clear="all"/>
      </w:r>
      <w:r>
        <w:rPr>
          <w:b/>
          <w:caps/>
        </w:rPr>
        <w:t xml:space="preserve">Содержание</w:t>
      </w:r>
      <w:r>
        <w:rPr>
          <w:b/>
          <w:caps/>
        </w:rPr>
        <w:t xml:space="preserve">:</w:t>
      </w:r>
      <w:r>
        <w:rPr>
          <w:b/>
          <w:caps/>
        </w:rPr>
      </w:r>
      <w:r>
        <w:rPr>
          <w:b/>
          <w:caps/>
        </w:rPr>
      </w:r>
    </w:p>
    <w:p>
      <w:pPr>
        <w:pStyle w:val="1148"/>
        <w:rPr>
          <w:caps/>
        </w:rPr>
      </w:pPr>
      <w:r>
        <w:rPr>
          <w:caps/>
        </w:rPr>
      </w:r>
      <w:r>
        <w:rPr>
          <w:caps/>
        </w:rPr>
      </w:r>
      <w:r>
        <w:rPr>
          <w:caps/>
        </w:rPr>
      </w:r>
    </w:p>
    <w:p>
      <w:pPr>
        <w:pStyle w:val="1168"/>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1166"/>
          <w:color w:val="000000"/>
        </w:rPr>
        <w:fldChar w:fldCharType="begin"/>
      </w:r>
      <w:r>
        <w:rPr>
          <w:rStyle w:val="1166"/>
          <w:color w:val="000000"/>
        </w:rPr>
        <w:instrText xml:space="preserve"> </w:instrText>
      </w:r>
      <w:r>
        <w:instrText xml:space="preserve">HYPERLINK \l "_Toc170984446"</w:instrText>
      </w:r>
      <w:r>
        <w:rPr>
          <w:rStyle w:val="1166"/>
          <w:color w:val="000000"/>
        </w:rPr>
        <w:instrText xml:space="preserve"> </w:instrText>
      </w:r>
      <w:r>
        <w:rPr>
          <w:rStyle w:val="1166"/>
          <w:color w:val="000000"/>
        </w:rPr>
        <w:fldChar w:fldCharType="separate"/>
      </w:r>
      <w:r>
        <w:rPr>
          <w:rStyle w:val="1166"/>
          <w:color w:val="000000"/>
        </w:rPr>
        <w:t xml:space="preserve">1.</w:t>
      </w:r>
      <w:r>
        <w:rPr>
          <w:rFonts w:ascii="Calibri" w:hAnsi="Calibri"/>
          <w:bCs w:val="0"/>
          <w:caps w:val="0"/>
          <w:szCs w:val="22"/>
        </w:rPr>
        <w:tab/>
      </w:r>
      <w:r>
        <w:rPr>
          <w:rStyle w:val="1166"/>
          <w:color w:val="000000"/>
        </w:rPr>
        <w:t xml:space="preserve">Открытие и ведение счетов</w:t>
      </w:r>
      <w:r>
        <w:tab/>
      </w:r>
      <w:r>
        <w:t xml:space="preserve">3</w:t>
      </w:r>
      <w:r>
        <w:rPr>
          <w:rStyle w:val="1166"/>
          <w:color w:val="000000"/>
        </w:rPr>
        <w:fldChar w:fldCharType="end"/>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"_Toc170984447"</w:instrText>
      </w:r>
      <w:r>
        <w:rPr>
          <w:rStyle w:val="1166"/>
          <w:color w:val="000000"/>
        </w:rPr>
        <w:instrText xml:space="preserve"> </w:instrText>
      </w:r>
      <w:r>
        <w:rPr>
          <w:rStyle w:val="1166"/>
          <w:color w:val="000000"/>
        </w:rPr>
        <w:fldChar w:fldCharType="separate"/>
      </w:r>
      <w:r>
        <w:rPr>
          <w:rStyle w:val="1166"/>
          <w:color w:val="000000"/>
        </w:rPr>
        <w:t xml:space="preserve">2.</w:t>
      </w:r>
      <w:r>
        <w:rPr>
          <w:rFonts w:ascii="Calibri" w:hAnsi="Calibri"/>
          <w:bCs w:val="0"/>
          <w:caps w:val="0"/>
          <w:szCs w:val="22"/>
        </w:rPr>
        <w:tab/>
      </w:r>
      <w:r>
        <w:rPr>
          <w:rStyle w:val="1166"/>
          <w:color w:val="000000"/>
        </w:rPr>
        <w:t xml:space="preserve">Кассовые операции*</w:t>
      </w:r>
      <w:r>
        <w:tab/>
      </w:r>
      <w:r>
        <w:fldChar w:fldCharType="begin"/>
      </w:r>
      <w:r>
        <w:instrText xml:space="preserve"> PAGEREF _Toc170984447 \h </w:instrText>
      </w:r>
      <w:r>
        <w:fldChar w:fldCharType="separate"/>
      </w:r>
      <w:r>
        <w:t xml:space="preserve">2</w:t>
      </w:r>
      <w:r>
        <w:fldChar w:fldCharType="end"/>
      </w:r>
      <w:r>
        <w:rPr>
          <w:rStyle w:val="1166"/>
          <w:color w:val="000000"/>
        </w:rPr>
        <w:fldChar w:fldCharType="end"/>
      </w:r>
      <w:r>
        <w:rPr>
          <w:rStyle w:val="1166"/>
          <w:color w:val="000000"/>
        </w:rPr>
        <w:t xml:space="preserve">5</w:t>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"_Toc170984448"</w:instrText>
      </w:r>
      <w:r>
        <w:rPr>
          <w:rStyle w:val="1166"/>
          <w:color w:val="000000"/>
        </w:rPr>
        <w:instrText xml:space="preserve"> </w:instrText>
      </w:r>
      <w:r>
        <w:rPr>
          <w:rStyle w:val="1166"/>
          <w:color w:val="000000"/>
        </w:rPr>
        <w:fldChar w:fldCharType="separate"/>
      </w:r>
      <w:r>
        <w:rPr>
          <w:rStyle w:val="1166"/>
          <w:color w:val="000000"/>
        </w:rPr>
        <w:t xml:space="preserve">3.</w:t>
      </w:r>
      <w:r>
        <w:rPr>
          <w:rFonts w:ascii="Calibri" w:hAnsi="Calibri"/>
          <w:bCs w:val="0"/>
          <w:caps w:val="0"/>
          <w:szCs w:val="22"/>
        </w:rPr>
        <w:tab/>
      </w:r>
      <w:r>
        <w:rPr>
          <w:rStyle w:val="1166"/>
          <w:color w:val="000000"/>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w:t>
      </w:r>
      <w:r>
        <w:fldChar w:fldCharType="end"/>
      </w:r>
      <w:r>
        <w:rPr>
          <w:rStyle w:val="1166"/>
          <w:color w:val="000000"/>
        </w:rPr>
        <w:fldChar w:fldCharType="end"/>
      </w:r>
      <w:r>
        <w:rPr>
          <w:rStyle w:val="1166"/>
          <w:color w:val="000000"/>
        </w:rPr>
        <w:t xml:space="preserve">9</w:t>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"_Toc170984449"</w:instrText>
      </w:r>
      <w:r>
        <w:rPr>
          <w:rStyle w:val="1166"/>
          <w:color w:val="000000"/>
        </w:rPr>
        <w:instrText xml:space="preserve"> </w:instrText>
      </w:r>
      <w:r>
        <w:rPr>
          <w:rStyle w:val="1166"/>
          <w:color w:val="000000"/>
        </w:rPr>
        <w:fldChar w:fldCharType="separate"/>
      </w:r>
      <w:r>
        <w:rPr>
          <w:rStyle w:val="1166"/>
          <w:color w:val="000000"/>
        </w:rPr>
        <w:t xml:space="preserve">4.</w:t>
      </w:r>
      <w:r>
        <w:rPr>
          <w:rFonts w:ascii="Calibri" w:hAnsi="Calibri"/>
          <w:bCs w:val="0"/>
          <w:caps w:val="0"/>
          <w:szCs w:val="22"/>
        </w:rPr>
        <w:tab/>
      </w:r>
      <w:r>
        <w:rPr>
          <w:rStyle w:val="1166"/>
          <w:color w:val="000000"/>
        </w:rPr>
        <w:t xml:space="preserve">Операции с ценными бумагами</w:t>
      </w:r>
      <w:r>
        <w:tab/>
        <w:t xml:space="preserve">3</w:t>
      </w:r>
      <w:r>
        <w:fldChar w:fldCharType="begin"/>
      </w:r>
      <w:r>
        <w:instrText xml:space="preserve"> PAGEREF _Toc170984449 \h </w:instrText>
      </w:r>
      <w:r>
        <w:fldChar w:fldCharType="separate"/>
      </w:r>
      <w:r>
        <w:t xml:space="preserve">3</w:t>
      </w:r>
      <w:r>
        <w:fldChar w:fldCharType="end"/>
      </w:r>
      <w:r>
        <w:rPr>
          <w:rStyle w:val="1166"/>
          <w:color w:val="000000"/>
        </w:rPr>
        <w:fldChar w:fldCharType="end"/>
      </w:r>
      <w:r>
        <w:rPr>
          <w:rStyle w:val="1166"/>
          <w:color w:val="000000"/>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"_Toc170984450"</w:instrText>
      </w:r>
      <w:r>
        <w:rPr>
          <w:rStyle w:val="1166"/>
          <w:color w:val="000000"/>
        </w:rPr>
        <w:instrText xml:space="preserve"> </w:instrText>
      </w:r>
      <w:r>
        <w:rPr>
          <w:rStyle w:val="1166"/>
          <w:color w:val="000000"/>
        </w:rPr>
        <w:fldChar w:fldCharType="separate"/>
      </w:r>
      <w:r>
        <w:rPr>
          <w:rStyle w:val="1166"/>
          <w:color w:val="000000"/>
        </w:rPr>
        <w:t xml:space="preserve">5.</w:t>
      </w:r>
      <w:r>
        <w:rPr>
          <w:rFonts w:ascii="Calibri" w:hAnsi="Calibri"/>
          <w:bCs w:val="0"/>
          <w:caps w:val="0"/>
          <w:szCs w:val="22"/>
        </w:rPr>
        <w:tab/>
      </w:r>
      <w:r>
        <w:rPr>
          <w:rStyle w:val="1166"/>
          <w:color w:val="000000"/>
        </w:rPr>
        <w:t xml:space="preserve">Документарные операции</w:t>
      </w:r>
      <w:r>
        <w:tab/>
      </w:r>
      <w:r>
        <w:fldChar w:fldCharType="begin"/>
      </w:r>
      <w:r>
        <w:instrText xml:space="preserve"> PAGEREF _Toc170984450 \h </w:instrText>
      </w:r>
      <w:r>
        <w:fldChar w:fldCharType="separate"/>
      </w:r>
      <w:r>
        <w:t xml:space="preserve">3</w:t>
      </w:r>
      <w:r>
        <w:fldChar w:fldCharType="end"/>
      </w:r>
      <w:r>
        <w:rPr>
          <w:rStyle w:val="1166"/>
          <w:color w:val="000000"/>
        </w:rPr>
        <w:fldChar w:fldCharType="end"/>
      </w:r>
      <w:r>
        <w:rPr>
          <w:rStyle w:val="1166"/>
          <w:color w:val="000000"/>
        </w:rPr>
        <w:t xml:space="preserve">4</w:t>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"_Toc170984451"</w:instrText>
      </w:r>
      <w:r>
        <w:rPr>
          <w:rStyle w:val="1166"/>
          <w:color w:val="000000"/>
        </w:rPr>
        <w:instrText xml:space="preserve"> </w:instrText>
      </w:r>
      <w:r>
        <w:rPr>
          <w:rStyle w:val="1166"/>
          <w:color w:val="000000"/>
        </w:rPr>
        <w:fldChar w:fldCharType="separate"/>
      </w:r>
      <w:r>
        <w:rPr>
          <w:rStyle w:val="1166"/>
          <w:color w:val="000000"/>
        </w:rPr>
        <w:t xml:space="preserve">6.</w:t>
      </w:r>
      <w:r>
        <w:rPr>
          <w:rFonts w:ascii="Calibri" w:hAnsi="Calibri"/>
          <w:bCs w:val="0"/>
          <w:caps w:val="0"/>
          <w:szCs w:val="22"/>
        </w:rPr>
        <w:tab/>
      </w:r>
      <w:r>
        <w:rPr>
          <w:rStyle w:val="1166"/>
          <w:color w:val="000000"/>
        </w:rPr>
        <w:t xml:space="preserve">Гарантийные операции</w:t>
      </w:r>
      <w:r>
        <w:tab/>
      </w:r>
      <w:r>
        <w:rPr>
          <w:rStyle w:val="1166"/>
          <w:color w:val="000000"/>
        </w:rPr>
        <w:fldChar w:fldCharType="end"/>
      </w:r>
      <w:r>
        <w:rPr>
          <w:rStyle w:val="1166"/>
          <w:color w:val="000000"/>
          <w:sz w:val="22"/>
          <w:szCs w:val="22"/>
        </w:rPr>
        <w:t xml:space="preserve">41</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"_Toc170984452"</w:instrText>
      </w:r>
      <w:r>
        <w:rPr>
          <w:rStyle w:val="1166"/>
          <w:color w:val="000000"/>
        </w:rPr>
        <w:instrText xml:space="preserve"> </w:instrText>
      </w:r>
      <w:r>
        <w:rPr>
          <w:rStyle w:val="1166"/>
          <w:color w:val="000000"/>
        </w:rPr>
        <w:fldChar w:fldCharType="separate"/>
      </w:r>
      <w:r>
        <w:rPr>
          <w:rStyle w:val="1166"/>
          <w:color w:val="000000"/>
        </w:rPr>
        <w:t xml:space="preserve">7.</w:t>
      </w:r>
      <w:r>
        <w:rPr>
          <w:rFonts w:ascii="Calibri" w:hAnsi="Calibri"/>
          <w:bCs w:val="0"/>
          <w:caps w:val="0"/>
          <w:szCs w:val="22"/>
        </w:rPr>
        <w:tab/>
      </w:r>
      <w:r>
        <w:rPr>
          <w:rStyle w:val="1166"/>
          <w:color w:val="000000"/>
        </w:rPr>
        <w:t xml:space="preserve">Дистанционное банковское обслуживание (ДБО)</w:t>
      </w:r>
      <w:r>
        <w:tab/>
      </w:r>
      <w:r>
        <w:rPr>
          <w:rStyle w:val="1166"/>
          <w:color w:val="000000"/>
        </w:rPr>
        <w:fldChar w:fldCharType="end"/>
      </w:r>
      <w:r>
        <w:rPr>
          <w:rStyle w:val="1166"/>
          <w:color w:val="000000"/>
          <w:sz w:val="22"/>
          <w:szCs w:val="22"/>
        </w:rPr>
        <w:t xml:space="preserve">43</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"_Toc170984453"</w:instrText>
      </w:r>
      <w:r>
        <w:rPr>
          <w:rStyle w:val="1166"/>
          <w:color w:val="000000"/>
        </w:rPr>
        <w:instrText xml:space="preserve"> </w:instrText>
      </w:r>
      <w:r>
        <w:rPr>
          <w:rStyle w:val="1166"/>
          <w:color w:val="000000"/>
        </w:rPr>
        <w:fldChar w:fldCharType="separate"/>
      </w:r>
      <w:r>
        <w:rPr>
          <w:rStyle w:val="1166"/>
          <w:color w:val="000000"/>
        </w:rPr>
        <w:t xml:space="preserve">8.</w:t>
      </w:r>
      <w:r>
        <w:rPr>
          <w:rFonts w:ascii="Calibri" w:hAnsi="Calibri"/>
          <w:bCs w:val="0"/>
          <w:caps w:val="0"/>
          <w:szCs w:val="22"/>
        </w:rPr>
        <w:tab/>
      </w:r>
      <w:r>
        <w:rPr>
          <w:rStyle w:val="1166"/>
          <w:color w:val="000000"/>
        </w:rPr>
        <w:t xml:space="preserve">Хранение ценностей клиентов в хранилище ценностей Банка</w:t>
      </w:r>
      <w:r>
        <w:tab/>
        <w:t xml:space="preserve">50</w:t>
      </w:r>
      <w:r>
        <w:rPr>
          <w:rStyle w:val="1166"/>
          <w:color w:val="000000"/>
        </w:rPr>
        <w:fldChar w:fldCharType="end"/>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"_Toc170984454"</w:instrText>
      </w:r>
      <w:r>
        <w:rPr>
          <w:rStyle w:val="1166"/>
          <w:color w:val="000000"/>
        </w:rPr>
        <w:instrText xml:space="preserve"> </w:instrText>
      </w:r>
      <w:r>
        <w:rPr>
          <w:rStyle w:val="1166"/>
          <w:color w:val="000000"/>
        </w:rPr>
        <w:fldChar w:fldCharType="separate"/>
      </w:r>
      <w:r>
        <w:rPr>
          <w:rStyle w:val="1166"/>
          <w:color w:val="000000"/>
        </w:rPr>
        <w:t xml:space="preserve">9.</w:t>
      </w:r>
      <w:r>
        <w:rPr>
          <w:rFonts w:ascii="Calibri" w:hAnsi="Calibri"/>
          <w:bCs w:val="0"/>
          <w:caps w:val="0"/>
          <w:szCs w:val="22"/>
        </w:rPr>
        <w:tab/>
      </w:r>
      <w:r>
        <w:rPr>
          <w:rStyle w:val="1166"/>
          <w:color w:val="000000"/>
        </w:rPr>
        <w:t xml:space="preserve">Операции по предоставлению клиентам в аренду индивидуальных сейфовых ячеек</w:t>
      </w:r>
      <w:r>
        <w:tab/>
        <w:t xml:space="preserve">50</w:t>
      </w:r>
      <w:r>
        <w:rPr>
          <w:rStyle w:val="1166"/>
          <w:color w:val="000000"/>
        </w:rPr>
        <w:fldChar w:fldCharType="end"/>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"_Toc170984455"</w:instrText>
      </w:r>
      <w:r>
        <w:rPr>
          <w:rStyle w:val="1166"/>
          <w:color w:val="000000"/>
        </w:rPr>
        <w:instrText xml:space="preserve"> </w:instrText>
      </w:r>
      <w:r>
        <w:rPr>
          <w:rStyle w:val="1166"/>
          <w:color w:val="000000"/>
        </w:rPr>
        <w:fldChar w:fldCharType="separate"/>
      </w:r>
      <w:r>
        <w:rPr>
          <w:rStyle w:val="1166"/>
          <w:color w:val="000000"/>
        </w:rPr>
        <w:t xml:space="preserve">10.</w:t>
      </w:r>
      <w:r>
        <w:rPr>
          <w:rFonts w:ascii="Calibri" w:hAnsi="Calibri"/>
          <w:bCs w:val="0"/>
          <w:caps w:val="0"/>
          <w:szCs w:val="22"/>
        </w:rPr>
        <w:tab/>
      </w:r>
      <w:r>
        <w:rPr>
          <w:rStyle w:val="1166"/>
          <w:color w:val="000000"/>
        </w:rPr>
        <w:t xml:space="preserve">Услуги инкассации</w:t>
      </w:r>
      <w:r>
        <w:tab/>
      </w:r>
      <w:r>
        <w:rPr>
          <w:rStyle w:val="1166"/>
          <w:color w:val="000000"/>
        </w:rPr>
        <w:fldChar w:fldCharType="end"/>
      </w:r>
      <w:r>
        <w:rPr>
          <w:rStyle w:val="1166"/>
          <w:color w:val="000000"/>
          <w:sz w:val="22"/>
          <w:szCs w:val="22"/>
        </w:rPr>
        <w:t xml:space="preserve">51</w:t>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"_Toc170984456"</w:instrText>
      </w:r>
      <w:r>
        <w:rPr>
          <w:rStyle w:val="1166"/>
          <w:color w:val="000000"/>
        </w:rPr>
        <w:instrText xml:space="preserve"> </w:instrText>
      </w:r>
      <w:r>
        <w:rPr>
          <w:rStyle w:val="1166"/>
          <w:color w:val="000000"/>
        </w:rPr>
        <w:fldChar w:fldCharType="separate"/>
      </w:r>
      <w:r>
        <w:rPr>
          <w:rStyle w:val="1166"/>
          <w:color w:val="000000"/>
        </w:rPr>
        <w:t xml:space="preserve">11.</w:t>
      </w:r>
      <w:r>
        <w:rPr>
          <w:rFonts w:ascii="Calibri" w:hAnsi="Calibri"/>
          <w:bCs w:val="0"/>
          <w:caps w:val="0"/>
          <w:szCs w:val="22"/>
        </w:rPr>
        <w:tab/>
      </w:r>
      <w:r>
        <w:rPr>
          <w:rStyle w:val="1166"/>
          <w:color w:val="000000"/>
        </w:rPr>
        <w:t xml:space="preserve">Операции по покупке-продаже иностранной валюты</w:t>
      </w:r>
      <w:r>
        <w:tab/>
      </w:r>
      <w:r>
        <w:rPr>
          <w:rStyle w:val="1166"/>
          <w:color w:val="000000"/>
        </w:rPr>
        <w:fldChar w:fldCharType="end"/>
      </w:r>
      <w:r>
        <w:rPr>
          <w:rStyle w:val="1166"/>
          <w:color w:val="000000"/>
          <w:sz w:val="22"/>
          <w:szCs w:val="22"/>
        </w:rPr>
        <w:t xml:space="preserve">52</w:t>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"_Toc170984457"</w:instrText>
      </w:r>
      <w:r>
        <w:rPr>
          <w:rStyle w:val="1166"/>
          <w:color w:val="000000"/>
        </w:rPr>
        <w:instrText xml:space="preserve"> </w:instrText>
      </w:r>
      <w:r>
        <w:rPr>
          <w:rStyle w:val="1166"/>
          <w:color w:val="000000"/>
        </w:rPr>
        <w:fldChar w:fldCharType="separate"/>
      </w:r>
      <w:r>
        <w:rPr>
          <w:rStyle w:val="1166"/>
          <w:color w:val="000000"/>
        </w:rPr>
        <w:t xml:space="preserve">12.</w:t>
      </w:r>
      <w:r>
        <w:rPr>
          <w:rFonts w:ascii="Calibri" w:hAnsi="Calibri"/>
          <w:bCs w:val="0"/>
          <w:caps w:val="0"/>
          <w:szCs w:val="22"/>
        </w:rPr>
        <w:tab/>
      </w:r>
      <w:r>
        <w:rPr>
          <w:rStyle w:val="1166"/>
          <w:color w:val="000000"/>
        </w:rPr>
        <w:t xml:space="preserve">Кредитные операции</w:t>
      </w:r>
      <w:r>
        <w:tab/>
      </w:r>
      <w:r>
        <w:rPr>
          <w:rStyle w:val="1166"/>
          <w:color w:val="000000"/>
        </w:rPr>
        <w:fldChar w:fldCharType="end"/>
      </w:r>
      <w:r>
        <w:rPr>
          <w:rStyle w:val="1166"/>
          <w:color w:val="000000"/>
          <w:sz w:val="22"/>
          <w:szCs w:val="22"/>
        </w:rPr>
        <w:t xml:space="preserve">53</w:t>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"_Toc170984458"</w:instrText>
      </w:r>
      <w:r>
        <w:rPr>
          <w:rStyle w:val="1166"/>
          <w:color w:val="000000"/>
        </w:rPr>
        <w:instrText xml:space="preserve"> </w:instrText>
      </w:r>
      <w:r>
        <w:rPr>
          <w:rStyle w:val="1166"/>
          <w:color w:val="000000"/>
        </w:rPr>
        <w:fldChar w:fldCharType="separate"/>
      </w:r>
      <w:r>
        <w:rPr>
          <w:rStyle w:val="1166"/>
          <w:color w:val="000000"/>
        </w:rPr>
        <w:t xml:space="preserve">13.</w:t>
      </w:r>
      <w:r>
        <w:rPr>
          <w:rFonts w:ascii="Calibri" w:hAnsi="Calibri"/>
          <w:bCs w:val="0"/>
          <w:caps w:val="0"/>
          <w:szCs w:val="22"/>
        </w:rPr>
        <w:tab/>
      </w:r>
      <w:r>
        <w:rPr>
          <w:rStyle w:val="1166"/>
          <w:color w:val="000000"/>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rPr>
          <w:rStyle w:val="1166"/>
          <w:color w:val="000000"/>
        </w:rPr>
        <w:fldChar w:fldCharType="end"/>
      </w:r>
      <w:r>
        <w:rPr>
          <w:rStyle w:val="1166"/>
          <w:color w:val="000000"/>
          <w:sz w:val="22"/>
          <w:szCs w:val="22"/>
        </w:rPr>
        <w:t xml:space="preserve">64</w:t>
      </w:r>
      <w:r>
        <w:rPr>
          <w:rFonts w:ascii="Calibri" w:hAnsi="Calibri"/>
          <w:bCs w:val="0"/>
          <w:caps w:val="0"/>
          <w:szCs w:val="22"/>
        </w:rPr>
      </w:r>
      <w:r>
        <w:rPr>
          <w:rFonts w:ascii="Calibri" w:hAnsi="Calibri"/>
          <w:bCs w:val="0"/>
          <w:caps w:val="0"/>
          <w:szCs w:val="22"/>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"_Toc170984459"</w:instrText>
      </w:r>
      <w:r>
        <w:rPr>
          <w:rStyle w:val="1166"/>
          <w:color w:val="000000"/>
        </w:rPr>
        <w:instrText xml:space="preserve"> </w:instrText>
      </w:r>
      <w:r>
        <w:rPr>
          <w:rStyle w:val="1166"/>
          <w:color w:val="000000"/>
        </w:rPr>
        <w:fldChar w:fldCharType="separate"/>
      </w:r>
      <w:r>
        <w:rPr>
          <w:rStyle w:val="1166"/>
          <w:color w:val="000000"/>
        </w:rPr>
        <w:t xml:space="preserve">14. Депозитарные услуги**</w:t>
      </w:r>
      <w:r>
        <w:tab/>
      </w:r>
      <w:r>
        <w:rPr>
          <w:rStyle w:val="1166"/>
          <w:color w:val="000000"/>
        </w:rPr>
        <w:fldChar w:fldCharType="end"/>
      </w:r>
      <w:r>
        <w:rPr>
          <w:rStyle w:val="1166"/>
          <w:color w:val="000000"/>
          <w:sz w:val="22"/>
          <w:szCs w:val="22"/>
        </w:rPr>
        <w:t xml:space="preserve">66</w:t>
      </w:r>
      <w:r>
        <w:rPr>
          <w:rFonts w:ascii="Calibri" w:hAnsi="Calibri"/>
          <w:bCs w:val="0"/>
          <w:caps w:val="0"/>
          <w:szCs w:val="22"/>
          <w:lang w:val="en-US"/>
        </w:rPr>
      </w:r>
      <w:r>
        <w:rPr>
          <w:rFonts w:ascii="Calibri" w:hAnsi="Calibri"/>
          <w:bCs w:val="0"/>
          <w:caps w:val="0"/>
          <w:szCs w:val="22"/>
          <w:lang w:val="en-US"/>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"_Toc170984460"</w:instrText>
      </w:r>
      <w:r>
        <w:rPr>
          <w:rStyle w:val="1166"/>
          <w:color w:val="000000"/>
        </w:rPr>
        <w:instrText xml:space="preserve"> </w:instrText>
      </w:r>
      <w:r>
        <w:rPr>
          <w:rStyle w:val="1166"/>
          <w:color w:val="000000"/>
        </w:rPr>
        <w:fldChar w:fldCharType="separate"/>
      </w:r>
      <w:r>
        <w:rPr>
          <w:rStyle w:val="1166"/>
          <w:color w:val="000000"/>
        </w:rPr>
        <w:t xml:space="preserve">15. Операции с монетами из драгоценных металлов</w:t>
      </w:r>
      <w:r>
        <w:tab/>
      </w:r>
      <w:r>
        <w:rPr>
          <w:rStyle w:val="1166"/>
          <w:color w:val="000000"/>
        </w:rPr>
        <w:fldChar w:fldCharType="end"/>
      </w:r>
      <w:r>
        <w:rPr>
          <w:rStyle w:val="1166"/>
          <w:color w:val="000000"/>
        </w:rPr>
        <w:t xml:space="preserve">71</w:t>
      </w:r>
      <w:r>
        <w:rPr>
          <w:rFonts w:ascii="Calibri" w:hAnsi="Calibri"/>
          <w:bCs w:val="0"/>
          <w:caps w:val="0"/>
          <w:szCs w:val="22"/>
          <w:lang w:val="en-US"/>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"_Toc170984461"</w:instrText>
      </w:r>
      <w:r>
        <w:rPr>
          <w:rStyle w:val="1166"/>
          <w:color w:val="000000"/>
        </w:rPr>
        <w:instrText xml:space="preserve"> </w:instrText>
      </w:r>
      <w:r>
        <w:rPr>
          <w:rStyle w:val="1166"/>
          <w:color w:val="000000"/>
        </w:rPr>
        <w:fldChar w:fldCharType="separate"/>
      </w:r>
      <w:r>
        <w:rPr>
          <w:rStyle w:val="1166"/>
          <w:color w:val="000000"/>
        </w:rPr>
        <w:t xml:space="preserve">16. Операции с драгоценными металлами</w:t>
      </w:r>
      <w:r>
        <w:tab/>
      </w:r>
      <w:r>
        <w:rPr>
          <w:rStyle w:val="1166"/>
          <w:color w:val="000000"/>
        </w:rPr>
        <w:fldChar w:fldCharType="end"/>
      </w:r>
      <w:r>
        <w:rPr>
          <w:rStyle w:val="1166"/>
          <w:color w:val="000000"/>
          <w:sz w:val="22"/>
          <w:szCs w:val="22"/>
        </w:rPr>
        <w:t xml:space="preserve">71</w:t>
      </w:r>
      <w:r>
        <w:rPr>
          <w:rFonts w:ascii="Calibri" w:hAnsi="Calibri"/>
          <w:bCs w:val="0"/>
          <w:caps w:val="0"/>
          <w:szCs w:val="22"/>
          <w:lang w:val="en-US"/>
        </w:rPr>
      </w:r>
      <w:r>
        <w:rPr>
          <w:rFonts w:ascii="Calibri" w:hAnsi="Calibri"/>
          <w:bCs w:val="0"/>
          <w:caps w:val="0"/>
          <w:szCs w:val="22"/>
          <w:lang w:val="en-US"/>
        </w:rPr>
      </w:r>
    </w:p>
    <w:p>
      <w:pPr>
        <w:pStyle w:val="1168"/>
        <w:tabs>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"_Toc170984462"</w:instrText>
      </w:r>
      <w:r>
        <w:rPr>
          <w:rStyle w:val="1166"/>
          <w:color w:val="000000"/>
        </w:rPr>
        <w:instrText xml:space="preserve"> </w:instrText>
      </w:r>
      <w:r>
        <w:rPr>
          <w:rStyle w:val="1166"/>
          <w:color w:val="000000"/>
        </w:rPr>
        <w:fldChar w:fldCharType="separate"/>
      </w:r>
      <w:r>
        <w:rPr>
          <w:rStyle w:val="1166"/>
          <w:color w:val="000000"/>
        </w:rPr>
        <w:t xml:space="preserve">17. Обслуживание с использованием Торговой системы РСХБ - Дилинг АО «Россельхозбанк», Торговой системы РСХБ - Дилинг 2.0</w:t>
      </w:r>
      <w:r>
        <w:tab/>
      </w:r>
      <w:r>
        <w:rPr>
          <w:rStyle w:val="1166"/>
          <w:color w:val="000000"/>
        </w:rPr>
        <w:fldChar w:fldCharType="end"/>
      </w:r>
      <w:r>
        <w:rPr>
          <w:rStyle w:val="1166"/>
          <w:color w:val="000000"/>
          <w:sz w:val="22"/>
          <w:szCs w:val="22"/>
        </w:rPr>
        <w:t xml:space="preserve">72</w:t>
      </w:r>
      <w:r>
        <w:rPr>
          <w:rFonts w:ascii="Calibri" w:hAnsi="Calibri"/>
          <w:bCs w:val="0"/>
          <w:caps w:val="0"/>
          <w:szCs w:val="22"/>
        </w:rPr>
      </w:r>
      <w:r>
        <w:rPr>
          <w:rFonts w:ascii="Calibri" w:hAnsi="Calibri"/>
          <w:bCs w:val="0"/>
          <w:caps w:val="0"/>
          <w:szCs w:val="22"/>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"_Toc170984463"</w:instrText>
      </w:r>
      <w:r>
        <w:rPr>
          <w:rStyle w:val="1166"/>
          <w:color w:val="000000"/>
        </w:rPr>
        <w:instrText xml:space="preserve"> </w:instrText>
      </w:r>
      <w:r>
        <w:rPr>
          <w:rStyle w:val="1166"/>
          <w:color w:val="000000"/>
        </w:rPr>
        <w:fldChar w:fldCharType="separate"/>
      </w:r>
      <w:r>
        <w:rPr>
          <w:rStyle w:val="1166"/>
          <w:color w:val="000000"/>
        </w:rPr>
        <w:t xml:space="preserve">18. Операци</w:t>
      </w:r>
      <w:bookmarkStart w:id="3" w:name="_Hlt170984464"/>
      <w:r>
        <w:rPr>
          <w:rStyle w:val="1166"/>
          <w:color w:val="000000"/>
        </w:rPr>
        <w:t xml:space="preserve">и</w:t>
      </w:r>
      <w:bookmarkEnd w:id="3"/>
      <w:r>
        <w:rPr>
          <w:rStyle w:val="1166"/>
          <w:color w:val="000000"/>
        </w:rPr>
        <w:t xml:space="preserve"> с использованием цифрового рубля</w:t>
      </w:r>
      <w:r>
        <w:tab/>
      </w:r>
      <w:r>
        <w:rPr>
          <w:rStyle w:val="1166"/>
          <w:color w:val="000000"/>
        </w:rPr>
        <w:fldChar w:fldCharType="end"/>
      </w:r>
      <w:r>
        <w:rPr>
          <w:rStyle w:val="1166"/>
          <w:color w:val="000000"/>
          <w:sz w:val="22"/>
          <w:szCs w:val="22"/>
        </w:rPr>
        <w:t xml:space="preserve">75</w:t>
      </w:r>
      <w:r>
        <w:rPr>
          <w:rFonts w:ascii="Calibri" w:hAnsi="Calibri"/>
          <w:bCs w:val="0"/>
          <w:caps w:val="0"/>
          <w:szCs w:val="22"/>
          <w:lang w:val="en-US"/>
        </w:rPr>
      </w:r>
      <w:r>
        <w:rPr>
          <w:rFonts w:ascii="Calibri" w:hAnsi="Calibri"/>
          <w:bCs w:val="0"/>
          <w:caps w:val="0"/>
          <w:szCs w:val="22"/>
          <w:lang w:val="en-US"/>
        </w:rPr>
      </w:r>
    </w:p>
    <w:p>
      <w:pPr>
        <w:pStyle w:val="1168"/>
        <w:tabs>
          <w:tab w:val="left" w:pos="480" w:leader="none"/>
          <w:tab w:val="right" w:pos="9889" w:leader="dot"/>
        </w:tabs>
        <w:rPr>
          <w:rStyle w:val="1166"/>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1166"/>
        </w:rPr>
      </w:r>
      <w:r>
        <w:rPr>
          <w:rStyle w:val="1166"/>
        </w:rPr>
      </w:r>
    </w:p>
    <w:p>
      <w:pPr>
        <w:pStyle w:val="1168"/>
        <w:tabs>
          <w:tab w:val="right" w:pos="9889" w:leader="dot"/>
        </w:tabs>
        <w:rPr>
          <w:rFonts w:ascii="Calibri" w:hAnsi="Calibri"/>
          <w:smallCaps/>
          <w:szCs w:val="22"/>
        </w:rPr>
      </w:pPr>
      <w:r>
        <w:rPr>
          <w:rFonts w:ascii="Calibri" w:hAnsi="Calibri"/>
          <w:smallCaps/>
          <w:szCs w:val="22"/>
        </w:rPr>
      </w:r>
      <w:r>
        <w:rPr>
          <w:rFonts w:ascii="Calibri" w:hAnsi="Calibri"/>
          <w:smallCaps/>
          <w:szCs w:val="22"/>
        </w:rPr>
      </w:r>
      <w:r>
        <w:rPr>
          <w:rFonts w:ascii="Calibri" w:hAnsi="Calibri"/>
          <w:smallCaps/>
          <w:szCs w:val="22"/>
        </w:rP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rPr>
          <w:lang w:val="en-US" w:eastAsia="en-US"/>
        </w:rPr>
      </w:pPr>
      <w:r>
        <w:rPr>
          <w:lang w:val="en-US" w:eastAsia="en-US"/>
        </w:rPr>
      </w:r>
      <w:r>
        <w:rPr>
          <w:lang w:val="en-US" w:eastAsia="en-US"/>
        </w:rPr>
      </w:r>
      <w:r>
        <w:rPr>
          <w:lang w:val="en-US" w:eastAsia="en-US"/>
        </w:rPr>
      </w:r>
    </w:p>
    <w:p>
      <w:pPr>
        <w:pStyle w:val="1148"/>
      </w:pPr>
      <w:r/>
      <w:r/>
    </w:p>
    <w:p>
      <w:pPr>
        <w:pStyle w:val="1148"/>
        <w:rPr>
          <w:sz w:val="20"/>
          <w:szCs w:val="20"/>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rPr>
          <w:sz w:val="20"/>
          <w:szCs w:val="20"/>
        </w:rPr>
      </w:r>
      <w:r>
        <w:rPr>
          <w:sz w:val="20"/>
          <w:szCs w:val="20"/>
        </w:rPr>
      </w:r>
    </w:p>
    <w:p>
      <w:pPr>
        <w:pStyle w:val="1152"/>
        <w:numPr>
          <w:ilvl w:val="0"/>
          <w:numId w:val="16"/>
        </w:numPr>
        <w:rPr>
          <w:lang w:val="ru-RU"/>
        </w:rPr>
      </w:pPr>
      <w:r/>
      <w:bookmarkStart w:id="20" w:name="_Toc170984446"/>
      <w:r>
        <w:rPr>
          <w:lang w:val="ru-RU"/>
        </w:rPr>
        <w:t xml:space="preserve">Открытие и ведение счетов</w:t>
      </w:r>
      <w:bookmarkEnd w:id="12"/>
      <w:r>
        <w:rPr>
          <w:lang w:val="ru-RU"/>
        </w:rPr>
      </w:r>
      <w:r>
        <w:rPr>
          <w:lang w:val="ru-RU"/>
        </w:rPr>
      </w:r>
    </w:p>
    <w:tbl>
      <w:tblPr>
        <w:tblW w:w="102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01"/>
        <w:gridCol w:w="2469"/>
        <w:gridCol w:w="360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rPr>
                <w:b/>
                <w:sz w:val="20"/>
                <w:szCs w:val="20"/>
              </w:rPr>
            </w:pPr>
            <w:r>
              <w:rPr>
                <w:b/>
                <w:sz w:val="20"/>
                <w:szCs w:val="20"/>
              </w:rPr>
              <w:t xml:space="preserve">№</w:t>
            </w:r>
            <w:r>
              <w:rPr>
                <w:b/>
                <w:sz w:val="20"/>
                <w:szCs w:val="20"/>
              </w:rPr>
            </w:r>
            <w:r>
              <w:rPr>
                <w:b/>
                <w:sz w:val="20"/>
                <w:szCs w:val="20"/>
              </w:rPr>
            </w:r>
          </w:p>
          <w:p>
            <w:pPr>
              <w:pStyle w:val="1148"/>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spacing w:before="120" w:after="120"/>
              <w:rPr>
                <w:sz w:val="20"/>
                <w:szCs w:val="20"/>
              </w:rPr>
            </w:pPr>
            <w:r>
              <w:rPr>
                <w:sz w:val="20"/>
                <w:szCs w:val="20"/>
              </w:rPr>
              <w:t xml:space="preserve">1.1.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center"/>
            <w:textDirection w:val="lrTb"/>
            <w:noWrap w:val="false"/>
          </w:tcPr>
          <w:p>
            <w:pPr>
              <w:pStyle w:val="1148"/>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1148"/>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96"/>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96"/>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48"/>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48"/>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r>
            <w:r>
              <w:rPr>
                <w:color w:val="000000"/>
                <w:sz w:val="20"/>
                <w:szCs w:val="20"/>
              </w:rPr>
            </w:r>
            <w:r>
              <w:rPr>
                <w:color w:val="000000"/>
                <w:sz w:val="20"/>
                <w:szCs w:val="20"/>
              </w:rPr>
            </w:r>
          </w:p>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rFonts w:ascii="Times New Roman" w:hAnsi="Times New Roman"/>
                <w:sz w:val="20"/>
                <w:szCs w:val="20"/>
                <w:highlight w:val="none"/>
              </w:rPr>
            </w:pPr>
            <w:r>
              <w:rPr>
                <w:sz w:val="20"/>
                <w:szCs w:val="20"/>
                <w:highlight w:val="none"/>
                <w:lang w:eastAsia="en-US"/>
              </w:rPr>
              <w:t xml:space="preserve">-</w:t>
            </w:r>
            <w:r>
              <w:rPr>
                <w:rFonts w:ascii="Times New Roman" w:hAnsi="Times New Roman"/>
                <w:sz w:val="24"/>
                <w:szCs w:val="24"/>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tabs>
                <w:tab w:val="left" w:pos="708" w:leader="none"/>
                <w:tab w:val="center" w:pos="4677" w:leader="none"/>
                <w:tab w:val="right" w:pos="9355" w:leader="none"/>
              </w:tabs>
              <w:rPr>
                <w:sz w:val="20"/>
                <w:szCs w:val="20"/>
              </w:rPr>
            </w:pPr>
            <w:r>
              <w:rPr>
                <w:rFonts w:ascii="Times New Roman" w:hAnsi="Times New Roman"/>
                <w:sz w:val="20"/>
                <w:szCs w:val="20"/>
                <w:highlight w:val="none"/>
              </w:rPr>
            </w:r>
            <w:r>
              <w:rPr>
                <w:sz w:val="20"/>
                <w:szCs w:val="20"/>
              </w:rPr>
            </w:r>
            <w:r>
              <w:rPr>
                <w:sz w:val="20"/>
                <w:szCs w:val="20"/>
              </w:rPr>
            </w:r>
          </w:p>
          <w:p>
            <w:pPr>
              <w:pStyle w:val="114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48"/>
              <w:jc w:val="both"/>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r>
              <w:rPr>
                <w:vanish/>
                <w:sz w:val="20"/>
                <w:szCs w:val="20"/>
              </w:rPr>
            </w:r>
          </w:p>
          <w:p>
            <w:pPr>
              <w:pStyle w:val="1148"/>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9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9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9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48"/>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48"/>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48"/>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48"/>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sz w:val="20"/>
                <w:szCs w:val="20"/>
              </w:rPr>
            </w:pPr>
            <w:r>
              <w:rPr>
                <w:sz w:val="20"/>
                <w:szCs w:val="20"/>
              </w:rPr>
              <w:t xml:space="preserve">550 руб.</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ind w:left="34"/>
              <w:spacing w:after="40"/>
              <w:rPr>
                <w:sz w:val="20"/>
                <w:szCs w:val="20"/>
                <w:lang w:eastAsia="en-US"/>
              </w:rPr>
            </w:pPr>
            <w:r>
              <w:rPr>
                <w:sz w:val="20"/>
                <w:szCs w:val="20"/>
                <w:lang w:eastAsia="en-US"/>
              </w:rPr>
            </w:r>
            <w:r>
              <w:rPr>
                <w:sz w:val="20"/>
                <w:szCs w:val="20"/>
                <w:lang w:eastAsia="en-US"/>
              </w:rPr>
            </w:r>
            <w:r>
              <w:rPr>
                <w:sz w:val="20"/>
                <w:szCs w:val="20"/>
                <w:lang w:eastAsia="en-US"/>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8"/>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48"/>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1.1.7.1.</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8"/>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jc w:val="center"/>
              <w:spacing w:after="120"/>
              <w:rPr>
                <w:sz w:val="20"/>
                <w:szCs w:val="20"/>
              </w:rPr>
            </w:pPr>
            <w:r>
              <w:rPr>
                <w:sz w:val="20"/>
                <w:szCs w:val="20"/>
              </w:rPr>
              <w:t xml:space="preserve">300 руб. </w:t>
            </w:r>
            <w:r>
              <w:rPr>
                <w:sz w:val="20"/>
                <w:szCs w:val="20"/>
              </w:rPr>
            </w:r>
            <w:r>
              <w:rPr>
                <w:sz w:val="20"/>
                <w:szCs w:val="20"/>
              </w:rPr>
            </w:r>
          </w:p>
          <w:p>
            <w:pPr>
              <w:pStyle w:val="1148"/>
              <w:jc w:val="center"/>
              <w:spacing w:after="120"/>
              <w:rPr>
                <w:sz w:val="20"/>
                <w:szCs w:val="20"/>
              </w:rPr>
            </w:pPr>
            <w:r>
              <w:rPr>
                <w:sz w:val="20"/>
                <w:szCs w:val="20"/>
              </w:rPr>
              <w:t xml:space="preserve">при ОБЩЕЙ СУММЕ </w:t>
            </w:r>
            <w:r>
              <w:rPr>
                <w:sz w:val="20"/>
                <w:szCs w:val="20"/>
              </w:rPr>
            </w:r>
            <w:r>
              <w:rPr>
                <w:sz w:val="20"/>
                <w:szCs w:val="20"/>
              </w:rPr>
            </w:r>
          </w:p>
          <w:p>
            <w:pPr>
              <w:pStyle w:val="1148"/>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48"/>
              <w:jc w:val="center"/>
              <w:spacing w:after="120"/>
              <w:rPr>
                <w:sz w:val="20"/>
                <w:szCs w:val="20"/>
              </w:rPr>
            </w:pPr>
            <w:r>
              <w:rPr>
                <w:sz w:val="20"/>
                <w:szCs w:val="20"/>
              </w:rPr>
              <w:t xml:space="preserve">1% от суммы </w:t>
            </w:r>
            <w:r>
              <w:rPr>
                <w:sz w:val="20"/>
                <w:szCs w:val="20"/>
              </w:rPr>
            </w:r>
            <w:r>
              <w:rPr>
                <w:sz w:val="20"/>
                <w:szCs w:val="20"/>
              </w:rPr>
            </w:r>
          </w:p>
          <w:p>
            <w:pPr>
              <w:pStyle w:val="1148"/>
              <w:jc w:val="center"/>
              <w:spacing w:after="120"/>
              <w:rPr>
                <w:sz w:val="20"/>
                <w:szCs w:val="20"/>
              </w:rPr>
            </w:pPr>
            <w:r>
              <w:rPr>
                <w:sz w:val="20"/>
                <w:szCs w:val="20"/>
              </w:rPr>
              <w:t xml:space="preserve">при ОБЩЕЙ СУММЕ</w:t>
            </w:r>
            <w:r>
              <w:rPr>
                <w:sz w:val="20"/>
                <w:szCs w:val="20"/>
              </w:rPr>
            </w:r>
            <w:r>
              <w:rPr>
                <w:sz w:val="20"/>
                <w:szCs w:val="20"/>
              </w:rPr>
            </w:r>
          </w:p>
          <w:p>
            <w:pPr>
              <w:pStyle w:val="1148"/>
              <w:jc w:val="center"/>
              <w:spacing w:after="120"/>
              <w:rPr>
                <w:sz w:val="20"/>
                <w:szCs w:val="20"/>
              </w:rPr>
            </w:pPr>
            <w:r>
              <w:rPr>
                <w:sz w:val="20"/>
                <w:szCs w:val="20"/>
              </w:rPr>
              <w:t xml:space="preserve">с 150 000,01 руб. до 300 000,00 руб. (включительно);</w:t>
            </w:r>
            <w:r>
              <w:rPr>
                <w:sz w:val="20"/>
                <w:szCs w:val="20"/>
              </w:rPr>
            </w:r>
            <w:r>
              <w:rPr>
                <w:sz w:val="20"/>
                <w:szCs w:val="20"/>
              </w:rPr>
            </w:r>
          </w:p>
          <w:p>
            <w:pPr>
              <w:pStyle w:val="1148"/>
              <w:jc w:val="center"/>
              <w:spacing w:after="120"/>
              <w:rPr>
                <w:sz w:val="20"/>
                <w:szCs w:val="20"/>
              </w:rPr>
            </w:pPr>
            <w:r>
              <w:rPr>
                <w:sz w:val="20"/>
                <w:szCs w:val="20"/>
              </w:rPr>
              <w:t xml:space="preserve">1,7% от суммы </w:t>
            </w:r>
            <w:r>
              <w:rPr>
                <w:sz w:val="20"/>
                <w:szCs w:val="20"/>
              </w:rPr>
            </w:r>
            <w:r>
              <w:rPr>
                <w:sz w:val="20"/>
                <w:szCs w:val="20"/>
              </w:rPr>
            </w:r>
          </w:p>
          <w:p>
            <w:pPr>
              <w:pStyle w:val="1148"/>
              <w:jc w:val="center"/>
              <w:spacing w:after="120"/>
              <w:rPr>
                <w:sz w:val="20"/>
                <w:szCs w:val="20"/>
              </w:rPr>
            </w:pPr>
            <w:r>
              <w:rPr>
                <w:sz w:val="20"/>
                <w:szCs w:val="20"/>
              </w:rPr>
              <w:t xml:space="preserve">при ОБЩЕЙ СУММЕ</w:t>
            </w:r>
            <w:r>
              <w:rPr>
                <w:sz w:val="20"/>
                <w:szCs w:val="20"/>
              </w:rPr>
            </w:r>
            <w:r>
              <w:rPr>
                <w:sz w:val="20"/>
                <w:szCs w:val="20"/>
              </w:rPr>
            </w:r>
          </w:p>
          <w:p>
            <w:pPr>
              <w:pStyle w:val="1148"/>
              <w:jc w:val="center"/>
              <w:spacing w:after="120"/>
              <w:rPr>
                <w:sz w:val="20"/>
                <w:szCs w:val="20"/>
              </w:rPr>
            </w:pPr>
            <w:r>
              <w:rPr>
                <w:sz w:val="20"/>
                <w:szCs w:val="20"/>
              </w:rPr>
              <w:t xml:space="preserve">с 300 000,01 руб. </w:t>
            </w:r>
            <w:r>
              <w:rPr>
                <w:sz w:val="20"/>
                <w:szCs w:val="20"/>
              </w:rPr>
            </w:r>
            <w:r>
              <w:rPr>
                <w:sz w:val="20"/>
                <w:szCs w:val="20"/>
              </w:rPr>
            </w:r>
          </w:p>
          <w:p>
            <w:pPr>
              <w:pStyle w:val="1148"/>
              <w:jc w:val="center"/>
              <w:spacing w:after="120"/>
              <w:rPr>
                <w:sz w:val="20"/>
                <w:szCs w:val="20"/>
              </w:rPr>
            </w:pPr>
            <w:r>
              <w:rPr>
                <w:sz w:val="20"/>
                <w:szCs w:val="20"/>
              </w:rPr>
              <w:t xml:space="preserve">до 2 000 000,00 руб. (включительно);</w:t>
            </w:r>
            <w:r>
              <w:rPr>
                <w:sz w:val="20"/>
                <w:szCs w:val="20"/>
              </w:rPr>
            </w:r>
            <w:r>
              <w:rPr>
                <w:sz w:val="20"/>
                <w:szCs w:val="20"/>
              </w:rPr>
            </w:r>
          </w:p>
          <w:p>
            <w:pPr>
              <w:pStyle w:val="1148"/>
              <w:jc w:val="center"/>
              <w:spacing w:after="120"/>
              <w:rPr>
                <w:sz w:val="20"/>
                <w:szCs w:val="20"/>
              </w:rPr>
            </w:pPr>
            <w:r>
              <w:rPr>
                <w:sz w:val="20"/>
                <w:szCs w:val="20"/>
              </w:rPr>
              <w:t xml:space="preserve">3,7% от суммы </w:t>
            </w:r>
            <w:r>
              <w:rPr>
                <w:sz w:val="20"/>
                <w:szCs w:val="20"/>
              </w:rPr>
            </w:r>
            <w:r>
              <w:rPr>
                <w:sz w:val="20"/>
                <w:szCs w:val="20"/>
              </w:rPr>
            </w:r>
          </w:p>
          <w:p>
            <w:pPr>
              <w:pStyle w:val="1148"/>
              <w:jc w:val="center"/>
              <w:spacing w:after="120"/>
              <w:rPr>
                <w:sz w:val="20"/>
                <w:szCs w:val="20"/>
              </w:rPr>
            </w:pPr>
            <w:r>
              <w:rPr>
                <w:sz w:val="20"/>
                <w:szCs w:val="20"/>
              </w:rPr>
              <w:t xml:space="preserve">при ОБЩЕЙ СУММЕ</w:t>
            </w:r>
            <w:r>
              <w:rPr>
                <w:sz w:val="20"/>
                <w:szCs w:val="20"/>
              </w:rPr>
            </w:r>
            <w:r>
              <w:rPr>
                <w:sz w:val="20"/>
                <w:szCs w:val="20"/>
              </w:rPr>
            </w:r>
          </w:p>
          <w:p>
            <w:pPr>
              <w:pStyle w:val="1148"/>
              <w:jc w:val="center"/>
              <w:spacing w:after="120"/>
              <w:rPr>
                <w:sz w:val="20"/>
                <w:szCs w:val="20"/>
              </w:rPr>
            </w:pPr>
            <w:r>
              <w:rPr>
                <w:sz w:val="20"/>
                <w:szCs w:val="20"/>
              </w:rPr>
              <w:t xml:space="preserve">с 2 000 000,01 руб. </w:t>
            </w:r>
            <w:r>
              <w:rPr>
                <w:sz w:val="20"/>
                <w:szCs w:val="20"/>
              </w:rPr>
            </w:r>
            <w:r>
              <w:rPr>
                <w:sz w:val="20"/>
                <w:szCs w:val="20"/>
              </w:rPr>
            </w:r>
          </w:p>
          <w:p>
            <w:pPr>
              <w:pStyle w:val="1148"/>
              <w:jc w:val="center"/>
              <w:spacing w:after="120"/>
              <w:rPr>
                <w:sz w:val="20"/>
                <w:szCs w:val="20"/>
              </w:rPr>
            </w:pPr>
            <w:r>
              <w:rPr>
                <w:sz w:val="20"/>
                <w:szCs w:val="20"/>
              </w:rPr>
              <w:t xml:space="preserve">до 5 000 000,00 руб. (включительно);</w:t>
            </w:r>
            <w:r>
              <w:rPr>
                <w:sz w:val="20"/>
                <w:szCs w:val="20"/>
              </w:rPr>
            </w:r>
            <w:r>
              <w:rPr>
                <w:sz w:val="20"/>
                <w:szCs w:val="20"/>
              </w:rPr>
            </w:r>
          </w:p>
          <w:p>
            <w:pPr>
              <w:pStyle w:val="1148"/>
              <w:jc w:val="center"/>
              <w:spacing w:after="120"/>
              <w:rPr>
                <w:sz w:val="20"/>
                <w:szCs w:val="20"/>
              </w:rPr>
            </w:pPr>
            <w:r>
              <w:rPr>
                <w:sz w:val="20"/>
                <w:szCs w:val="20"/>
              </w:rPr>
              <w:t xml:space="preserve">6% от суммы</w:t>
            </w:r>
            <w:r>
              <w:rPr>
                <w:sz w:val="20"/>
                <w:szCs w:val="20"/>
              </w:rPr>
            </w:r>
            <w:r>
              <w:rPr>
                <w:sz w:val="20"/>
                <w:szCs w:val="20"/>
              </w:rPr>
            </w:r>
          </w:p>
          <w:p>
            <w:pPr>
              <w:pStyle w:val="1148"/>
              <w:jc w:val="center"/>
              <w:spacing w:after="120"/>
              <w:rPr>
                <w:sz w:val="20"/>
                <w:szCs w:val="20"/>
              </w:rPr>
            </w:pPr>
            <w:r>
              <w:rPr>
                <w:sz w:val="20"/>
                <w:szCs w:val="20"/>
              </w:rPr>
              <w:t xml:space="preserve">при ОБЩЕЙ СУММЕ</w:t>
            </w:r>
            <w:r>
              <w:rPr>
                <w:sz w:val="20"/>
                <w:szCs w:val="20"/>
              </w:rPr>
            </w:r>
            <w:r>
              <w:rPr>
                <w:sz w:val="20"/>
                <w:szCs w:val="20"/>
              </w:rPr>
            </w:r>
          </w:p>
          <w:p>
            <w:pPr>
              <w:pStyle w:val="1148"/>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48"/>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48"/>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48"/>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48"/>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48"/>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48"/>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48"/>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48"/>
              <w:jc w:val="both"/>
              <w:rPr>
                <w:sz w:val="20"/>
                <w:szCs w:val="20"/>
              </w:rPr>
            </w:pPr>
            <w:r>
              <w:rPr>
                <w:sz w:val="20"/>
                <w:szCs w:val="20"/>
              </w:rPr>
              <w:t xml:space="preserve">- перечисление алиментов, пенсий,</w:t>
            </w:r>
            <w:r>
              <w:rPr>
                <w:sz w:val="20"/>
                <w:szCs w:val="20"/>
              </w:rPr>
            </w:r>
            <w:r>
              <w:rPr>
                <w:sz w:val="20"/>
                <w:szCs w:val="20"/>
              </w:rPr>
            </w:r>
          </w:p>
          <w:p>
            <w:pPr>
              <w:pStyle w:val="1148"/>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48"/>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48"/>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48"/>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48"/>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48"/>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48"/>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48"/>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48"/>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48"/>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48"/>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48"/>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48"/>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48"/>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48"/>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48"/>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2"/>
                <w:szCs w:val="22"/>
              </w:rPr>
            </w:pPr>
            <w:r>
              <w:rPr>
                <w:bCs/>
                <w:sz w:val="22"/>
                <w:szCs w:val="22"/>
              </w:rPr>
              <w:t xml:space="preserve">500 руб.</w:t>
            </w:r>
            <w:r>
              <w:rPr>
                <w:bCs/>
                <w:sz w:val="22"/>
                <w:szCs w:val="22"/>
              </w:rPr>
            </w:r>
            <w:r>
              <w:rPr>
                <w:bCs/>
                <w:sz w:val="22"/>
                <w:szCs w:val="22"/>
              </w:rPr>
            </w:r>
          </w:p>
          <w:p>
            <w:pPr>
              <w:pStyle w:val="1148"/>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48"/>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r>
              <w:rPr>
                <w:sz w:val="20"/>
                <w:szCs w:val="20"/>
                <w:lang w:eastAsia="en-US"/>
              </w:rPr>
            </w:r>
          </w:p>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48"/>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02" w:type="dxa"/>
            <w:vAlign w:val="top"/>
            <w:textDirection w:val="lrTb"/>
            <w:noWrap w:val="false"/>
          </w:tcPr>
          <w:p>
            <w:pPr>
              <w:pStyle w:val="1148"/>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r>
              <w:rPr>
                <w:bCs/>
                <w:sz w:val="20"/>
                <w:szCs w:val="20"/>
              </w:rPr>
            </w:r>
          </w:p>
          <w:p>
            <w:pPr>
              <w:pStyle w:val="1148"/>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r>
              <w:rPr>
                <w:bCs/>
                <w:sz w:val="20"/>
                <w:szCs w:val="20"/>
              </w:rPr>
            </w:r>
          </w:p>
          <w:p>
            <w:pPr>
              <w:pStyle w:val="1148"/>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1148"/>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vMerge w:val="restart"/>
            <w:textDirection w:val="lrTb"/>
            <w:noWrap w:val="false"/>
          </w:tcPr>
          <w:p>
            <w:pPr>
              <w:pStyle w:val="1148"/>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3000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ind w:left="-52" w:firstLine="52"/>
              <w:jc w:val="both"/>
              <w:spacing w:before="40"/>
              <w:rPr>
                <w:bCs/>
                <w:sz w:val="20"/>
                <w:szCs w:val="20"/>
              </w:rPr>
            </w:pPr>
            <w:r>
              <w:rPr>
                <w:bCs/>
                <w:sz w:val="20"/>
                <w:szCs w:val="20"/>
              </w:rPr>
            </w:r>
            <w:r>
              <w:rPr>
                <w:bCs/>
                <w:sz w:val="20"/>
                <w:szCs w:val="20"/>
              </w:rPr>
            </w:r>
            <w:r>
              <w:rPr>
                <w:bCs/>
                <w:sz w:val="20"/>
                <w:szCs w:val="20"/>
              </w:rPr>
            </w:r>
          </w:p>
          <w:p>
            <w:pPr>
              <w:pStyle w:val="1148"/>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rFonts w:ascii="Times New Roman" w:hAnsi="Times New Roman"/>
                <w:sz w:val="20"/>
                <w:szCs w:val="20"/>
                <w:highlight w:val="none"/>
              </w:rPr>
            </w:pPr>
            <w:r>
              <w:rPr>
                <w:sz w:val="20"/>
                <w:szCs w:val="20"/>
                <w:highlight w:val="none"/>
                <w:lang w:eastAsia="en-US"/>
              </w:rPr>
            </w:r>
            <w:r>
              <w:rPr>
                <w:rFonts w:ascii="Times New Roman" w:hAnsi="Times New Roman"/>
                <w:sz w:val="24"/>
                <w:szCs w:val="24"/>
              </w:rPr>
              <w:t xml:space="preserve"> </w:t>
            </w:r>
            <w:r>
              <w:rPr>
                <w:rFonts w:ascii="Times New Roman" w:hAnsi="Times New Roman"/>
                <w:sz w:val="20"/>
                <w:szCs w:val="20"/>
              </w:rPr>
              <w:t xml:space="preserve">-</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tabs>
                <w:tab w:val="left" w:pos="708" w:leader="none"/>
                <w:tab w:val="center" w:pos="4677" w:leader="none"/>
                <w:tab w:val="right" w:pos="9355" w:leader="none"/>
              </w:tabs>
              <w:rPr>
                <w:sz w:val="20"/>
                <w:szCs w:val="20"/>
              </w:rPr>
            </w:pPr>
            <w:r>
              <w:rPr>
                <w:rFonts w:ascii="Times New Roman" w:hAnsi="Times New Roman"/>
                <w:sz w:val="20"/>
                <w:szCs w:val="20"/>
                <w:highlight w:val="none"/>
              </w:rPr>
            </w:r>
            <w:r>
              <w:rPr>
                <w:sz w:val="20"/>
                <w:szCs w:val="20"/>
              </w:rPr>
            </w:r>
            <w:r>
              <w:rPr>
                <w:sz w:val="20"/>
                <w:szCs w:val="20"/>
              </w:rPr>
            </w:r>
          </w:p>
          <w:p>
            <w:pPr>
              <w:pStyle w:val="114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rFonts w:ascii="Times New Roman" w:hAnsi="Times New Roman"/>
                <w:sz w:val="20"/>
                <w:szCs w:val="20"/>
                <w:highlight w:val="none"/>
              </w:rPr>
            </w:pPr>
            <w:r>
              <w:rPr>
                <w:sz w:val="20"/>
                <w:szCs w:val="20"/>
                <w:highlight w:val="none"/>
                <w:lang w:eastAsia="en-US"/>
              </w:rPr>
              <w:t xml:space="preserve">-</w:t>
            </w:r>
            <w:r>
              <w:rPr>
                <w:rFonts w:ascii="Times New Roman" w:hAnsi="Times New Roman"/>
                <w:sz w:val="24"/>
                <w:szCs w:val="24"/>
              </w:rPr>
              <w:t xml:space="preserve"> </w:t>
            </w:r>
            <w:r>
              <w:rPr>
                <w:rFonts w:ascii="Times New Roman" w:hAnsi="Times New Roman"/>
                <w:sz w:val="24"/>
                <w:szCs w:val="24"/>
              </w:rPr>
              <w:t xml:space="preserve">з</w:t>
            </w:r>
            <w:r>
              <w:rPr>
                <w:rFonts w:ascii="Times New Roman" w:hAnsi="Times New Roman"/>
                <w:sz w:val="20"/>
                <w:szCs w:val="20"/>
              </w:rPr>
              <w:t xml:space="preserve">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spacing w:before="40"/>
              <w:tabs>
                <w:tab w:val="left" w:pos="708" w:leader="none"/>
                <w:tab w:val="center" w:pos="4677" w:leader="none"/>
                <w:tab w:val="right" w:pos="9355" w:leader="none"/>
              </w:tabs>
              <w:rPr>
                <w:sz w:val="20"/>
                <w:szCs w:val="20"/>
              </w:rPr>
            </w:pPr>
            <w:r>
              <w:rPr>
                <w:rFonts w:ascii="Times New Roman" w:hAnsi="Times New Roman"/>
                <w:sz w:val="20"/>
                <w:szCs w:val="20"/>
                <w:highlight w:val="none"/>
              </w:rPr>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 </w:t>
            </w:r>
            <w:r>
              <w:rPr>
                <w:sz w:val="20"/>
                <w:szCs w:val="20"/>
                <w:lang w:eastAsia="en-US"/>
              </w:rPr>
              <w:t xml:space="preserve">% от совокупного среднедневного остатка </w:t>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rFonts w:ascii="Times New Roman" w:hAnsi="Times New Roman"/>
                <w:sz w:val="20"/>
                <w:szCs w:val="20"/>
                <w:highlight w:val="none"/>
              </w:rPr>
            </w:pPr>
            <w:r>
              <w:rPr>
                <w:sz w:val="20"/>
                <w:szCs w:val="20"/>
                <w:highlight w:val="none"/>
                <w:lang w:eastAsia="en-US"/>
              </w:rPr>
            </w:r>
            <w:r>
              <w:rPr>
                <w:rFonts w:ascii="Times New Roman" w:hAnsi="Times New Roman"/>
                <w:sz w:val="24"/>
                <w:szCs w:val="24"/>
              </w:rPr>
              <w:t xml:space="preserve"> </w:t>
            </w:r>
            <w:r>
              <w:rPr>
                <w:rFonts w:ascii="Times New Roman" w:hAnsi="Times New Roman"/>
                <w:sz w:val="20"/>
                <w:szCs w:val="20"/>
              </w:rPr>
              <w:t xml:space="preserve">-</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spacing w:before="40"/>
              <w:tabs>
                <w:tab w:val="left" w:pos="708" w:leader="none"/>
                <w:tab w:val="center" w:pos="4677" w:leader="none"/>
                <w:tab w:val="right" w:pos="9355" w:leader="none"/>
              </w:tabs>
              <w:rPr>
                <w:sz w:val="20"/>
                <w:szCs w:val="20"/>
              </w:rPr>
            </w:pPr>
            <w:r>
              <w:rPr>
                <w:rFonts w:ascii="Times New Roman" w:hAnsi="Times New Roman"/>
                <w:sz w:val="20"/>
                <w:szCs w:val="20"/>
                <w:highlight w:val="none"/>
              </w:rPr>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r>
              <w:rPr>
                <w:bCs/>
                <w:sz w:val="20"/>
                <w:szCs w:val="20"/>
              </w:rPr>
            </w:r>
          </w:p>
          <w:p>
            <w:pPr>
              <w:pStyle w:val="1148"/>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r>
              <w:rPr>
                <w:bCs/>
                <w:sz w:val="20"/>
                <w:szCs w:val="20"/>
              </w:rPr>
            </w:r>
          </w:p>
          <w:p>
            <w:pPr>
              <w:pStyle w:val="1148"/>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r>
              <w:rPr>
                <w:bCs/>
                <w:sz w:val="20"/>
                <w:szCs w:val="20"/>
              </w:rPr>
            </w:r>
          </w:p>
          <w:p>
            <w:pPr>
              <w:pStyle w:val="1148"/>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p>
            <w:pPr>
              <w:pStyle w:val="1148"/>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48"/>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48"/>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48"/>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ascii="Times New Roman" w:hAnsi="Times New Roman"/>
                <w:sz w:val="20"/>
                <w:szCs w:val="20"/>
                <w:highlight w:val="none"/>
              </w:rPr>
            </w:pPr>
            <w:r>
              <w:rPr>
                <w:rFonts w:eastAsia="Calibri"/>
                <w:sz w:val="22"/>
                <w:szCs w:val="22"/>
                <w:highlight w:val="none"/>
                <w:lang w:eastAsia="en-US"/>
              </w:rPr>
              <w:t xml:space="preserve"> -</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tabs>
                <w:tab w:val="left" w:pos="708" w:leader="none"/>
                <w:tab w:val="center" w:pos="4677" w:leader="none"/>
                <w:tab w:val="right" w:pos="9355" w:leader="none"/>
              </w:tabs>
              <w:rPr>
                <w:rFonts w:eastAsia="Calibri"/>
                <w:sz w:val="20"/>
                <w:szCs w:val="20"/>
              </w:rPr>
            </w:pPr>
            <w:r>
              <w:rPr>
                <w:rFonts w:ascii="Times New Roman" w:hAnsi="Times New Roman"/>
                <w:sz w:val="20"/>
                <w:szCs w:val="20"/>
                <w:highlight w:val="none"/>
              </w:rPr>
            </w:r>
            <w:r>
              <w:rPr>
                <w:rFonts w:eastAsia="Calibri"/>
                <w:sz w:val="20"/>
                <w:szCs w:val="20"/>
              </w:rPr>
            </w:r>
            <w:r>
              <w:rPr>
                <w:rFonts w:eastAsia="Calibri"/>
                <w:sz w:val="20"/>
                <w:szCs w:val="20"/>
              </w:rPr>
            </w:r>
          </w:p>
          <w:p>
            <w:pPr>
              <w:pStyle w:val="1148"/>
              <w:jc w:val="both"/>
              <w:tabs>
                <w:tab w:val="left" w:pos="708" w:leader="none"/>
                <w:tab w:val="center" w:pos="4677" w:leader="none"/>
                <w:tab w:val="right" w:pos="9355" w:leader="none"/>
              </w:tabs>
              <w:rPr>
                <w:rFonts w:eastAsia="Calibri"/>
                <w:sz w:val="20"/>
                <w:szCs w:val="20"/>
                <w:highlight w:val="none"/>
              </w:rPr>
            </w:pPr>
            <w:r>
              <w:rPr>
                <w:rFonts w:eastAsia="Calibri"/>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sz w:val="20"/>
                <w:szCs w:val="20"/>
                <w:highlight w:val="none"/>
              </w:rPr>
            </w:r>
            <w:r>
              <w:rPr>
                <w:rFonts w:eastAsia="Calibri"/>
                <w:sz w:val="20"/>
                <w:szCs w:val="20"/>
                <w:highlight w:val="none"/>
              </w:rPr>
            </w:r>
          </w:p>
          <w:p>
            <w:pPr>
              <w:jc w:val="both"/>
              <w:tabs>
                <w:tab w:val="left" w:pos="708" w:leader="none"/>
                <w:tab w:val="center" w:pos="4677" w:leader="none"/>
                <w:tab w:val="right" w:pos="9355" w:leader="none"/>
              </w:tabs>
              <w:rPr>
                <w:rFonts w:eastAsia="Calibri"/>
                <w:sz w:val="20"/>
                <w:szCs w:val="20"/>
              </w:rPr>
            </w:pPr>
            <w:r>
              <w:rPr>
                <w:rFonts w:eastAsia="Calibri"/>
                <w:sz w:val="20"/>
                <w:szCs w:val="20"/>
                <w:highlight w:val="none"/>
                <w:lang w:eastAsia="en-US"/>
              </w:rPr>
            </w:r>
            <w:r>
              <w:rPr>
                <w:rFonts w:eastAsia="Calibri"/>
                <w:sz w:val="20"/>
                <w:szCs w:val="20"/>
              </w:rPr>
            </w:r>
            <w:r>
              <w:rPr>
                <w:rFonts w:eastAsia="Calibri"/>
                <w:sz w:val="20"/>
                <w:szCs w:val="20"/>
              </w:rPr>
            </w:r>
          </w:p>
          <w:p>
            <w:pPr>
              <w:pStyle w:val="1148"/>
              <w:jc w:val="both"/>
              <w:spacing w:before="40" w:after="40"/>
              <w:rPr>
                <w:bCs/>
                <w:sz w:val="20"/>
                <w:szCs w:val="20"/>
              </w:rPr>
            </w:pPr>
            <w:r>
              <w:rPr>
                <w:rFonts w:eastAsia="Calibr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sz w:val="20"/>
                <w:szCs w:val="20"/>
              </w:rPr>
            </w:pPr>
            <w:r>
              <w:rPr>
                <w:sz w:val="20"/>
                <w:szCs w:val="20"/>
              </w:rPr>
              <w:t xml:space="preserve">0,33%</w:t>
            </w:r>
            <w:r>
              <w:rPr>
                <w:sz w:val="20"/>
                <w:szCs w:val="20"/>
              </w:rPr>
            </w:r>
            <w:r>
              <w:rPr>
                <w:sz w:val="20"/>
                <w:szCs w:val="20"/>
              </w:rPr>
            </w:r>
          </w:p>
          <w:p>
            <w:pPr>
              <w:pStyle w:val="1148"/>
              <w:jc w:val="center"/>
              <w:rPr>
                <w:sz w:val="20"/>
                <w:szCs w:val="20"/>
              </w:rPr>
            </w:pPr>
            <w:r>
              <w:rPr>
                <w:sz w:val="20"/>
                <w:szCs w:val="20"/>
              </w:rPr>
              <w:t xml:space="preserve">минимум </w:t>
            </w:r>
            <w:r>
              <w:rPr>
                <w:sz w:val="20"/>
                <w:szCs w:val="20"/>
              </w:rPr>
            </w:r>
            <w:r>
              <w:rPr>
                <w:sz w:val="20"/>
                <w:szCs w:val="20"/>
              </w:rPr>
            </w:r>
          </w:p>
          <w:p>
            <w:pPr>
              <w:pStyle w:val="1148"/>
              <w:jc w:val="center"/>
              <w:rPr>
                <w:sz w:val="20"/>
                <w:szCs w:val="20"/>
              </w:rPr>
            </w:pPr>
            <w:r>
              <w:rPr>
                <w:sz w:val="20"/>
                <w:szCs w:val="20"/>
              </w:rPr>
              <w:t xml:space="preserve">25 долл. США,</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r>
              <w:rPr>
                <w:color w:val="000000"/>
                <w:sz w:val="20"/>
                <w:szCs w:val="20"/>
              </w:rPr>
            </w:r>
          </w:p>
          <w:p>
            <w:pPr>
              <w:pStyle w:val="1148"/>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8"/>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8"/>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48"/>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48"/>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48"/>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48"/>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48"/>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48"/>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
                <w:bCs/>
                <w:i/>
                <w:sz w:val="20"/>
                <w:szCs w:val="20"/>
              </w:rPr>
            </w:pPr>
            <w:r>
              <w:rPr>
                <w:b/>
                <w:bCs/>
                <w:i/>
                <w:sz w:val="20"/>
                <w:szCs w:val="20"/>
              </w:rPr>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1148"/>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48"/>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48"/>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48"/>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250 руб. за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48"/>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1148"/>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4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bCs/>
                <w:sz w:val="20"/>
                <w:szCs w:val="20"/>
              </w:rPr>
            </w:pPr>
            <w:r>
              <w:rPr>
                <w:bCs/>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sz w:val="20"/>
                <w:szCs w:val="20"/>
              </w:rPr>
            </w:pPr>
            <w:r>
              <w:rPr>
                <w:sz w:val="20"/>
                <w:szCs w:val="20"/>
              </w:rPr>
              <w:t xml:space="preserve">Не взимается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sz w:val="20"/>
                <w:szCs w:val="20"/>
              </w:rPr>
              <w:t xml:space="preserve">Не взимается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4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48"/>
        <w:rPr>
          <w:lang w:eastAsia="en-US"/>
        </w:rPr>
      </w:pPr>
      <w:r>
        <w:rPr>
          <w:lang w:eastAsia="en-US"/>
        </w:rPr>
      </w:r>
      <w:r>
        <w:rPr>
          <w:lang w:eastAsia="en-US"/>
        </w:rPr>
      </w:r>
      <w:r>
        <w:rPr>
          <w:lang w:eastAsia="en-US"/>
        </w:rPr>
      </w:r>
    </w:p>
    <w:p>
      <w:pPr>
        <w:pStyle w:val="1148"/>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1148"/>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48"/>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48"/>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48"/>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52"/>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rPr>
                <w:b/>
                <w:bCs/>
                <w:sz w:val="20"/>
                <w:szCs w:val="20"/>
              </w:rPr>
            </w:pPr>
            <w:r>
              <w:rPr>
                <w:b/>
                <w:bCs/>
                <w:sz w:val="20"/>
                <w:szCs w:val="20"/>
              </w:rPr>
              <w:t xml:space="preserve">№</w:t>
            </w:r>
            <w:r>
              <w:rPr>
                <w:b/>
                <w:bCs/>
                <w:sz w:val="20"/>
                <w:szCs w:val="20"/>
              </w:rPr>
            </w:r>
            <w:r>
              <w:rPr>
                <w:b/>
                <w:bCs/>
                <w:sz w:val="20"/>
                <w:szCs w:val="20"/>
              </w:rPr>
            </w:r>
          </w:p>
          <w:p>
            <w:pPr>
              <w:pStyle w:val="1148"/>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48"/>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48"/>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48"/>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48"/>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rPr>
                <w:sz w:val="20"/>
                <w:szCs w:val="20"/>
                <w:lang w:eastAsia="en-US"/>
              </w:rPr>
            </w:pPr>
            <w:r>
              <w:rPr>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both"/>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48"/>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48"/>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t xml:space="preserve">10% от суммы</w:t>
              <w:br w:type="textWrapping" w:clear="all"/>
              <w:t xml:space="preserve">c 15 000 000,01 руб. 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both"/>
              <w:spacing w:before="40"/>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48"/>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48"/>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8"/>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r>
              <w:rPr>
                <w:sz w:val="20"/>
                <w:szCs w:val="20"/>
                <w:lang w:eastAsia="en-US"/>
              </w:rPr>
            </w:r>
          </w:p>
          <w:p>
            <w:pPr>
              <w:pStyle w:val="1148"/>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r>
              <w:rPr>
                <w:sz w:val="20"/>
                <w:szCs w:val="20"/>
                <w:lang w:eastAsia="en-US"/>
              </w:rPr>
            </w:r>
          </w:p>
          <w:p>
            <w:pPr>
              <w:pStyle w:val="1148"/>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2.4.4.</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и пересчет монет</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 </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48"/>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8"/>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r>
              <w:rPr>
                <w:sz w:val="20"/>
                <w:szCs w:val="20"/>
                <w:lang w:eastAsia="en-US"/>
              </w:rPr>
            </w:r>
          </w:p>
          <w:p>
            <w:pPr>
              <w:pStyle w:val="1148"/>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0,5% от суммы,</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t xml:space="preserve">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r>
              <w:rPr>
                <w:sz w:val="20"/>
                <w:szCs w:val="20"/>
                <w:lang w:eastAsia="en-US"/>
              </w:rPr>
            </w:r>
          </w:p>
          <w:p>
            <w:pPr>
              <w:pStyle w:val="1148"/>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rPr>
                <w:sz w:val="20"/>
                <w:szCs w:val="20"/>
                <w:lang w:eastAsia="en-US"/>
              </w:rPr>
            </w:pPr>
            <w:r>
              <w:rPr>
                <w:sz w:val="20"/>
                <w:szCs w:val="20"/>
                <w:lang w:eastAsia="en-US"/>
              </w:rPr>
              <w:t xml:space="preserve">2,5% от суммы,</w:t>
            </w:r>
            <w:r>
              <w:rPr>
                <w:sz w:val="20"/>
                <w:szCs w:val="20"/>
                <w:lang w:eastAsia="en-US"/>
              </w:rPr>
            </w:r>
            <w:r>
              <w:rPr>
                <w:sz w:val="20"/>
                <w:szCs w:val="20"/>
                <w:lang w:eastAsia="en-US"/>
              </w:rPr>
            </w:r>
          </w:p>
          <w:p>
            <w:pPr>
              <w:pStyle w:val="1148"/>
              <w:jc w:val="center"/>
              <w:rPr>
                <w:sz w:val="20"/>
                <w:szCs w:val="20"/>
                <w:lang w:eastAsia="en-US"/>
              </w:rPr>
            </w:pPr>
            <w:r>
              <w:rPr>
                <w:sz w:val="20"/>
                <w:szCs w:val="20"/>
                <w:lang w:eastAsia="en-US"/>
              </w:rPr>
              <w:t xml:space="preserve">минимум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rPr>
                <w:sz w:val="20"/>
                <w:szCs w:val="20"/>
                <w:lang w:eastAsia="en-US"/>
              </w:rPr>
            </w:pPr>
            <w:r>
              <w:rPr>
                <w:sz w:val="20"/>
                <w:szCs w:val="20"/>
                <w:lang w:eastAsia="en-US"/>
              </w:rPr>
              <w:t xml:space="preserve">3,5% от суммы,</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r>
              <w:rPr>
                <w:sz w:val="20"/>
                <w:szCs w:val="20"/>
                <w:lang w:eastAsia="en-US"/>
              </w:rPr>
            </w:r>
          </w:p>
          <w:p>
            <w:pPr>
              <w:pStyle w:val="1148"/>
              <w:jc w:val="both"/>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both"/>
              <w:spacing w:before="40"/>
              <w:rPr>
                <w:sz w:val="20"/>
                <w:szCs w:val="20"/>
                <w:lang w:eastAsia="en-US"/>
              </w:rPr>
            </w:pPr>
            <w:r>
              <w:rPr>
                <w:sz w:val="20"/>
                <w:szCs w:val="20"/>
                <w:lang w:eastAsia="en-US"/>
              </w:rPr>
              <w:t xml:space="preserve">             </w:t>
            </w:r>
            <w:r>
              <w:rPr>
                <w:sz w:val="20"/>
                <w:szCs w:val="20"/>
                <w:lang w:eastAsia="en-US"/>
              </w:rPr>
              <w:t xml:space="preserve">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48"/>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48"/>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48"/>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48"/>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48"/>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48"/>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48"/>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2"/>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1148"/>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1148"/>
              <w:jc w:val="center"/>
              <w:rPr>
                <w:b/>
                <w:sz w:val="20"/>
                <w:szCs w:val="20"/>
              </w:rPr>
            </w:pPr>
            <w:r>
              <w:rPr>
                <w:b/>
                <w:sz w:val="20"/>
                <w:szCs w:val="20"/>
              </w:rPr>
              <w:t xml:space="preserve">№ п/п</w:t>
            </w:r>
            <w:r>
              <w:rPr>
                <w:b/>
                <w:sz w:val="20"/>
                <w:szCs w:val="20"/>
              </w:rPr>
            </w:r>
            <w:r>
              <w:rPr>
                <w:b/>
                <w:sz w:val="20"/>
                <w:szCs w:val="20"/>
              </w:rPr>
            </w:r>
          </w:p>
        </w:tc>
        <w:tc>
          <w:tcPr>
            <w:tcW w:w="3402" w:type="dxa"/>
            <w:vAlign w:val="center"/>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W w:w="2126"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3969" w:type="dxa"/>
            <w:vAlign w:val="center"/>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126" w:type="dxa"/>
            <w:vAlign w:val="top"/>
            <w:textDirection w:val="lrTb"/>
            <w:noWrap w:val="false"/>
          </w:tcPr>
          <w:p>
            <w:pPr>
              <w:pStyle w:val="1148"/>
              <w:contextualSpacing/>
              <w:jc w:val="center"/>
              <w:spacing w:before="40"/>
              <w:rPr>
                <w:sz w:val="20"/>
                <w:szCs w:val="20"/>
              </w:rPr>
            </w:pPr>
            <w:r>
              <w:rPr>
                <w:sz w:val="20"/>
                <w:szCs w:val="20"/>
              </w:rPr>
              <w:t xml:space="preserve">0,15 % </w:t>
            </w:r>
            <w:r>
              <w:rPr>
                <w:sz w:val="20"/>
                <w:szCs w:val="20"/>
              </w:rPr>
            </w:r>
            <w:r>
              <w:rPr>
                <w:sz w:val="20"/>
                <w:szCs w:val="20"/>
              </w:rPr>
            </w:r>
          </w:p>
          <w:p>
            <w:pPr>
              <w:pStyle w:val="1148"/>
              <w:contextualSpacing/>
              <w:jc w:val="center"/>
              <w:spacing w:before="40"/>
              <w:rPr>
                <w:sz w:val="20"/>
                <w:szCs w:val="20"/>
              </w:rPr>
            </w:pPr>
            <w:r>
              <w:rPr>
                <w:sz w:val="20"/>
                <w:szCs w:val="20"/>
              </w:rPr>
              <w:t xml:space="preserve">минимум </w:t>
            </w:r>
            <w:r>
              <w:rPr>
                <w:sz w:val="20"/>
                <w:szCs w:val="20"/>
              </w:rPr>
              <w:t xml:space="preserve">3</w:t>
            </w:r>
            <w:r>
              <w:rPr>
                <w:sz w:val="20"/>
                <w:szCs w:val="20"/>
              </w:rPr>
              <w:t xml:space="preserve">00 руб.,   </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48"/>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48"/>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48"/>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48"/>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48"/>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48"/>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48"/>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48"/>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48"/>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48"/>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402" w:type="dxa"/>
            <w:vAlign w:val="top"/>
            <w:textDirection w:val="lrTb"/>
            <w:noWrap w:val="false"/>
          </w:tcPr>
          <w:p>
            <w:pPr>
              <w:pStyle w:val="1148"/>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126" w:type="dxa"/>
            <w:vAlign w:val="top"/>
            <w:textDirection w:val="lrTb"/>
            <w:noWrap w:val="false"/>
          </w:tcPr>
          <w:p>
            <w:pPr>
              <w:pStyle w:val="1148"/>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1148"/>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1148"/>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48"/>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148"/>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48"/>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969" w:type="dxa"/>
            <w:vAlign w:val="top"/>
            <w:textDirection w:val="lrTb"/>
            <w:noWrap w:val="false"/>
          </w:tcPr>
          <w:p>
            <w:pPr>
              <w:pStyle w:val="1148"/>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48"/>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402" w:type="dxa"/>
            <w:vAlign w:val="top"/>
            <w:textDirection w:val="lrTb"/>
            <w:noWrap w:val="false"/>
          </w:tcPr>
          <w:p>
            <w:pPr>
              <w:pStyle w:val="1148"/>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2126" w:type="dxa"/>
            <w:vAlign w:val="center"/>
            <w:textDirection w:val="lrTb"/>
            <w:noWrap w:val="false"/>
          </w:tcPr>
          <w:p>
            <w:pPr>
              <w:pStyle w:val="1148"/>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48"/>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Borders>
              <w:bottom w:val="single" w:color="000000" w:sz="4" w:space="0"/>
            </w:tcBorders>
            <w:tcW w:w="2126" w:type="dxa"/>
            <w:vAlign w:val="center"/>
            <w:textDirection w:val="lrTb"/>
            <w:noWrap w:val="false"/>
          </w:tcPr>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126" w:type="dxa"/>
            <w:vAlign w:val="center"/>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48"/>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48"/>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48"/>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48"/>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p>
            <w:pPr>
              <w:pStyle w:val="1148"/>
              <w:rPr>
                <w:sz w:val="20"/>
                <w:szCs w:val="20"/>
              </w:rPr>
            </w:pPr>
            <w:r>
              <w:rPr>
                <w:sz w:val="20"/>
                <w:szCs w:val="20"/>
              </w:rPr>
            </w:r>
            <w:r>
              <w:rPr>
                <w:sz w:val="20"/>
                <w:szCs w:val="20"/>
              </w:rPr>
            </w:r>
            <w:r>
              <w:rPr>
                <w:sz w:val="20"/>
                <w:szCs w:val="20"/>
              </w:rPr>
            </w:r>
          </w:p>
        </w:tc>
        <w:tc>
          <w:tcPr>
            <w:tcBorders>
              <w:bottom w:val="single" w:color="000000" w:sz="4" w:space="0"/>
            </w:tcBorders>
            <w:tcW w:w="2126" w:type="dxa"/>
            <w:vAlign w:val="top"/>
            <w:textDirection w:val="lrTb"/>
            <w:noWrap w:val="false"/>
          </w:tcPr>
          <w:p>
            <w:pPr>
              <w:pStyle w:val="1148"/>
              <w:jc w:val="center"/>
              <w:rPr>
                <w:sz w:val="20"/>
                <w:szCs w:val="20"/>
              </w:rPr>
            </w:pPr>
            <w:r>
              <w:rPr>
                <w:sz w:val="20"/>
                <w:szCs w:val="20"/>
              </w:rPr>
              <w:t xml:space="preserve">1 500 руб.</w:t>
            </w:r>
            <w:r>
              <w:rPr>
                <w:sz w:val="20"/>
                <w:szCs w:val="20"/>
              </w:rPr>
            </w:r>
            <w:r>
              <w:rPr>
                <w:sz w:val="20"/>
                <w:szCs w:val="20"/>
              </w:rPr>
            </w:r>
          </w:p>
        </w:tc>
        <w:tc>
          <w:tcPr>
            <w:tcW w:w="3969" w:type="dxa"/>
            <w:vAlign w:val="top"/>
            <w:vMerge w:val="continue"/>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126" w:type="dxa"/>
            <w:vAlign w:val="top"/>
            <w:textDirection w:val="lrTb"/>
            <w:noWrap w:val="false"/>
          </w:tcPr>
          <w:p>
            <w:pPr>
              <w:pStyle w:val="1148"/>
              <w:jc w:val="center"/>
              <w:rPr>
                <w:sz w:val="20"/>
                <w:szCs w:val="20"/>
              </w:rPr>
            </w:pPr>
            <w:r>
              <w:rPr>
                <w:sz w:val="20"/>
                <w:szCs w:val="20"/>
              </w:rPr>
              <w:t xml:space="preserve">4 000 руб.</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148"/>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rPr>
                <w:sz w:val="20"/>
                <w:szCs w:val="20"/>
              </w:rPr>
            </w:pPr>
            <w:r>
              <w:rPr>
                <w:sz w:val="20"/>
                <w:szCs w:val="20"/>
              </w:rPr>
              <w:t xml:space="preserve">3.4.1.</w:t>
            </w:r>
            <w:r>
              <w:rPr>
                <w:sz w:val="20"/>
                <w:szCs w:val="20"/>
              </w:rPr>
            </w:r>
            <w:r>
              <w:rPr>
                <w:sz w:val="20"/>
                <w:szCs w:val="20"/>
              </w:rPr>
            </w:r>
          </w:p>
        </w:tc>
        <w:tc>
          <w:tcPr>
            <w:tcBorders>
              <w:bottom w:val="none" w:color="000000" w:sz="4" w:space="0"/>
            </w:tcBorders>
            <w:tcW w:w="3402" w:type="dxa"/>
            <w:vAlign w:val="top"/>
            <w:textDirection w:val="lrTb"/>
            <w:noWrap w:val="false"/>
          </w:tcPr>
          <w:p>
            <w:pPr>
              <w:pStyle w:val="1148"/>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8"/>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rPr>
                <w:sz w:val="20"/>
                <w:szCs w:val="20"/>
              </w:rPr>
            </w:pPr>
            <w:r>
              <w:rPr>
                <w:sz w:val="20"/>
                <w:szCs w:val="20"/>
              </w:rPr>
              <w:t xml:space="preserve">3.4.2.</w:t>
            </w:r>
            <w:r>
              <w:rPr>
                <w:sz w:val="20"/>
                <w:szCs w:val="20"/>
              </w:rPr>
            </w:r>
            <w:r>
              <w:rPr>
                <w:sz w:val="20"/>
                <w:szCs w:val="20"/>
              </w:rPr>
            </w:r>
          </w:p>
        </w:tc>
        <w:tc>
          <w:tcPr>
            <w:tcBorders>
              <w:bottom w:val="none" w:color="000000" w:sz="4" w:space="0"/>
            </w:tcBorders>
            <w:tcW w:w="3402" w:type="dxa"/>
            <w:vAlign w:val="top"/>
            <w:textDirection w:val="lrTb"/>
            <w:noWrap w:val="false"/>
          </w:tcPr>
          <w:p>
            <w:pPr>
              <w:pStyle w:val="1148"/>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8"/>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1148"/>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1148"/>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148"/>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3.5.1.</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48"/>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3 000 руб.</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48"/>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48"/>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48"/>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48"/>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3.5.2.</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969" w:type="dxa"/>
            <w:vAlign w:val="top"/>
            <w:vMerge w:val="continue"/>
            <w:textDirection w:val="lrTb"/>
            <w:noWrap w:val="false"/>
          </w:tcPr>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3.5.3.</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0,15 % </w:t>
            </w:r>
            <w:r>
              <w:rPr>
                <w:sz w:val="20"/>
                <w:szCs w:val="20"/>
              </w:rPr>
            </w:r>
            <w:r>
              <w:rPr>
                <w:sz w:val="20"/>
                <w:szCs w:val="20"/>
              </w:rPr>
            </w:r>
          </w:p>
          <w:p>
            <w:pPr>
              <w:pStyle w:val="1148"/>
              <w:jc w:val="center"/>
              <w:rPr>
                <w:sz w:val="20"/>
                <w:szCs w:val="20"/>
              </w:rPr>
            </w:pPr>
            <w:r>
              <w:rPr>
                <w:sz w:val="20"/>
                <w:szCs w:val="20"/>
              </w:rPr>
              <w:t xml:space="preserve">минимум 500 руб., максимум 80 000 руб. </w:t>
            </w:r>
            <w:r>
              <w:rPr>
                <w:sz w:val="20"/>
                <w:szCs w:val="20"/>
              </w:rPr>
            </w:r>
            <w:r>
              <w:rPr>
                <w:sz w:val="20"/>
                <w:szCs w:val="20"/>
              </w:rPr>
            </w:r>
          </w:p>
        </w:tc>
        <w:tc>
          <w:tcPr>
            <w:tcW w:w="3969" w:type="dxa"/>
            <w:vAlign w:val="top"/>
            <w:textDirection w:val="lrTb"/>
            <w:noWrap w:val="false"/>
          </w:tcPr>
          <w:p>
            <w:pPr>
              <w:pStyle w:val="1148"/>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48"/>
              <w:jc w:val="both"/>
              <w:rPr>
                <w:sz w:val="20"/>
                <w:szCs w:val="20"/>
              </w:rPr>
            </w:pPr>
            <w:r>
              <w:rPr>
                <w:sz w:val="20"/>
                <w:szCs w:val="20"/>
              </w:rPr>
              <w:t xml:space="preserve">Комиссия взимается:</w:t>
            </w:r>
            <w:r>
              <w:rPr>
                <w:sz w:val="20"/>
                <w:szCs w:val="20"/>
              </w:rPr>
            </w:r>
            <w:r>
              <w:rPr>
                <w:sz w:val="20"/>
                <w:szCs w:val="20"/>
              </w:rPr>
            </w:r>
          </w:p>
          <w:p>
            <w:pPr>
              <w:pStyle w:val="1148"/>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spacing w:before="40"/>
              <w:rPr>
                <w:sz w:val="20"/>
                <w:szCs w:val="20"/>
              </w:rPr>
            </w:pPr>
            <w:r>
              <w:rPr>
                <w:sz w:val="20"/>
                <w:szCs w:val="20"/>
              </w:rPr>
              <w:t xml:space="preserve">3.6.</w:t>
            </w:r>
            <w:r>
              <w:rPr>
                <w:sz w:val="20"/>
                <w:szCs w:val="20"/>
              </w:rPr>
            </w:r>
            <w:r>
              <w:rPr>
                <w:sz w:val="20"/>
                <w:szCs w:val="20"/>
              </w:rPr>
            </w:r>
          </w:p>
        </w:tc>
        <w:tc>
          <w:tcPr>
            <w:tcW w:w="3402" w:type="dxa"/>
            <w:vAlign w:val="top"/>
            <w:textDirection w:val="lrTb"/>
            <w:noWrap w:val="false"/>
          </w:tcPr>
          <w:p>
            <w:pPr>
              <w:pStyle w:val="1148"/>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126" w:type="dxa"/>
            <w:vAlign w:val="top"/>
            <w:textDirection w:val="lrTb"/>
            <w:noWrap w:val="false"/>
          </w:tcPr>
          <w:p>
            <w:pPr>
              <w:pStyle w:val="1148"/>
              <w:contextualSpacing/>
              <w:jc w:val="center"/>
              <w:rPr>
                <w:sz w:val="20"/>
                <w:szCs w:val="20"/>
              </w:rPr>
            </w:pPr>
            <w:r>
              <w:rPr>
                <w:sz w:val="20"/>
                <w:szCs w:val="20"/>
              </w:rPr>
              <w:t xml:space="preserve">0,12%</w:t>
            </w:r>
            <w:r>
              <w:rPr>
                <w:sz w:val="20"/>
                <w:szCs w:val="20"/>
              </w:rPr>
            </w:r>
            <w:r>
              <w:rPr>
                <w:sz w:val="20"/>
                <w:szCs w:val="20"/>
              </w:rPr>
            </w:r>
          </w:p>
          <w:p>
            <w:pPr>
              <w:pStyle w:val="1148"/>
              <w:contextualSpacing/>
              <w:jc w:val="center"/>
              <w:rPr>
                <w:sz w:val="20"/>
                <w:szCs w:val="20"/>
              </w:rPr>
            </w:pPr>
            <w:r>
              <w:rPr>
                <w:sz w:val="20"/>
                <w:szCs w:val="20"/>
              </w:rPr>
              <w:t xml:space="preserve">минимум </w:t>
            </w:r>
            <w:r>
              <w:rPr>
                <w:sz w:val="20"/>
                <w:szCs w:val="20"/>
              </w:rPr>
              <w:t xml:space="preserve">1</w:t>
            </w:r>
            <w:r>
              <w:rPr>
                <w:sz w:val="20"/>
                <w:szCs w:val="20"/>
              </w:rPr>
              <w:t xml:space="preserve">50 руб.,</w:t>
            </w:r>
            <w:r>
              <w:rPr>
                <w:sz w:val="20"/>
                <w:szCs w:val="20"/>
              </w:rPr>
            </w:r>
            <w:r>
              <w:rPr>
                <w:sz w:val="20"/>
                <w:szCs w:val="20"/>
              </w:rPr>
            </w:r>
          </w:p>
          <w:p>
            <w:pPr>
              <w:pStyle w:val="1148"/>
              <w:contextualSpacing/>
              <w:jc w:val="center"/>
              <w:rPr>
                <w:sz w:val="20"/>
                <w:szCs w:val="20"/>
              </w:rPr>
            </w:pPr>
            <w:r>
              <w:rPr>
                <w:sz w:val="20"/>
                <w:szCs w:val="20"/>
              </w:rPr>
              <w:t xml:space="preserve">максимум </w:t>
            </w:r>
            <w:r>
              <w:rPr>
                <w:sz w:val="20"/>
                <w:szCs w:val="20"/>
              </w:rPr>
              <w:t xml:space="preserve">5</w:t>
            </w:r>
            <w:r>
              <w:rPr>
                <w:sz w:val="20"/>
                <w:szCs w:val="20"/>
              </w:rPr>
              <w:t xml:space="preserve"> 000 руб.</w:t>
            </w:r>
            <w:r>
              <w:rPr>
                <w:sz w:val="20"/>
                <w:szCs w:val="20"/>
              </w:rPr>
            </w:r>
            <w:r>
              <w:rPr>
                <w:sz w:val="20"/>
                <w:szCs w:val="20"/>
              </w:rPr>
            </w:r>
          </w:p>
          <w:p>
            <w:pPr>
              <w:pStyle w:val="1148"/>
              <w:contextualSpacing/>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48"/>
              <w:jc w:val="both"/>
              <w:rPr>
                <w:b/>
                <w:sz w:val="20"/>
                <w:szCs w:val="20"/>
              </w:rPr>
            </w:pPr>
            <w:r>
              <w:rPr>
                <w:b/>
                <w:sz w:val="20"/>
                <w:szCs w:val="20"/>
              </w:rPr>
              <w:t xml:space="preserve">Комиссия не взимается:</w:t>
            </w:r>
            <w:r>
              <w:rPr>
                <w:b/>
                <w:sz w:val="20"/>
                <w:szCs w:val="20"/>
              </w:rPr>
            </w:r>
            <w:r>
              <w:rPr>
                <w:b/>
                <w:sz w:val="20"/>
                <w:szCs w:val="20"/>
              </w:rPr>
            </w:r>
          </w:p>
          <w:p>
            <w:pPr>
              <w:pStyle w:val="1148"/>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48"/>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48"/>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48"/>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48"/>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3.7.</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3969" w:type="dxa"/>
            <w:vAlign w:val="top"/>
            <w:textDirection w:val="lrTb"/>
            <w:noWrap w:val="false"/>
          </w:tcPr>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48"/>
              <w:jc w:val="center"/>
              <w:rPr>
                <w:sz w:val="20"/>
                <w:szCs w:val="20"/>
              </w:rPr>
            </w:pPr>
            <w:r>
              <w:rPr>
                <w:sz w:val="20"/>
                <w:szCs w:val="20"/>
              </w:rPr>
              <w:t xml:space="preserve">3.8.</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126" w:type="dxa"/>
            <w:vAlign w:val="top"/>
            <w:textDirection w:val="lrTb"/>
            <w:noWrap w:val="false"/>
          </w:tcPr>
          <w:p>
            <w:pPr>
              <w:pStyle w:val="1148"/>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50 руб. за лист, максимум 1 000 руб.</w:t>
            </w:r>
            <w:r>
              <w:rPr>
                <w:sz w:val="20"/>
                <w:szCs w:val="20"/>
              </w:rPr>
            </w:r>
            <w:r>
              <w:rPr>
                <w:sz w:val="20"/>
                <w:szCs w:val="20"/>
              </w:rPr>
            </w:r>
          </w:p>
        </w:tc>
        <w:tc>
          <w:tcPr>
            <w:tcW w:w="3969" w:type="dxa"/>
            <w:vAlign w:val="top"/>
            <w:textDirection w:val="lrTb"/>
            <w:noWrap w:val="false"/>
          </w:tcPr>
          <w:p>
            <w:pPr>
              <w:pStyle w:val="1148"/>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48"/>
              <w:jc w:val="center"/>
              <w:rPr>
                <w:sz w:val="20"/>
                <w:szCs w:val="20"/>
              </w:rPr>
            </w:pPr>
            <w:r>
              <w:rPr>
                <w:sz w:val="20"/>
                <w:szCs w:val="20"/>
              </w:rPr>
              <w:t xml:space="preserve">3.9</w:t>
            </w:r>
            <w:r>
              <w:rPr>
                <w:sz w:val="20"/>
                <w:szCs w:val="20"/>
              </w:rPr>
              <w:t xml:space="preserve">.</w:t>
            </w:r>
            <w:r>
              <w:rPr>
                <w:sz w:val="20"/>
                <w:szCs w:val="20"/>
              </w:rPr>
            </w:r>
            <w:r>
              <w:rPr>
                <w:sz w:val="20"/>
                <w:szCs w:val="20"/>
              </w:rPr>
            </w:r>
          </w:p>
        </w:tc>
        <w:tc>
          <w:tcPr>
            <w:tcW w:w="3402" w:type="dxa"/>
            <w:vAlign w:val="top"/>
            <w:textDirection w:val="lrTb"/>
            <w:noWrap w:val="false"/>
          </w:tcPr>
          <w:p>
            <w:pPr>
              <w:pStyle w:val="1148"/>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1148"/>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148"/>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48"/>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spacing w:after="120"/>
              <w:rPr>
                <w:sz w:val="20"/>
                <w:szCs w:val="20"/>
              </w:rPr>
            </w:pPr>
            <w:r>
              <w:rPr>
                <w:sz w:val="20"/>
                <w:szCs w:val="20"/>
              </w:rPr>
            </w:r>
            <w:r>
              <w:rPr>
                <w:sz w:val="20"/>
                <w:szCs w:val="20"/>
              </w:rPr>
            </w:r>
            <w:r>
              <w:rPr>
                <w:sz w:val="20"/>
                <w:szCs w:val="20"/>
              </w:rPr>
            </w:r>
          </w:p>
        </w:tc>
      </w:tr>
    </w:tbl>
    <w:p>
      <w:pPr>
        <w:pStyle w:val="1148"/>
      </w:pPr>
      <w:r/>
      <w:r/>
    </w:p>
    <w:p>
      <w:pPr>
        <w:pStyle w:val="1148"/>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r>
        <w:rPr>
          <w:i/>
          <w:sz w:val="20"/>
          <w:szCs w:val="20"/>
          <w:u w:val="single"/>
        </w:rPr>
      </w:r>
    </w:p>
    <w:p>
      <w:pPr>
        <w:pStyle w:val="1148"/>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r>
        <w:rPr>
          <w:bCs/>
          <w:i/>
          <w:sz w:val="20"/>
          <w:szCs w:val="20"/>
        </w:rPr>
      </w:r>
    </w:p>
    <w:p>
      <w:pPr>
        <w:pStyle w:val="1148"/>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r>
        <w:rPr>
          <w:bCs/>
          <w:i/>
          <w:sz w:val="20"/>
          <w:szCs w:val="20"/>
        </w:rPr>
      </w:r>
    </w:p>
    <w:p>
      <w:pPr>
        <w:pStyle w:val="1148"/>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r>
        <w:rPr>
          <w:bCs/>
          <w:i/>
          <w:sz w:val="20"/>
          <w:szCs w:val="20"/>
        </w:rPr>
      </w:r>
    </w:p>
    <w:p>
      <w:pPr>
        <w:pStyle w:val="1148"/>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r>
        <w:rPr>
          <w:bCs/>
          <w:i/>
          <w:sz w:val="20"/>
          <w:szCs w:val="20"/>
        </w:rPr>
      </w:r>
    </w:p>
    <w:p>
      <w:pPr>
        <w:pStyle w:val="1148"/>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r>
        <w:rPr>
          <w:bCs/>
          <w:i/>
          <w:sz w:val="20"/>
          <w:szCs w:val="20"/>
        </w:rPr>
      </w:r>
    </w:p>
    <w:p>
      <w:pPr>
        <w:pStyle w:val="1148"/>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r>
        <w:rPr>
          <w:bCs/>
          <w:i/>
          <w:sz w:val="20"/>
          <w:szCs w:val="20"/>
        </w:rPr>
      </w:r>
    </w:p>
    <w:p>
      <w:pPr>
        <w:pStyle w:val="1148"/>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r>
        <w:rPr>
          <w:bCs/>
          <w:i/>
          <w:sz w:val="20"/>
          <w:szCs w:val="20"/>
        </w:rPr>
      </w:r>
    </w:p>
    <w:p>
      <w:pPr>
        <w:pStyle w:val="1148"/>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r>
        <w:rPr>
          <w:bCs/>
          <w:i/>
          <w:sz w:val="20"/>
          <w:szCs w:val="20"/>
        </w:rPr>
      </w:r>
    </w:p>
    <w:p>
      <w:pPr>
        <w:pStyle w:val="1148"/>
        <w:rPr>
          <w:bCs/>
          <w:i/>
          <w:sz w:val="20"/>
          <w:szCs w:val="20"/>
        </w:rPr>
      </w:pPr>
      <w:r>
        <w:rPr>
          <w:bCs/>
          <w:i/>
          <w:sz w:val="20"/>
          <w:szCs w:val="20"/>
        </w:rPr>
        <w:t xml:space="preserve">Комиссионное вознаграждение взимается: </w:t>
      </w:r>
      <w:r>
        <w:rPr>
          <w:bCs/>
          <w:i/>
          <w:sz w:val="20"/>
          <w:szCs w:val="20"/>
        </w:rPr>
      </w:r>
      <w:r>
        <w:rPr>
          <w:bCs/>
          <w:i/>
          <w:sz w:val="20"/>
          <w:szCs w:val="20"/>
        </w:rPr>
      </w:r>
    </w:p>
    <w:p>
      <w:pPr>
        <w:pStyle w:val="1148"/>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r>
        <w:rPr>
          <w:bCs/>
          <w:i/>
          <w:sz w:val="20"/>
          <w:szCs w:val="20"/>
        </w:rPr>
      </w:r>
    </w:p>
    <w:p>
      <w:pPr>
        <w:pStyle w:val="1148"/>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r>
        <w:rPr>
          <w:bCs/>
          <w:i/>
          <w:sz w:val="20"/>
          <w:szCs w:val="20"/>
        </w:rPr>
      </w:r>
    </w:p>
    <w:p>
      <w:pPr>
        <w:pStyle w:val="1148"/>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r>
        <w:rPr>
          <w:bCs/>
          <w:i/>
          <w:sz w:val="20"/>
          <w:szCs w:val="20"/>
        </w:rPr>
      </w:r>
    </w:p>
    <w:p>
      <w:pPr>
        <w:pStyle w:val="1148"/>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r>
        <w:rPr>
          <w:i/>
          <w:sz w:val="20"/>
          <w:szCs w:val="20"/>
        </w:rPr>
      </w:r>
    </w:p>
    <w:p>
      <w:pPr>
        <w:pStyle w:val="1148"/>
        <w:rPr>
          <w:i/>
          <w:sz w:val="20"/>
          <w:szCs w:val="20"/>
        </w:rPr>
      </w:pPr>
      <w:r>
        <w:rPr>
          <w:i/>
          <w:sz w:val="20"/>
          <w:szCs w:val="20"/>
        </w:rPr>
        <w:t xml:space="preserve">*** Днем оказания услуги по валютному контролю является:</w:t>
      </w:r>
      <w:r>
        <w:rPr>
          <w:i/>
          <w:sz w:val="20"/>
          <w:szCs w:val="20"/>
        </w:rPr>
      </w:r>
      <w:r>
        <w:rPr>
          <w:i/>
          <w:sz w:val="20"/>
          <w:szCs w:val="20"/>
        </w:rPr>
      </w:r>
    </w:p>
    <w:p>
      <w:pPr>
        <w:pStyle w:val="1148"/>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r>
        <w:rPr>
          <w:bCs/>
          <w:i/>
          <w:sz w:val="20"/>
          <w:szCs w:val="20"/>
        </w:rPr>
      </w:r>
    </w:p>
    <w:p>
      <w:pPr>
        <w:pStyle w:val="1148"/>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1148"/>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r>
        <w:rPr>
          <w:b/>
          <w:i/>
          <w:sz w:val="20"/>
          <w:szCs w:val="20"/>
        </w:rPr>
      </w:r>
    </w:p>
    <w:p>
      <w:pPr>
        <w:pStyle w:val="1148"/>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r>
        <w:rPr>
          <w:b/>
          <w:i/>
          <w:sz w:val="20"/>
          <w:szCs w:val="20"/>
        </w:rPr>
      </w:r>
    </w:p>
    <w:p>
      <w:pPr>
        <w:pStyle w:val="1148"/>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r>
        <w:rPr>
          <w:b/>
          <w:i/>
          <w:sz w:val="20"/>
          <w:szCs w:val="20"/>
        </w:rPr>
      </w:r>
    </w:p>
    <w:p>
      <w:pPr>
        <w:pStyle w:val="1148"/>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r>
        <w:rPr>
          <w:b/>
          <w:i/>
          <w:sz w:val="20"/>
          <w:szCs w:val="20"/>
        </w:rPr>
      </w:r>
    </w:p>
    <w:p>
      <w:pPr>
        <w:pStyle w:val="1148"/>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r>
        <w:rPr>
          <w:i/>
          <w:sz w:val="20"/>
          <w:szCs w:val="20"/>
        </w:rPr>
      </w:r>
    </w:p>
    <w:p>
      <w:pPr>
        <w:pStyle w:val="1148"/>
        <w:rPr>
          <w:b/>
          <w:i/>
          <w:sz w:val="20"/>
          <w:szCs w:val="20"/>
        </w:rPr>
      </w:pPr>
      <w:r>
        <w:rPr>
          <w:b/>
          <w:i/>
          <w:sz w:val="20"/>
          <w:szCs w:val="20"/>
        </w:rPr>
        <w:t xml:space="preserve">- день направления резиденту информации о коде вида операции.</w:t>
      </w:r>
      <w:r>
        <w:rPr>
          <w:b/>
          <w:i/>
          <w:sz w:val="20"/>
          <w:szCs w:val="20"/>
        </w:rPr>
      </w:r>
      <w:r>
        <w:rPr>
          <w:b/>
          <w:i/>
          <w:sz w:val="20"/>
          <w:szCs w:val="20"/>
        </w:rPr>
      </w:r>
    </w:p>
    <w:p>
      <w:pPr>
        <w:pStyle w:val="1148"/>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r>
        <w:rPr>
          <w:i/>
          <w:sz w:val="20"/>
          <w:szCs w:val="20"/>
        </w:rPr>
      </w:r>
    </w:p>
    <w:p>
      <w:pPr>
        <w:pStyle w:val="1148"/>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r>
        <w:rPr>
          <w:b/>
          <w:i/>
          <w:sz w:val="20"/>
          <w:szCs w:val="20"/>
        </w:rPr>
      </w:r>
    </w:p>
    <w:p>
      <w:pPr>
        <w:pStyle w:val="1148"/>
        <w:rPr>
          <w:bCs/>
          <w:i/>
          <w:sz w:val="20"/>
          <w:szCs w:val="20"/>
        </w:rPr>
      </w:pPr>
      <w:r>
        <w:rPr>
          <w:bCs/>
          <w:i/>
          <w:sz w:val="20"/>
          <w:szCs w:val="20"/>
        </w:rPr>
        <w:t xml:space="preserve">4.     При проверке СПД:</w:t>
      </w:r>
      <w:r>
        <w:rPr>
          <w:bCs/>
          <w:i/>
          <w:sz w:val="20"/>
          <w:szCs w:val="20"/>
        </w:rPr>
      </w:r>
      <w:r>
        <w:rPr>
          <w:bCs/>
          <w:i/>
          <w:sz w:val="20"/>
          <w:szCs w:val="20"/>
        </w:rPr>
      </w:r>
    </w:p>
    <w:p>
      <w:pPr>
        <w:pStyle w:val="1148"/>
        <w:rPr>
          <w:b/>
          <w:bCs/>
          <w:i/>
          <w:sz w:val="20"/>
          <w:szCs w:val="20"/>
        </w:rPr>
      </w:pPr>
      <w:r>
        <w:rPr>
          <w:b/>
          <w:bCs/>
          <w:i/>
          <w:sz w:val="20"/>
          <w:szCs w:val="20"/>
        </w:rPr>
        <w:t xml:space="preserve">- день принятия Банком СПД.</w:t>
      </w:r>
      <w:r>
        <w:rPr>
          <w:b/>
          <w:bCs/>
          <w:i/>
          <w:sz w:val="20"/>
          <w:szCs w:val="20"/>
        </w:rPr>
      </w:r>
      <w:r>
        <w:rPr>
          <w:b/>
          <w:bCs/>
          <w:i/>
          <w:sz w:val="20"/>
          <w:szCs w:val="20"/>
        </w:rPr>
      </w:r>
    </w:p>
    <w:p>
      <w:pPr>
        <w:pStyle w:val="1148"/>
        <w:rPr>
          <w:i/>
          <w:sz w:val="20"/>
          <w:szCs w:val="20"/>
        </w:rPr>
      </w:pPr>
      <w:r>
        <w:rPr>
          <w:i/>
          <w:sz w:val="20"/>
          <w:szCs w:val="20"/>
        </w:rPr>
        <w:t xml:space="preserve">5.     При оформлении Банком СПД за клиента:</w:t>
      </w:r>
      <w:r>
        <w:rPr>
          <w:i/>
          <w:sz w:val="20"/>
          <w:szCs w:val="20"/>
        </w:rPr>
      </w:r>
      <w:r>
        <w:rPr>
          <w:i/>
          <w:sz w:val="20"/>
          <w:szCs w:val="20"/>
        </w:rPr>
      </w:r>
    </w:p>
    <w:p>
      <w:pPr>
        <w:pStyle w:val="1148"/>
        <w:rPr>
          <w:b/>
          <w:i/>
          <w:sz w:val="20"/>
          <w:szCs w:val="20"/>
        </w:rPr>
      </w:pPr>
      <w:r>
        <w:rPr>
          <w:b/>
          <w:i/>
          <w:sz w:val="20"/>
          <w:szCs w:val="20"/>
        </w:rPr>
        <w:t xml:space="preserve">- день оформления Банком СПД.</w:t>
      </w:r>
      <w:r>
        <w:rPr>
          <w:b/>
          <w:i/>
          <w:sz w:val="20"/>
          <w:szCs w:val="20"/>
        </w:rPr>
      </w:r>
      <w:r>
        <w:rPr>
          <w:b/>
          <w:i/>
          <w:sz w:val="20"/>
          <w:szCs w:val="20"/>
        </w:rPr>
      </w:r>
    </w:p>
    <w:p>
      <w:pPr>
        <w:pStyle w:val="1148"/>
        <w:rPr>
          <w:i/>
          <w:sz w:val="20"/>
          <w:szCs w:val="20"/>
        </w:rPr>
      </w:pPr>
      <w:r>
        <w:rPr>
          <w:i/>
          <w:sz w:val="20"/>
          <w:szCs w:val="20"/>
        </w:rPr>
        <w:t xml:space="preserve">6.     При снятии контракта (кредитного договора) с учета:</w:t>
      </w:r>
      <w:r>
        <w:rPr>
          <w:i/>
          <w:sz w:val="20"/>
          <w:szCs w:val="20"/>
        </w:rPr>
      </w:r>
      <w:r>
        <w:rPr>
          <w:i/>
          <w:sz w:val="20"/>
          <w:szCs w:val="20"/>
        </w:rPr>
      </w:r>
    </w:p>
    <w:p>
      <w:pPr>
        <w:pStyle w:val="1148"/>
        <w:rPr>
          <w:b/>
          <w:i/>
          <w:sz w:val="20"/>
          <w:szCs w:val="20"/>
        </w:rPr>
      </w:pPr>
      <w:r>
        <w:rPr>
          <w:b/>
          <w:i/>
          <w:sz w:val="20"/>
          <w:szCs w:val="20"/>
        </w:rPr>
        <w:t xml:space="preserve">- день снятия Банком контракта (кредитного договора) с учета.</w:t>
      </w:r>
      <w:r>
        <w:rPr>
          <w:b/>
          <w:i/>
          <w:sz w:val="20"/>
          <w:szCs w:val="20"/>
        </w:rPr>
      </w:r>
      <w:r>
        <w:rPr>
          <w:b/>
          <w:i/>
          <w:sz w:val="20"/>
          <w:szCs w:val="20"/>
        </w:rPr>
      </w:r>
    </w:p>
    <w:p>
      <w:pPr>
        <w:pStyle w:val="1148"/>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r>
        <w:rPr>
          <w:i/>
          <w:sz w:val="20"/>
          <w:szCs w:val="20"/>
        </w:rPr>
      </w:r>
    </w:p>
    <w:p>
      <w:pPr>
        <w:pStyle w:val="1148"/>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r>
        <w:rPr>
          <w:b/>
          <w:i/>
          <w:sz w:val="20"/>
          <w:szCs w:val="20"/>
        </w:rPr>
      </w:r>
    </w:p>
    <w:p>
      <w:pPr>
        <w:pStyle w:val="1148"/>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1148"/>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r>
        <w:rPr>
          <w:i/>
          <w:sz w:val="20"/>
          <w:szCs w:val="20"/>
        </w:rPr>
      </w:r>
    </w:p>
    <w:p>
      <w:pPr>
        <w:pStyle w:val="1148"/>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1148"/>
        <w:rPr>
          <w:i/>
          <w:sz w:val="20"/>
          <w:szCs w:val="20"/>
        </w:rPr>
      </w:pPr>
      <w:r>
        <w:rPr>
          <w:i/>
          <w:sz w:val="20"/>
          <w:szCs w:val="20"/>
        </w:rPr>
      </w:r>
      <w:r>
        <w:rPr>
          <w:i/>
          <w:sz w:val="20"/>
          <w:szCs w:val="20"/>
        </w:rPr>
      </w:r>
      <w:r>
        <w:rPr>
          <w:i/>
          <w:sz w:val="20"/>
          <w:szCs w:val="20"/>
        </w:rPr>
      </w:r>
    </w:p>
    <w:p>
      <w:pPr>
        <w:pStyle w:val="1148"/>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2"/>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1148"/>
        <w:rPr>
          <w:lang w:val="en-US" w:eastAsia="en-US"/>
        </w:rPr>
      </w:pPr>
      <w:r>
        <w:rPr>
          <w:lang w:val="en-US" w:eastAsia="en-US"/>
        </w:rPr>
      </w: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Borders>
              <w:bottom w:val="single" w:color="000000" w:sz="4" w:space="0"/>
            </w:tcBorders>
            <w:tcW w:w="3260"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4.1.</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8"/>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8"/>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4.2.</w:t>
            </w:r>
            <w:r>
              <w:rPr>
                <w:sz w:val="20"/>
                <w:szCs w:val="20"/>
              </w:rPr>
            </w:r>
            <w:r>
              <w:rPr>
                <w:sz w:val="20"/>
                <w:szCs w:val="20"/>
              </w:rPr>
            </w:r>
          </w:p>
        </w:tc>
        <w:tc>
          <w:tcPr>
            <w:gridSpan w:val="3"/>
            <w:tcW w:w="9214" w:type="dxa"/>
            <w:vAlign w:val="top"/>
            <w:textDirection w:val="lrTb"/>
            <w:noWrap w:val="false"/>
          </w:tcPr>
          <w:p>
            <w:pPr>
              <w:pStyle w:val="1148"/>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8"/>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8"/>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«по предъявлении»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48"/>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bottom w:val="none" w:color="000000" w:sz="4" w:space="0"/>
            </w:tcBorders>
            <w:tcW w:w="3260" w:type="dxa"/>
            <w:vAlign w:val="top"/>
            <w:textDirection w:val="lrTb"/>
            <w:noWrap w:val="false"/>
          </w:tcPr>
          <w:p>
            <w:pPr>
              <w:pStyle w:val="1148"/>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48"/>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none" w:color="000000" w:sz="4" w:space="0"/>
              <w:bottom w:val="single" w:color="000000" w:sz="4" w:space="0"/>
            </w:tcBorders>
            <w:tcW w:w="3260"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48"/>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Borders>
              <w:top w:val="single" w:color="000000" w:sz="4" w:space="0"/>
            </w:tcBorders>
            <w:tcW w:w="1985" w:type="dxa"/>
            <w:vAlign w:val="top"/>
            <w:textDirection w:val="lrTb"/>
            <w:noWrap w:val="false"/>
          </w:tcPr>
          <w:p>
            <w:pPr>
              <w:pStyle w:val="1148"/>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tcBorders>
            <w:tcW w:w="3260"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4.3.</w:t>
            </w:r>
            <w:r>
              <w:rPr>
                <w:sz w:val="20"/>
                <w:szCs w:val="20"/>
              </w:rPr>
            </w:r>
            <w:r>
              <w:rPr>
                <w:sz w:val="20"/>
                <w:szCs w:val="20"/>
              </w:rPr>
            </w:r>
          </w:p>
        </w:tc>
        <w:tc>
          <w:tcPr>
            <w:gridSpan w:val="3"/>
            <w:tcW w:w="9214" w:type="dxa"/>
            <w:vAlign w:val="top"/>
            <w:textDirection w:val="lrTb"/>
            <w:noWrap w:val="false"/>
          </w:tcPr>
          <w:p>
            <w:pPr>
              <w:pStyle w:val="1148"/>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8"/>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48"/>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260" w:type="dxa"/>
            <w:vAlign w:val="top"/>
            <w:textDirection w:val="lrTb"/>
            <w:noWrap w:val="false"/>
          </w:tcPr>
          <w:p>
            <w:pPr>
              <w:pStyle w:val="1148"/>
              <w:jc w:val="both"/>
              <w:spacing w:before="40"/>
              <w:rPr>
                <w:sz w:val="20"/>
                <w:szCs w:val="20"/>
              </w:rPr>
            </w:pPr>
            <w:r>
              <w:rPr>
                <w:sz w:val="20"/>
                <w:szCs w:val="20"/>
              </w:rPr>
              <w:t xml:space="preserve">Комиссия включает НДС.</w:t>
            </w:r>
            <w:r>
              <w:rPr>
                <w:sz w:val="20"/>
                <w:szCs w:val="20"/>
              </w:rPr>
            </w:r>
            <w:r>
              <w:rPr>
                <w:sz w:val="20"/>
                <w:szCs w:val="20"/>
              </w:rPr>
            </w:r>
          </w:p>
          <w:p>
            <w:pPr>
              <w:pStyle w:val="1148"/>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48"/>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48"/>
      </w:pPr>
      <w:r/>
      <w:bookmarkStart w:id="32" w:name="_Toc341179150"/>
      <w:r/>
      <w:bookmarkStart w:id="33" w:name="_Toc341179207"/>
      <w:r/>
      <w:r/>
    </w:p>
    <w:p>
      <w:pPr>
        <w:pStyle w:val="1152"/>
        <w:numPr>
          <w:ilvl w:val="0"/>
          <w:numId w:val="16"/>
        </w:numPr>
      </w:pPr>
      <w:r/>
      <w:bookmarkStart w:id="34" w:name="_Toc170984450"/>
      <w:r>
        <w:t xml:space="preserve">Документарные операции</w:t>
      </w:r>
      <w:bookmarkEnd w:id="32"/>
      <w:r/>
      <w:bookmarkEnd w:id="33"/>
      <w:r/>
      <w:bookmarkEnd w:id="34"/>
      <w:r/>
      <w:r/>
    </w:p>
    <w:p>
      <w:pPr>
        <w:pStyle w:val="1148"/>
        <w:rPr>
          <w:lang w:val="en-US" w:eastAsia="en-US"/>
        </w:rPr>
      </w:pPr>
      <w:r>
        <w:rPr>
          <w:lang w:val="en-US" w:eastAsia="en-US"/>
        </w:rPr>
      </w: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
                <w:sz w:val="22"/>
                <w:szCs w:val="22"/>
              </w:rPr>
            </w:pPr>
            <w:r>
              <w:rPr>
                <w:b/>
                <w:sz w:val="22"/>
                <w:szCs w:val="22"/>
              </w:rPr>
              <w:t xml:space="preserve">№</w:t>
            </w:r>
            <w:r>
              <w:rPr>
                <w:b/>
                <w:sz w:val="22"/>
                <w:szCs w:val="22"/>
              </w:rPr>
            </w:r>
            <w:r>
              <w:rPr>
                <w:b/>
                <w:sz w:val="22"/>
                <w:szCs w:val="22"/>
              </w:rPr>
            </w:r>
          </w:p>
          <w:p>
            <w:pPr>
              <w:pStyle w:val="1148"/>
              <w:jc w:val="center"/>
              <w:rPr>
                <w:b/>
                <w:sz w:val="22"/>
                <w:szCs w:val="22"/>
              </w:rPr>
            </w:pPr>
            <w:r>
              <w:rPr>
                <w:b/>
                <w:sz w:val="22"/>
                <w:szCs w:val="22"/>
              </w:rPr>
              <w:t xml:space="preserve">п/п </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jc w:val="center"/>
              <w:rPr>
                <w:b/>
                <w:sz w:val="22"/>
                <w:szCs w:val="22"/>
              </w:rPr>
            </w:pPr>
            <w:r>
              <w:rPr>
                <w:b/>
                <w:sz w:val="22"/>
                <w:szCs w:val="22"/>
              </w:rPr>
              <w:t xml:space="preserve">Наименование услуги</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
                <w:sz w:val="22"/>
                <w:szCs w:val="22"/>
              </w:rPr>
            </w:pPr>
            <w:r>
              <w:rPr>
                <w:b/>
                <w:sz w:val="22"/>
                <w:szCs w:val="22"/>
              </w:rPr>
              <w:t xml:space="preserve">Тариф</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8"/>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48"/>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48"/>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8"/>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48"/>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48"/>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8"/>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48"/>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r>
              <w:rPr>
                <w:rFonts w:eastAsia="Calibri"/>
                <w:iCs/>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8"/>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8"/>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48"/>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48"/>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48"/>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1148"/>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48"/>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p>
            <w:pPr>
              <w:pStyle w:val="1148"/>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8"/>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sz w:val="20"/>
                <w:szCs w:val="20"/>
              </w:rPr>
              <w:t xml:space="preserve">0,15% от суммы,</w:t>
            </w:r>
            <w:r>
              <w:rPr>
                <w:sz w:val="20"/>
                <w:szCs w:val="20"/>
              </w:rPr>
            </w:r>
            <w:r>
              <w:rPr>
                <w:sz w:val="20"/>
                <w:szCs w:val="20"/>
              </w:rPr>
            </w:r>
          </w:p>
          <w:p>
            <w:pPr>
              <w:pStyle w:val="114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48"/>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sz w:val="20"/>
                <w:szCs w:val="20"/>
              </w:rPr>
              <w:t xml:space="preserve">0,15% от суммы,</w:t>
            </w:r>
            <w:r>
              <w:rPr>
                <w:sz w:val="20"/>
                <w:szCs w:val="20"/>
              </w:rPr>
            </w:r>
            <w:r>
              <w:rPr>
                <w:sz w:val="20"/>
                <w:szCs w:val="20"/>
              </w:rPr>
            </w:r>
          </w:p>
          <w:p>
            <w:pPr>
              <w:pStyle w:val="114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48"/>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pPr>
            <w:r>
              <w:rPr>
                <w:sz w:val="20"/>
                <w:szCs w:val="20"/>
                <w:lang w:val="en-US"/>
              </w:rPr>
              <w:t xml:space="preserve">5</w:t>
            </w:r>
            <w:r>
              <w:rPr>
                <w:sz w:val="20"/>
                <w:szCs w:val="20"/>
              </w:rPr>
              <w:t xml:space="preserve">.4.5</w:t>
            </w: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bl>
    <w:p>
      <w:pPr>
        <w:pStyle w:val="1148"/>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48"/>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48"/>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48"/>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48"/>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48"/>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48"/>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48"/>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48"/>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48"/>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52"/>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48"/>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48"/>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1148"/>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48"/>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8"/>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48"/>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r>
              <w:rPr>
                <w:rFonts w:eastAsia="Calibri"/>
                <w:sz w:val="20"/>
                <w:szCs w:val="20"/>
              </w:rPr>
            </w:r>
          </w:p>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1148"/>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48"/>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8"/>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48"/>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48"/>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48"/>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40"/>
              <w:rPr>
                <w:sz w:val="20"/>
                <w:szCs w:val="20"/>
              </w:rPr>
            </w:pPr>
            <w:r>
              <w:rPr>
                <w:sz w:val="20"/>
                <w:szCs w:val="20"/>
              </w:rPr>
              <w:t xml:space="preserve">6.2.2.</w:t>
            </w:r>
            <w:r>
              <w:rPr>
                <w:sz w:val="20"/>
                <w:szCs w:val="20"/>
              </w:rPr>
            </w:r>
            <w:r>
              <w:rPr>
                <w:sz w:val="20"/>
                <w:szCs w:val="20"/>
              </w:rPr>
            </w:r>
          </w:p>
          <w:p>
            <w:pPr>
              <w:pStyle w:val="1148"/>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8"/>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48"/>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8"/>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8"/>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48"/>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48"/>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48"/>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48"/>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48"/>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48"/>
      </w:pPr>
      <w:r/>
      <w:r/>
    </w:p>
    <w:p>
      <w:pPr>
        <w:pStyle w:val="1152"/>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1148"/>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48"/>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48"/>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48"/>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48"/>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1148"/>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48"/>
              <w:spacing w:before="40" w:after="40"/>
              <w:rPr>
                <w:bCs/>
                <w:sz w:val="20"/>
                <w:szCs w:val="20"/>
                <w:lang w:val="en-US"/>
              </w:rPr>
            </w:pPr>
            <w:r>
              <w:rPr>
                <w:bCs/>
                <w:sz w:val="20"/>
                <w:szCs w:val="20"/>
              </w:rPr>
              <w:t xml:space="preserve">- по г. </w:t>
            </w:r>
            <w:r>
              <w:rPr>
                <w:bCs/>
                <w:sz w:val="20"/>
                <w:szCs w:val="20"/>
              </w:rPr>
              <w:t xml:space="preserve">Казань</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48"/>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48"/>
              <w:spacing w:before="40" w:after="40"/>
              <w:rPr>
                <w:bCs/>
                <w:sz w:val="20"/>
                <w:szCs w:val="20"/>
              </w:rPr>
            </w:pPr>
            <w:r>
              <w:rPr>
                <w:bCs/>
                <w:sz w:val="20"/>
                <w:szCs w:val="20"/>
              </w:rPr>
              <w:t xml:space="preserve">- по </w:t>
            </w:r>
            <w:r>
              <w:rPr>
                <w:bCs/>
                <w:sz w:val="20"/>
                <w:szCs w:val="20"/>
              </w:rPr>
              <w:t xml:space="preserve">Республике Татарстан  </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48"/>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48"/>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48"/>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1148"/>
              <w:jc w:val="center"/>
              <w:spacing w:before="40"/>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1148"/>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48"/>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48"/>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48"/>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1148"/>
              <w:jc w:val="center"/>
              <w:rPr>
                <w:sz w:val="20"/>
                <w:szCs w:val="20"/>
              </w:rPr>
            </w:pPr>
            <w:r>
              <w:rPr>
                <w:sz w:val="20"/>
                <w:szCs w:val="20"/>
              </w:rPr>
              <w:t xml:space="preserve">5 000 руб. в месяц</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900 руб. в месяц</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900 руб. в месяц</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1148"/>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48"/>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48"/>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48"/>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48"/>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48"/>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48"/>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48"/>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48"/>
              <w:jc w:val="both"/>
              <w:spacing w:before="40"/>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1148"/>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48"/>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48"/>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48"/>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r>
              <w:rPr>
                <w:bCs/>
                <w:sz w:val="20"/>
                <w:szCs w:val="20"/>
              </w:rPr>
            </w:r>
          </w:p>
          <w:p>
            <w:pPr>
              <w:pStyle w:val="1148"/>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48"/>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48"/>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48"/>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48"/>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8"/>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48"/>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48"/>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48"/>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48"/>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48"/>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48"/>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48"/>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48"/>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48"/>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48"/>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8"/>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48"/>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48"/>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48"/>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48"/>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1148"/>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48"/>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48"/>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48"/>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1148"/>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48"/>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48"/>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48"/>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48"/>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48"/>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4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4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8"/>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8"/>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4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48"/>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48"/>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4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48"/>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48"/>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4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48"/>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48"/>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48"/>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48"/>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48"/>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48"/>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48"/>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48"/>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1148"/>
            </w:pPr>
            <w:r>
              <w:t xml:space="preserve">Сервис «SMS информирование»</w:t>
            </w:r>
            <w:r/>
          </w:p>
          <w:p>
            <w:pPr>
              <w:pStyle w:val="114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7.9.1.</w:t>
            </w:r>
            <w:r>
              <w:rPr>
                <w:bCs/>
                <w:sz w:val="20"/>
                <w:szCs w:val="20"/>
              </w:rPr>
            </w:r>
            <w:r>
              <w:rPr>
                <w:bCs/>
                <w:sz w:val="20"/>
                <w:szCs w:val="20"/>
              </w:rPr>
            </w:r>
          </w:p>
        </w:tc>
        <w:tc>
          <w:tcPr>
            <w:tcBorders>
              <w:bottom w:val="single" w:color="000000" w:sz="4" w:space="0"/>
            </w:tcBorders>
            <w:tcW w:w="2854" w:type="dxa"/>
            <w:vAlign w:val="top"/>
            <w:textDirection w:val="lrTb"/>
            <w:noWrap w:val="false"/>
          </w:tcPr>
          <w:p>
            <w:pPr>
              <w:pStyle w:val="1148"/>
              <w:spacing w:before="40" w:after="40"/>
              <w:rPr>
                <w:bCs/>
                <w:sz w:val="20"/>
                <w:szCs w:val="20"/>
              </w:rPr>
            </w:pPr>
            <w:r>
              <w:rPr>
                <w:bCs/>
                <w:sz w:val="20"/>
                <w:szCs w:val="20"/>
              </w:rPr>
              <w:t xml:space="preserve">Комиссионное вознаграждение (абонентская плата) </w:t>
            </w:r>
            <w:r>
              <w:rPr>
                <w:bCs/>
                <w:sz w:val="20"/>
                <w:szCs w:val="20"/>
              </w:rPr>
            </w:r>
            <w:r>
              <w:rPr>
                <w:bCs/>
                <w:sz w:val="20"/>
                <w:szCs w:val="20"/>
              </w:rPr>
            </w:r>
          </w:p>
          <w:p>
            <w:pPr>
              <w:pStyle w:val="1148"/>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r>
              <w:rPr>
                <w:bCs/>
                <w:sz w:val="20"/>
                <w:szCs w:val="20"/>
              </w:rPr>
            </w:r>
          </w:p>
          <w:p>
            <w:pPr>
              <w:pStyle w:val="1148"/>
              <w:jc w:val="center"/>
              <w:spacing w:before="40" w:after="40"/>
              <w:rPr>
                <w:bCs/>
                <w:sz w:val="20"/>
                <w:szCs w:val="20"/>
              </w:rPr>
            </w:pPr>
            <w:r>
              <w:rPr>
                <w:bCs/>
                <w:sz w:val="20"/>
                <w:szCs w:val="20"/>
              </w:rPr>
              <w:t xml:space="preserve">к Сервису, </w:t>
            </w:r>
            <w:r>
              <w:rPr>
                <w:bCs/>
                <w:sz w:val="20"/>
                <w:szCs w:val="20"/>
              </w:rPr>
            </w:r>
            <w:r>
              <w:rPr>
                <w:bCs/>
                <w:sz w:val="20"/>
                <w:szCs w:val="20"/>
              </w:rPr>
            </w:r>
          </w:p>
          <w:p>
            <w:pPr>
              <w:pStyle w:val="1148"/>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48"/>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48"/>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48"/>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48"/>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bl>
    <w:p>
      <w:pPr>
        <w:pStyle w:val="1148"/>
        <w:jc w:val="both"/>
        <w:rPr>
          <w:bCs/>
          <w:iCs/>
          <w:sz w:val="20"/>
          <w:szCs w:val="20"/>
        </w:rPr>
      </w:pPr>
      <w:r>
        <w:rPr>
          <w:bCs/>
          <w:iCs/>
          <w:sz w:val="20"/>
          <w:szCs w:val="20"/>
        </w:rPr>
      </w:r>
      <w:r>
        <w:rPr>
          <w:bCs/>
          <w:iCs/>
          <w:sz w:val="20"/>
          <w:szCs w:val="20"/>
        </w:rPr>
      </w:r>
      <w:r>
        <w:rPr>
          <w:bCs/>
          <w:iCs/>
          <w:sz w:val="20"/>
          <w:szCs w:val="20"/>
        </w:rPr>
      </w:r>
    </w:p>
    <w:p>
      <w:pPr>
        <w:pStyle w:val="1148"/>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48"/>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1148"/>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jc w:val="both"/>
        <w:spacing w:before="40"/>
        <w:tabs>
          <w:tab w:val="left" w:pos="284" w:leader="none"/>
          <w:tab w:val="left" w:pos="1134" w:leader="none"/>
        </w:tabs>
        <w:rPr>
          <w:b/>
          <w:bCs/>
          <w:i/>
          <w:sz w:val="20"/>
          <w:szCs w:val="20"/>
        </w:rPr>
      </w:pPr>
      <w:r>
        <w:rPr>
          <w:b/>
          <w:bCs/>
          <w:i/>
          <w:sz w:val="20"/>
          <w:szCs w:val="20"/>
        </w:rPr>
      </w:r>
      <w:r>
        <w:rPr>
          <w:b/>
          <w:bCs/>
          <w:i/>
          <w:sz w:val="20"/>
          <w:szCs w:val="20"/>
        </w:rPr>
      </w:r>
      <w:r>
        <w:rPr>
          <w:b/>
          <w:bCs/>
          <w:i/>
          <w:sz w:val="20"/>
          <w:szCs w:val="20"/>
        </w:rPr>
      </w:r>
    </w:p>
    <w:p>
      <w:pPr>
        <w:pStyle w:val="1152"/>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1148"/>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1148"/>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48"/>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W w:w="1985" w:type="dxa"/>
            <w:vAlign w:val="top"/>
            <w:textDirection w:val="lrTb"/>
            <w:noWrap w:val="false"/>
          </w:tcPr>
          <w:p>
            <w:pPr>
              <w:pStyle w:val="1148"/>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W w:w="3260" w:type="dxa"/>
            <w:vAlign w:val="top"/>
            <w:textDirection w:val="lrTb"/>
            <w:noWrap w:val="false"/>
          </w:tcPr>
          <w:p>
            <w:pPr>
              <w:pStyle w:val="1148"/>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8.1.</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8.2.</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8.3.</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8.4.</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52"/>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48"/>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48"/>
              <w:rPr>
                <w:sz w:val="20"/>
                <w:szCs w:val="20"/>
              </w:rPr>
            </w:pPr>
            <w:r>
              <w:rPr>
                <w:sz w:val="20"/>
                <w:szCs w:val="20"/>
              </w:rPr>
            </w: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48"/>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48"/>
              <w:rPr>
                <w:sz w:val="20"/>
                <w:szCs w:val="20"/>
              </w:rPr>
            </w:pPr>
            <w:r>
              <w:rPr>
                <w:sz w:val="20"/>
                <w:szCs w:val="20"/>
              </w:rPr>
            </w: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48"/>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9.1.</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sz w:val="20"/>
                <w:szCs w:val="20"/>
              </w:rPr>
            </w:pPr>
            <w:r>
              <w:rPr>
                <w:sz w:val="20"/>
                <w:szCs w:val="20"/>
              </w:rPr>
              <w:t xml:space="preserve"> </w:t>
            </w:r>
            <w:r>
              <w:rPr>
                <w:sz w:val="20"/>
                <w:szCs w:val="20"/>
              </w:rPr>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1148"/>
              <w:jc w:val="center"/>
              <w:rPr>
                <w:sz w:val="18"/>
                <w:szCs w:val="18"/>
              </w:rPr>
            </w:pPr>
            <w:r>
              <w:rPr>
                <w:sz w:val="18"/>
                <w:szCs w:val="18"/>
              </w:rPr>
              <w:t xml:space="preserve"> </w:t>
            </w:r>
            <w:r>
              <w:rPr>
                <w:sz w:val="18"/>
                <w:szCs w:val="18"/>
              </w:rPr>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8"/>
              <w:rPr>
                <w:sz w:val="20"/>
                <w:szCs w:val="20"/>
              </w:rPr>
            </w:pPr>
            <w:r>
              <w:rPr>
                <w:sz w:val="20"/>
                <w:szCs w:val="20"/>
              </w:rPr>
              <w:t xml:space="preserve">9.1.1.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w:t>
            </w:r>
            <w:r>
              <w:rPr>
                <w:color w:val="000000"/>
                <w:sz w:val="20"/>
                <w:szCs w:val="20"/>
              </w:rPr>
              <w:t xml:space="preserve">75</w:t>
            </w:r>
            <w:r>
              <w:rPr>
                <w:color w:val="000000"/>
                <w:sz w:val="20"/>
                <w:szCs w:val="20"/>
              </w:rPr>
              <w:t xml:space="preserve">х</w:t>
            </w:r>
            <w:r>
              <w:rPr>
                <w:color w:val="000000"/>
                <w:sz w:val="20"/>
                <w:szCs w:val="20"/>
              </w:rPr>
              <w:t xml:space="preserve">220</w:t>
            </w:r>
            <w:r>
              <w:rPr>
                <w:color w:val="000000"/>
                <w:sz w:val="20"/>
                <w:szCs w:val="20"/>
              </w:rPr>
              <w:t xml:space="preserve">х</w:t>
            </w:r>
            <w:r>
              <w:rPr>
                <w:color w:val="000000"/>
                <w:sz w:val="20"/>
                <w:szCs w:val="20"/>
              </w:rPr>
              <w:t xml:space="preserve">3</w:t>
            </w:r>
            <w:r>
              <w:rPr>
                <w:color w:val="000000"/>
                <w:sz w:val="20"/>
                <w:szCs w:val="20"/>
              </w:rPr>
              <w:t xml:space="preserve">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top"/>
            <w:vMerge w:val="restart"/>
            <w:textDirection w:val="lrTb"/>
            <w:noWrap w:val="false"/>
          </w:tcPr>
          <w:p>
            <w:pPr>
              <w:pStyle w:val="1148"/>
              <w:rPr>
                <w:color w:val="000000"/>
                <w:sz w:val="18"/>
                <w:szCs w:val="18"/>
              </w:rPr>
            </w:pPr>
            <w:r>
              <w:rPr>
                <w:color w:val="000000"/>
                <w:sz w:val="18"/>
                <w:szCs w:val="18"/>
              </w:rPr>
              <w:t xml:space="preserve">Тариф включает </w:t>
            </w:r>
            <w:r>
              <w:rPr>
                <w:color w:val="000000"/>
                <w:sz w:val="18"/>
                <w:szCs w:val="18"/>
              </w:rPr>
              <w:t xml:space="preserve"> в себя НДС(дополнительно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  </w:t>
            </w:r>
            <w:r>
              <w:rPr>
                <w:color w:val="000000"/>
                <w:sz w:val="18"/>
                <w:szCs w:val="18"/>
              </w:rPr>
            </w:r>
            <w:r>
              <w:rPr>
                <w:color w:val="000000"/>
                <w:sz w:val="18"/>
                <w:szCs w:val="18"/>
              </w:rPr>
            </w:r>
          </w:p>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255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top"/>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360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615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16</w:t>
            </w:r>
            <w:r>
              <w:rPr>
                <w:color w:val="000000"/>
                <w:sz w:val="20"/>
                <w:szCs w:val="20"/>
              </w:rPr>
              <w:t xml:space="preserve"> руб. в день;</w:t>
            </w:r>
            <w:r>
              <w:rPr>
                <w:color w:val="000000"/>
                <w:sz w:val="20"/>
                <w:szCs w:val="20"/>
              </w:rPr>
            </w:r>
            <w:r>
              <w:rPr>
                <w:color w:val="000000"/>
                <w:sz w:val="20"/>
                <w:szCs w:val="20"/>
              </w:rPr>
            </w:r>
          </w:p>
          <w:p>
            <w:pPr>
              <w:pStyle w:val="1148"/>
              <w:jc w:val="center"/>
              <w:rPr>
                <w:color w:val="000000"/>
                <w:sz w:val="20"/>
                <w:szCs w:val="20"/>
              </w:rPr>
            </w:pPr>
            <w:r>
              <w:rPr>
                <w:color w:val="000000"/>
                <w:sz w:val="20"/>
                <w:szCs w:val="20"/>
              </w:rPr>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8"/>
              <w:rPr>
                <w:sz w:val="20"/>
                <w:szCs w:val="20"/>
              </w:rPr>
            </w:pPr>
            <w:r>
              <w:rPr>
                <w:sz w:val="20"/>
                <w:szCs w:val="20"/>
              </w:rPr>
              <w:t xml:space="preserve">9.1.2.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w:t>
            </w:r>
            <w:r>
              <w:rPr>
                <w:color w:val="000000"/>
                <w:sz w:val="20"/>
                <w:szCs w:val="20"/>
              </w:rPr>
              <w:t xml:space="preserve">50</w:t>
            </w:r>
            <w:r>
              <w:rPr>
                <w:color w:val="000000"/>
                <w:sz w:val="20"/>
                <w:szCs w:val="20"/>
              </w:rPr>
              <w:t xml:space="preserve">х2</w:t>
            </w:r>
            <w:r>
              <w:rPr>
                <w:color w:val="000000"/>
                <w:sz w:val="20"/>
                <w:szCs w:val="20"/>
              </w:rPr>
              <w:t xml:space="preserve">2</w:t>
            </w:r>
            <w:r>
              <w:rPr>
                <w:color w:val="000000"/>
                <w:sz w:val="20"/>
                <w:szCs w:val="20"/>
              </w:rPr>
              <w:t xml:space="preserve">0х</w:t>
            </w:r>
            <w:r>
              <w:rPr>
                <w:color w:val="000000"/>
                <w:sz w:val="20"/>
                <w:szCs w:val="20"/>
              </w:rPr>
              <w:t xml:space="preserve">3</w:t>
            </w:r>
            <w:r>
              <w:rPr>
                <w:color w:val="000000"/>
                <w:sz w:val="20"/>
                <w:szCs w:val="20"/>
              </w:rPr>
              <w:t xml:space="preserve">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8"/>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3</w:t>
            </w:r>
            <w:r>
              <w:rPr>
                <w:color w:val="000000"/>
                <w:sz w:val="20"/>
                <w:szCs w:val="20"/>
              </w:rPr>
              <w:t xml:space="preserve">1</w:t>
            </w:r>
            <w:r>
              <w:rPr>
                <w:color w:val="000000"/>
                <w:sz w:val="20"/>
                <w:szCs w:val="20"/>
              </w:rPr>
              <w:t xml:space="preserve">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510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920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26</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181 до 365 дней</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8"/>
              <w:rPr>
                <w:sz w:val="20"/>
                <w:szCs w:val="20"/>
              </w:rPr>
            </w:pPr>
            <w:r>
              <w:rPr>
                <w:sz w:val="20"/>
                <w:szCs w:val="20"/>
              </w:rPr>
              <w:t xml:space="preserve">9.1.3.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w:t>
            </w:r>
            <w:r>
              <w:rPr>
                <w:color w:val="000000"/>
                <w:sz w:val="20"/>
                <w:szCs w:val="20"/>
              </w:rPr>
              <w:t xml:space="preserve">18</w:t>
            </w:r>
            <w:r>
              <w:rPr>
                <w:color w:val="000000"/>
                <w:sz w:val="20"/>
                <w:szCs w:val="20"/>
              </w:rPr>
              <w:t xml:space="preserve">х</w:t>
            </w:r>
            <w:r>
              <w:rPr>
                <w:color w:val="000000"/>
                <w:sz w:val="20"/>
                <w:szCs w:val="20"/>
              </w:rPr>
              <w:t xml:space="preserve">38</w:t>
            </w:r>
            <w:r>
              <w:rPr>
                <w:color w:val="000000"/>
                <w:sz w:val="20"/>
                <w:szCs w:val="20"/>
              </w:rPr>
              <w:t xml:space="preserve">0 (мм)</w:t>
            </w:r>
            <w:r>
              <w:rPr>
                <w:color w:val="000000"/>
                <w:sz w:val="20"/>
                <w:szCs w:val="20"/>
              </w:rPr>
              <w:t xml:space="preserve">, 300</w:t>
            </w:r>
            <w:r>
              <w:rPr>
                <w:color w:val="000000"/>
                <w:sz w:val="20"/>
                <w:szCs w:val="20"/>
                <w:lang w:val="en-US"/>
              </w:rPr>
              <w:t xml:space="preserve">x</w:t>
            </w:r>
            <w:r>
              <w:rPr>
                <w:color w:val="000000"/>
                <w:sz w:val="20"/>
                <w:szCs w:val="20"/>
              </w:rPr>
              <w:t xml:space="preserve">450</w:t>
            </w:r>
            <w:r>
              <w:rPr>
                <w:color w:val="000000"/>
                <w:sz w:val="20"/>
                <w:szCs w:val="20"/>
                <w:lang w:val="en-US"/>
              </w:rPr>
              <w:t xml:space="preserve">x</w:t>
            </w:r>
            <w:r>
              <w:rPr>
                <w:color w:val="000000"/>
                <w:sz w:val="20"/>
                <w:szCs w:val="20"/>
              </w:rPr>
              <w:t xml:space="preserve">380(</w:t>
            </w:r>
            <w:r>
              <w:rPr>
                <w:color w:val="000000"/>
                <w:sz w:val="20"/>
                <w:szCs w:val="20"/>
              </w:rPr>
              <w:t xml:space="preserve">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51</w:t>
            </w:r>
            <w:r>
              <w:rPr>
                <w:color w:val="000000"/>
                <w:sz w:val="20"/>
                <w:szCs w:val="20"/>
              </w:rPr>
              <w:t xml:space="preserve">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865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1835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56</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832"/>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9.2.</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210 руб. за каждое посещение</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момент  предоставления  услуги  </w:t>
            </w:r>
            <w:r>
              <w:rPr>
                <w:color w:val="000000"/>
                <w:sz w:val="18"/>
                <w:szCs w:val="18"/>
              </w:rPr>
            </w:r>
            <w:r>
              <w:rPr>
                <w:color w:val="000000"/>
                <w:sz w:val="18"/>
                <w:szCs w:val="18"/>
              </w:rPr>
            </w:r>
          </w:p>
        </w:tc>
      </w:tr>
      <w:tr>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9.3.</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6000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день  обнаружения</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9.4.</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день  возврата ключа </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9.5.</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155 руб. за единицу банковской техники</w:t>
            </w:r>
            <w:r>
              <w:rPr>
                <w:color w:val="000000"/>
                <w:sz w:val="20"/>
                <w:szCs w:val="20"/>
              </w:rPr>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день  заключения соответствующего договора</w:t>
            </w:r>
            <w:r>
              <w:rPr>
                <w:color w:val="000000"/>
                <w:sz w:val="18"/>
                <w:szCs w:val="18"/>
              </w:rPr>
            </w:r>
            <w:r>
              <w:rPr>
                <w:color w:val="000000"/>
                <w:sz w:val="18"/>
                <w:szCs w:val="18"/>
              </w:rPr>
            </w:r>
          </w:p>
        </w:tc>
      </w:tr>
    </w:tbl>
    <w:p>
      <w:pPr>
        <w:pStyle w:val="1148"/>
        <w:rPr>
          <w:lang w:eastAsia="en-US"/>
        </w:rPr>
      </w:pPr>
      <w:r>
        <w:rPr>
          <w:lang w:eastAsia="en-US"/>
        </w:rPr>
      </w:r>
      <w:r>
        <w:rPr>
          <w:lang w:eastAsia="en-US"/>
        </w:rPr>
      </w:r>
      <w:r>
        <w:rPr>
          <w:lang w:eastAsia="en-US"/>
        </w:rPr>
      </w:r>
    </w:p>
    <w:p>
      <w:pPr>
        <w:pStyle w:val="1148"/>
        <w:rPr>
          <w:lang w:eastAsia="en-US"/>
        </w:rPr>
      </w:pPr>
      <w:r>
        <w:rPr>
          <w:lang w:eastAsia="en-US"/>
        </w:rPr>
      </w:r>
      <w:r>
        <w:rPr>
          <w:lang w:eastAsia="en-US"/>
        </w:rPr>
      </w:r>
      <w:r>
        <w:rPr>
          <w:lang w:eastAsia="en-US"/>
        </w:rPr>
      </w:r>
    </w:p>
    <w:p>
      <w:pPr>
        <w:pStyle w:val="1152"/>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1148"/>
        <w:rPr>
          <w:lang w:eastAsia="en-US"/>
        </w:rPr>
      </w:pPr>
      <w:r>
        <w:rPr>
          <w:lang w:eastAsia="en-US"/>
        </w:rPr>
      </w: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jc w:val="center"/>
              <w:rPr>
                <w:b/>
                <w:sz w:val="20"/>
                <w:szCs w:val="20"/>
              </w:rPr>
            </w:pPr>
            <w:r>
              <w:rPr>
                <w:b/>
                <w:sz w:val="20"/>
                <w:szCs w:val="20"/>
              </w:rPr>
              <w:t xml:space="preserve">№п/п</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1148"/>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ind w:left="-51" w:firstLine="51"/>
              <w:spacing w:before="40" w:after="40"/>
              <w:rPr>
                <w:rFonts w:eastAsia="Calibri"/>
                <w:sz w:val="20"/>
                <w:szCs w:val="20"/>
                <w:lang w:eastAsia="en-US"/>
              </w:rPr>
            </w:pPr>
            <w:r>
              <w:rPr>
                <w:rFonts w:eastAsia="Calibri"/>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 в пределах г.Казань, г.Набережные Челны, г. Бугульма: </w:t>
            </w:r>
            <w:r>
              <w:rPr>
                <w:rFonts w:eastAsia="Calibri"/>
                <w:sz w:val="20"/>
                <w:szCs w:val="20"/>
                <w:lang w:eastAsia="en-US"/>
              </w:rPr>
            </w:r>
            <w:r>
              <w:rPr>
                <w:rFonts w:eastAsia="Calibri"/>
                <w:sz w:val="20"/>
                <w:szCs w:val="20"/>
                <w:lang w:eastAsia="en-US"/>
              </w:rPr>
            </w:r>
          </w:p>
          <w:p>
            <w:pPr>
              <w:pStyle w:val="1148"/>
              <w:ind w:left="-51" w:firstLine="51"/>
              <w:spacing w:before="40" w:after="40"/>
              <w:rPr>
                <w:rFonts w:eastAsia="Calibri"/>
                <w:sz w:val="20"/>
                <w:szCs w:val="20"/>
                <w:lang w:eastAsia="en-US"/>
              </w:rPr>
            </w:pPr>
            <w:r>
              <w:rPr>
                <w:rFonts w:eastAsia="Calibri"/>
                <w:sz w:val="20"/>
                <w:szCs w:val="20"/>
                <w:lang w:eastAsia="en-US"/>
              </w:rPr>
              <w:t xml:space="preserve">- с доставкой в подразделение банка</w:t>
            </w:r>
            <w:r>
              <w:rPr>
                <w:rStyle w:val="1180"/>
                <w:rFonts w:eastAsia="Calibri"/>
                <w:sz w:val="20"/>
                <w:szCs w:val="20"/>
                <w:lang w:eastAsia="en-US"/>
              </w:rPr>
              <w:footnoteReference w:id="2"/>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48"/>
              <w:ind w:left="-51" w:firstLine="51"/>
              <w:spacing w:before="40" w:after="40"/>
              <w:rPr>
                <w:rFonts w:eastAsia="Calibri"/>
                <w:sz w:val="20"/>
                <w:szCs w:val="20"/>
                <w:lang w:eastAsia="en-US"/>
              </w:rPr>
            </w:pPr>
            <w:r>
              <w:rPr>
                <w:rFonts w:eastAsia="Calibri"/>
                <w:sz w:val="20"/>
                <w:szCs w:val="20"/>
                <w:lang w:eastAsia="en-US"/>
              </w:rPr>
              <w:t xml:space="preserve">- с доставкой в другую кредитную организацию</w:t>
            </w:r>
            <w:r>
              <w:rPr>
                <w:rFonts w:eastAsia="Calibri"/>
                <w:sz w:val="20"/>
                <w:szCs w:val="20"/>
                <w:lang w:eastAsia="en-US"/>
              </w:rPr>
            </w:r>
            <w:r>
              <w:rPr>
                <w:rFonts w:eastAsia="Calibri"/>
                <w:sz w:val="20"/>
                <w:szCs w:val="20"/>
                <w:lang w:eastAsia="en-US"/>
              </w:rPr>
            </w:r>
          </w:p>
          <w:p>
            <w:pPr>
              <w:pStyle w:val="1148"/>
              <w:ind w:left="176"/>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rPr>
                <w:rFonts w:eastAsia="Calibri"/>
                <w:sz w:val="20"/>
                <w:szCs w:val="20"/>
                <w:lang w:eastAsia="en-US"/>
              </w:rPr>
            </w:pPr>
            <w:r>
              <w:rPr>
                <w:rFonts w:eastAsia="Calibri"/>
                <w:sz w:val="20"/>
                <w:szCs w:val="20"/>
                <w:lang w:eastAsia="en-US"/>
              </w:rPr>
              <w:t xml:space="preserve">0,15% от суммы </w:t>
            </w:r>
            <w:r>
              <w:rPr>
                <w:rFonts w:eastAsia="Calibri"/>
                <w:sz w:val="20"/>
                <w:szCs w:val="20"/>
                <w:lang w:eastAsia="en-US"/>
              </w:rPr>
            </w:r>
            <w:r>
              <w:rPr>
                <w:rFonts w:eastAsia="Calibri"/>
                <w:sz w:val="20"/>
                <w:szCs w:val="20"/>
                <w:lang w:eastAsia="en-US"/>
              </w:rPr>
            </w:r>
          </w:p>
          <w:p>
            <w:pPr>
              <w:pStyle w:val="1148"/>
              <w:ind w:left="-51" w:firstLine="51"/>
              <w:jc w:val="center"/>
              <w:rPr>
                <w:rFonts w:eastAsia="Calibri"/>
                <w:sz w:val="20"/>
                <w:szCs w:val="20"/>
                <w:lang w:eastAsia="en-US"/>
              </w:rPr>
            </w:pPr>
            <w:r>
              <w:rPr>
                <w:rFonts w:eastAsia="Calibri"/>
                <w:sz w:val="20"/>
                <w:szCs w:val="20"/>
                <w:lang w:eastAsia="en-US"/>
              </w:rPr>
              <w:t xml:space="preserve">до 600 000,00 </w:t>
            </w:r>
            <w:r>
              <w:rPr>
                <w:rStyle w:val="1180"/>
                <w:rFonts w:eastAsia="Calibri"/>
                <w:sz w:val="20"/>
                <w:szCs w:val="20"/>
                <w:lang w:eastAsia="en-US"/>
              </w:rPr>
              <w:footnoteReference w:id="3"/>
            </w:r>
            <w:r>
              <w:rPr>
                <w:rFonts w:eastAsia="Calibri"/>
                <w:sz w:val="20"/>
                <w:szCs w:val="20"/>
                <w:lang w:eastAsia="en-US"/>
              </w:rPr>
              <w:t xml:space="preserve">руб. (включительно),</w:t>
            </w:r>
            <w:r>
              <w:rPr>
                <w:rFonts w:eastAsia="Calibri"/>
                <w:sz w:val="20"/>
                <w:szCs w:val="20"/>
                <w:lang w:eastAsia="en-US"/>
              </w:rPr>
            </w:r>
            <w:r>
              <w:rPr>
                <w:rFonts w:eastAsia="Calibri"/>
                <w:sz w:val="20"/>
                <w:szCs w:val="20"/>
                <w:lang w:eastAsia="en-US"/>
              </w:rPr>
            </w:r>
          </w:p>
          <w:p>
            <w:pPr>
              <w:pStyle w:val="1148"/>
              <w:ind w:left="-51" w:firstLine="51"/>
              <w:jc w:val="center"/>
              <w:spacing w:after="120"/>
              <w:rPr>
                <w:rFonts w:eastAsia="Calibri"/>
                <w:sz w:val="20"/>
                <w:szCs w:val="20"/>
                <w:lang w:eastAsia="en-US"/>
              </w:rPr>
            </w:pPr>
            <w:r>
              <w:rPr>
                <w:rFonts w:eastAsia="Calibri"/>
                <w:sz w:val="20"/>
                <w:szCs w:val="20"/>
                <w:lang w:eastAsia="en-US"/>
              </w:rPr>
              <w:t xml:space="preserve">минимум 510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p>
            <w:pPr>
              <w:pStyle w:val="1148"/>
              <w:ind w:left="-51" w:firstLine="51"/>
              <w:jc w:val="center"/>
              <w:spacing w:after="120"/>
              <w:rPr>
                <w:rFonts w:eastAsia="Calibri"/>
                <w:sz w:val="20"/>
                <w:szCs w:val="20"/>
                <w:lang w:eastAsia="en-US"/>
              </w:rPr>
            </w:pPr>
            <w:r>
              <w:rPr>
                <w:rFonts w:eastAsia="Calibri"/>
                <w:sz w:val="20"/>
                <w:szCs w:val="20"/>
                <w:lang w:eastAsia="en-US"/>
              </w:rPr>
              <w:t xml:space="preserve">0,10% от суммы с 600 000,01</w:t>
            </w:r>
            <w:r>
              <w:rPr>
                <w:rFonts w:eastAsia="Calibri"/>
                <w:sz w:val="20"/>
                <w:szCs w:val="20"/>
                <w:lang w:eastAsia="en-US"/>
              </w:rPr>
              <w:t xml:space="preserve"> руб. до 5 000 000,00</w:t>
            </w:r>
            <w:r>
              <w:rPr>
                <w:rFonts w:eastAsia="Calibri"/>
                <w:sz w:val="20"/>
                <w:szCs w:val="20"/>
                <w:vertAlign w:val="superscript"/>
                <w:lang w:eastAsia="en-US"/>
              </w:rPr>
              <w:t xml:space="preserve">*</w:t>
            </w:r>
            <w:r>
              <w:rPr>
                <w:rFonts w:eastAsia="Calibri"/>
                <w:sz w:val="20"/>
                <w:szCs w:val="20"/>
                <w:lang w:eastAsia="en-US"/>
              </w:rPr>
              <w:t xml:space="preserve"> руб. (включительно); </w:t>
            </w:r>
            <w:r>
              <w:rPr>
                <w:rFonts w:eastAsia="Calibri"/>
                <w:sz w:val="20"/>
                <w:szCs w:val="20"/>
                <w:lang w:eastAsia="en-US"/>
              </w:rPr>
            </w:r>
            <w:r>
              <w:rPr>
                <w:rFonts w:eastAsia="Calibri"/>
                <w:sz w:val="20"/>
                <w:szCs w:val="20"/>
                <w:lang w:eastAsia="en-US"/>
              </w:rPr>
            </w:r>
          </w:p>
          <w:p>
            <w:pPr>
              <w:pStyle w:val="1148"/>
              <w:ind w:left="-51" w:firstLine="51"/>
              <w:jc w:val="center"/>
              <w:spacing w:before="40"/>
              <w:rPr>
                <w:rFonts w:eastAsia="Calibri"/>
                <w:sz w:val="20"/>
                <w:szCs w:val="20"/>
                <w:lang w:eastAsia="en-US"/>
              </w:rPr>
            </w:pPr>
            <w:r>
              <w:rPr>
                <w:rFonts w:eastAsia="Calibri"/>
                <w:sz w:val="20"/>
                <w:szCs w:val="20"/>
                <w:lang w:eastAsia="en-US"/>
              </w:rPr>
              <w:t xml:space="preserve">0,05% от суммы с 5 000 000,01</w:t>
            </w:r>
            <w:r>
              <w:rPr>
                <w:rFonts w:eastAsia="Calibri"/>
                <w:sz w:val="20"/>
                <w:szCs w:val="20"/>
                <w:lang w:eastAsia="en-US"/>
              </w:rPr>
              <w:t xml:space="preserve"> руб. и выше</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48"/>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48"/>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rPr>
                <w:rFonts w:eastAsia="Calibri"/>
                <w:sz w:val="20"/>
                <w:szCs w:val="20"/>
                <w:lang w:eastAsia="en-US"/>
              </w:rPr>
            </w:pPr>
            <w:r>
              <w:rPr>
                <w:rFonts w:eastAsia="Calibri"/>
                <w:sz w:val="20"/>
                <w:szCs w:val="20"/>
                <w:lang w:eastAsia="en-US"/>
              </w:rPr>
              <w:t xml:space="preserve">0,2% от суммы,</w:t>
            </w:r>
            <w:r>
              <w:rPr>
                <w:rFonts w:eastAsia="Calibri"/>
                <w:sz w:val="20"/>
                <w:szCs w:val="20"/>
                <w:lang w:eastAsia="en-US"/>
              </w:rPr>
            </w:r>
            <w:r>
              <w:rPr>
                <w:rFonts w:eastAsia="Calibri"/>
                <w:sz w:val="20"/>
                <w:szCs w:val="20"/>
                <w:lang w:eastAsia="en-US"/>
              </w:rPr>
            </w:r>
          </w:p>
          <w:p>
            <w:pPr>
              <w:pStyle w:val="1148"/>
              <w:ind w:left="-51" w:firstLine="51"/>
              <w:jc w:val="center"/>
              <w:spacing w:before="40"/>
              <w:rPr>
                <w:rFonts w:eastAsia="Calibri"/>
                <w:sz w:val="20"/>
                <w:szCs w:val="20"/>
                <w:lang w:eastAsia="en-US"/>
              </w:rPr>
            </w:pPr>
            <w:r>
              <w:rPr>
                <w:rFonts w:eastAsia="Calibri"/>
                <w:sz w:val="20"/>
                <w:szCs w:val="20"/>
                <w:lang w:eastAsia="en-US"/>
              </w:rPr>
              <w:t xml:space="preserve">минимум </w:t>
            </w:r>
            <w:r>
              <w:rPr>
                <w:rFonts w:eastAsia="Calibri"/>
                <w:sz w:val="20"/>
                <w:szCs w:val="20"/>
                <w:lang w:eastAsia="en-US"/>
              </w:rPr>
            </w:r>
            <w:r>
              <w:rPr>
                <w:rFonts w:eastAsia="Calibri"/>
                <w:sz w:val="20"/>
                <w:szCs w:val="20"/>
                <w:lang w:eastAsia="en-US"/>
              </w:rPr>
            </w:r>
          </w:p>
          <w:p>
            <w:pPr>
              <w:pStyle w:val="1148"/>
              <w:ind w:left="-51" w:firstLine="51"/>
              <w:jc w:val="center"/>
              <w:spacing w:before="40" w:after="40"/>
              <w:rPr>
                <w:sz w:val="20"/>
                <w:szCs w:val="20"/>
              </w:rPr>
            </w:pPr>
            <w:r>
              <w:rPr>
                <w:rFonts w:eastAsia="Calibri"/>
                <w:sz w:val="20"/>
                <w:szCs w:val="20"/>
                <w:lang w:eastAsia="en-US"/>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48"/>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48"/>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48"/>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r>
        <w:rPr>
          <w:bCs/>
          <w:i/>
          <w:sz w:val="20"/>
          <w:szCs w:val="20"/>
        </w:rPr>
      </w:r>
    </w:p>
    <w:p>
      <w:pPr>
        <w:pStyle w:val="1148"/>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48"/>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1148"/>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48"/>
        <w:tabs>
          <w:tab w:val="left" w:pos="2985" w:leader="none"/>
        </w:tabs>
        <w:rPr>
          <w:sz w:val="20"/>
          <w:szCs w:val="20"/>
        </w:rPr>
      </w:pPr>
      <w:r>
        <w:rPr>
          <w:sz w:val="20"/>
          <w:szCs w:val="20"/>
        </w:rPr>
      </w:r>
      <w:r>
        <w:rPr>
          <w:sz w:val="20"/>
          <w:szCs w:val="20"/>
        </w:rPr>
      </w:r>
      <w:r>
        <w:rPr>
          <w:sz w:val="20"/>
          <w:szCs w:val="20"/>
        </w:rPr>
      </w:r>
    </w:p>
    <w:p>
      <w:pPr>
        <w:pStyle w:val="1152"/>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1148"/>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r>
              <w:rPr>
                <w:b/>
                <w:sz w:val="20"/>
                <w:szCs w:val="20"/>
              </w:rPr>
            </w:r>
          </w:p>
        </w:tc>
        <w:tc>
          <w:tcPr>
            <w:tcW w:w="3827" w:type="dxa"/>
            <w:vAlign w:val="top"/>
            <w:vMerge w:val="restart"/>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48"/>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260" w:type="dxa"/>
            <w:vAlign w:val="top"/>
            <w:textDirection w:val="lrTb"/>
            <w:noWrap w:val="false"/>
          </w:tcPr>
          <w:p>
            <w:pPr>
              <w:pStyle w:val="1148"/>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48"/>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r>
              <w:rPr>
                <w:b/>
                <w:sz w:val="20"/>
                <w:szCs w:val="20"/>
              </w:rPr>
            </w:r>
          </w:p>
        </w:tc>
        <w:tc>
          <w:tcPr>
            <w:tcW w:w="1559" w:type="dxa"/>
            <w:vAlign w:val="top"/>
            <w:textDirection w:val="lrTb"/>
            <w:noWrap w:val="false"/>
          </w:tcPr>
          <w:p>
            <w:pPr>
              <w:pStyle w:val="1148"/>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114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48"/>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r>
        <w:rPr>
          <w:i/>
          <w:sz w:val="20"/>
          <w:szCs w:val="20"/>
        </w:rPr>
      </w:r>
    </w:p>
    <w:p>
      <w:pPr>
        <w:pStyle w:val="1148"/>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r>
        <w:rPr>
          <w:i/>
          <w:sz w:val="20"/>
          <w:szCs w:val="20"/>
        </w:rPr>
      </w:r>
    </w:p>
    <w:p>
      <w:pPr>
        <w:pStyle w:val="1148"/>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1148"/>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1149"/>
        <w:jc w:val="center"/>
        <w:rPr>
          <w:rFonts w:ascii="Times New Roman" w:hAnsi="Times New Roman" w:cs="Times New Roman"/>
          <w:sz w:val="22"/>
          <w:szCs w:val="22"/>
        </w:rPr>
      </w:pPr>
      <w:r/>
      <w:bookmarkStart w:id="81" w:name="_Toc314217418"/>
      <w:r>
        <w:rPr>
          <w:rFonts w:ascii="Times New Roman" w:hAnsi="Times New Roman" w:cs="Times New Roman"/>
          <w:sz w:val="22"/>
          <w:szCs w:val="22"/>
        </w:rPr>
        <w:t xml:space="preserve">12. Кредитные операции</w:t>
      </w:r>
      <w:bookmarkEnd w:id="81"/>
      <w:r>
        <w:rPr>
          <w:rFonts w:ascii="Times New Roman" w:hAnsi="Times New Roman" w:cs="Times New Roman"/>
          <w:sz w:val="22"/>
          <w:szCs w:val="22"/>
        </w:rPr>
      </w:r>
      <w:r>
        <w:rPr>
          <w:rFonts w:ascii="Times New Roman" w:hAnsi="Times New Roman" w:cs="Times New Roman"/>
          <w:sz w:val="22"/>
          <w:szCs w:val="22"/>
        </w:rPr>
      </w:r>
    </w:p>
    <w:p>
      <w:pPr>
        <w:pStyle w:val="1148"/>
        <w:rPr>
          <w:lang w:val="en-US" w:eastAsia="en-US"/>
        </w:rPr>
      </w:pPr>
      <w:r>
        <w:rPr>
          <w:lang w:val="en-US" w:eastAsia="en-US"/>
        </w:rPr>
      </w:r>
      <w:r>
        <w:rPr>
          <w:lang w:val="en-US" w:eastAsia="en-US"/>
        </w:rPr>
      </w:r>
      <w:r>
        <w:rPr>
          <w:lang w:val="en-US" w:eastAsia="en-U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082"/>
        <w:gridCol w:w="1984"/>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48"/>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082" w:type="dxa"/>
            <w:vAlign w:val="center"/>
            <w:textDirection w:val="lrTb"/>
            <w:noWrap w:val="false"/>
          </w:tcPr>
          <w:p>
            <w:pPr>
              <w:pStyle w:val="1148"/>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148"/>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48"/>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8"/>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48"/>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w:t>
            </w:r>
            <w:r>
              <w:rPr>
                <w:bCs/>
                <w:sz w:val="20"/>
                <w:szCs w:val="20"/>
              </w:rPr>
              <w:t xml:space="preserve"> </w:t>
            </w:r>
            <w:r>
              <w:rPr>
                <w:bCs/>
                <w:sz w:val="20"/>
                <w:szCs w:val="20"/>
              </w:rPr>
              <w:t xml:space="preserve">«Оборотный-стандарт Рефинанс»</w:t>
            </w:r>
            <w:r>
              <w:rPr>
                <w:bCs/>
                <w:sz w:val="20"/>
                <w:szCs w:val="20"/>
              </w:rPr>
              <w:t xml:space="preserve">.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 </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8"/>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bCs/>
                <w:sz w:val="20"/>
                <w:szCs w:val="20"/>
              </w:rPr>
              <w:t xml:space="preserve"> </w:t>
            </w:r>
            <w:r>
              <w:rPr>
                <w:bCs/>
                <w:sz w:val="20"/>
                <w:szCs w:val="20"/>
              </w:rPr>
              <w:t xml:space="preserve">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8"/>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80"/>
                <w:sz w:val="20"/>
                <w:szCs w:val="20"/>
              </w:rPr>
              <w:footnoteReference w:id="4"/>
            </w:r>
            <w:r>
              <w:rPr>
                <w:sz w:val="20"/>
                <w:szCs w:val="20"/>
              </w:rPr>
              <w:t xml:space="preserve"> со дня, следующего за: </w:t>
            </w:r>
            <w:r>
              <w:rPr>
                <w:sz w:val="20"/>
                <w:szCs w:val="20"/>
              </w:rPr>
            </w:r>
            <w:r>
              <w:rPr>
                <w:sz w:val="20"/>
                <w:szCs w:val="20"/>
              </w:rPr>
            </w:r>
          </w:p>
          <w:p>
            <w:pPr>
              <w:pStyle w:val="1148"/>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48"/>
              <w:numPr>
                <w:ilvl w:val="0"/>
                <w:numId w:val="8"/>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48"/>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48"/>
              <w:numPr>
                <w:ilvl w:val="0"/>
                <w:numId w:val="8"/>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48"/>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96"/>
              <w:numPr>
                <w:ilvl w:val="0"/>
                <w:numId w:val="8"/>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48"/>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48"/>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80"/>
                <w:sz w:val="20"/>
                <w:szCs w:val="20"/>
              </w:rPr>
              <w:footnoteReference w:id="5"/>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rPr>
                <w:sz w:val="20"/>
                <w:szCs w:val="20"/>
              </w:rPr>
            </w:pPr>
            <w:r>
              <w:rPr>
                <w:sz w:val="20"/>
                <w:szCs w:val="20"/>
              </w:rPr>
              <w:t xml:space="preserve">При изменении:</w:t>
            </w:r>
            <w:r>
              <w:rPr>
                <w:sz w:val="20"/>
                <w:szCs w:val="20"/>
              </w:rPr>
            </w:r>
            <w:r>
              <w:rPr>
                <w:sz w:val="20"/>
                <w:szCs w:val="20"/>
              </w:rPr>
            </w:r>
          </w:p>
          <w:p>
            <w:pPr>
              <w:pStyle w:val="1148"/>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48"/>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48"/>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48"/>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48"/>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48"/>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48"/>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48"/>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48"/>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48"/>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48"/>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48"/>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48"/>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48"/>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48"/>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48"/>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8"/>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48"/>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48"/>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48"/>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48"/>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48"/>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48"/>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48"/>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48"/>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6"/>
            </w:r>
            <w:r>
              <w:rPr>
                <w:sz w:val="20"/>
                <w:szCs w:val="20"/>
                <w:vertAlign w:val="superscript"/>
              </w:rPr>
              <w:t xml:space="preserve">,</w:t>
            </w:r>
            <w:r>
              <w:rPr>
                <w:sz w:val="20"/>
                <w:szCs w:val="20"/>
                <w:vertAlign w:val="superscript"/>
              </w:rPr>
              <w:footnoteReference w:id="7"/>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8"/>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48"/>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48"/>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48"/>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w:t>
            </w:r>
            <w:r>
              <w:rPr>
                <w:bCs/>
                <w:sz w:val="20"/>
                <w:szCs w:val="20"/>
              </w:rPr>
              <w:t xml:space="preserve">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более 1,5% </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Правил предоставления субсидий из федерального бюджета кредитным </w:t>
            </w:r>
            <w:r>
              <w:rPr>
                <w:bCs/>
                <w:sz w:val="20"/>
                <w:szCs w:val="20"/>
              </w:rPr>
              <w:t xml:space="preserve">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более 1,5% </w:t>
            </w:r>
            <w:r>
              <w:rPr>
                <w:sz w:val="20"/>
                <w:szCs w:val="20"/>
              </w:rPr>
            </w:r>
            <w:r>
              <w:rPr>
                <w:sz w:val="20"/>
                <w:szCs w:val="20"/>
              </w:rPr>
            </w:r>
          </w:p>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w:t>
            </w:r>
            <w:r>
              <w:rPr>
                <w:bCs/>
                <w:sz w:val="20"/>
                <w:szCs w:val="20"/>
              </w:rPr>
              <w:t xml:space="preserve">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Не более 1,5% </w:t>
            </w:r>
            <w:r>
              <w:rPr>
                <w:sz w:val="20"/>
                <w:szCs w:val="20"/>
              </w:rPr>
            </w:r>
            <w:r>
              <w:rPr>
                <w:sz w:val="20"/>
                <w:szCs w:val="20"/>
              </w:rPr>
            </w:r>
          </w:p>
          <w:p>
            <w:pPr>
              <w:pStyle w:val="1148"/>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0,2% от суммы, </w:t>
            </w:r>
            <w:r>
              <w:rPr>
                <w:sz w:val="20"/>
                <w:szCs w:val="20"/>
              </w:rPr>
            </w:r>
            <w:r>
              <w:rPr>
                <w:sz w:val="20"/>
                <w:szCs w:val="20"/>
              </w:rPr>
            </w:r>
          </w:p>
          <w:p>
            <w:pPr>
              <w:pStyle w:val="1148"/>
              <w:jc w:val="center"/>
              <w:spacing w:before="40" w:after="40"/>
              <w:rPr>
                <w:sz w:val="20"/>
                <w:szCs w:val="20"/>
              </w:rPr>
            </w:pPr>
            <w:r>
              <w:rPr>
                <w:sz w:val="20"/>
                <w:szCs w:val="20"/>
              </w:rPr>
              <w:t xml:space="preserve">минимум - 30 000 руб.,</w:t>
            </w:r>
            <w:r>
              <w:rPr>
                <w:sz w:val="20"/>
                <w:szCs w:val="20"/>
              </w:rPr>
            </w:r>
            <w:r>
              <w:rPr>
                <w:sz w:val="20"/>
                <w:szCs w:val="20"/>
              </w:rPr>
            </w:r>
          </w:p>
          <w:p>
            <w:pPr>
              <w:pStyle w:val="1148"/>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48"/>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48"/>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48"/>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48"/>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48"/>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bl>
    <w:p>
      <w:pPr>
        <w:pStyle w:val="1148"/>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48"/>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48"/>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48"/>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48"/>
        <w:jc w:val="both"/>
        <w:tabs>
          <w:tab w:val="left" w:pos="284" w:leader="none"/>
          <w:tab w:val="left" w:pos="1134" w:leader="none"/>
        </w:tabs>
        <w:rPr>
          <w:sz w:val="20"/>
          <w:szCs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szCs w:val="20"/>
        </w:rPr>
      </w:r>
      <w:r>
        <w:rPr>
          <w:sz w:val="20"/>
          <w:szCs w:val="20"/>
        </w:rPr>
      </w:r>
    </w:p>
    <w:p>
      <w:pPr>
        <w:pStyle w:val="1148"/>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48"/>
        <w:jc w:val="both"/>
        <w:spacing w:before="40"/>
        <w:outlineLvl w:val="5"/>
      </w:pPr>
      <w:r>
        <w:rPr>
          <w:bCs/>
          <w:iCs/>
          <w:sz w:val="20"/>
          <w:szCs w:val="20"/>
        </w:rPr>
        <w:t xml:space="preserve">- при кредитовании в рамках решения Министерства сельского хозяйства </w:t>
      </w:r>
      <w:r>
        <w:rPr>
          <w:bCs/>
          <w:iCs/>
          <w:sz w:val="20"/>
          <w:szCs w:val="20"/>
        </w:rPr>
        <w:t xml:space="preserve">Российской Федерации о порядке предоставления субсидии </w:t>
      </w:r>
      <w:r>
        <w:rPr>
          <w:bCs/>
          <w:iCs/>
          <w:sz w:val="20"/>
          <w:szCs w:val="20"/>
        </w:rPr>
        <w:t xml:space="preserve">№</w:t>
      </w:r>
      <w:r>
        <w:rPr>
          <w:bCs/>
          <w:iCs/>
          <w:sz w:val="20"/>
          <w:szCs w:val="20"/>
        </w:rPr>
        <w:t xml:space="preserve"> 25-66428-01969-Р</w:t>
      </w:r>
      <w:r>
        <w:t xml:space="preserve"> </w:t>
      </w:r>
      <w:r>
        <w:rPr>
          <w:bCs/>
          <w:iCs/>
          <w:sz w:val="20"/>
          <w:szCs w:val="20"/>
        </w:rPr>
        <w:t xml:space="preserve">«Возмещение недополученных российскими кредитными организациями, международными</w:t>
      </w:r>
      <w:r>
        <w:t xml:space="preserve"> </w:t>
      </w:r>
      <w:r>
        <w:rPr>
          <w:bCs/>
          <w:iCs/>
          <w:sz w:val="20"/>
          <w:szCs w:val="20"/>
        </w:rPr>
        <w:t xml:space="preserve">финансовыми организациями и государственной корпорацией развития «ВЭБ.РФ» доходов</w:t>
      </w:r>
      <w:r>
        <w:t xml:space="preserve"> </w:t>
      </w:r>
      <w:r>
        <w:rPr>
          <w:bCs/>
          <w:iCs/>
          <w:sz w:val="20"/>
          <w:szCs w:val="20"/>
        </w:rPr>
        <w:t xml:space="preserve">по кредитам, выданным сельскохозяйственным товаропроизводителям (за исключением</w:t>
      </w:r>
      <w:r>
        <w:t xml:space="preserve"> </w:t>
      </w:r>
      <w:r>
        <w:rPr>
          <w:bCs/>
          <w:iCs/>
          <w:sz w:val="20"/>
          <w:szCs w:val="20"/>
        </w:rPr>
        <w:t xml:space="preserve">сельскохозяйственных кредитных потребительских кооперативов), организациям и</w:t>
      </w:r>
      <w:r>
        <w:t xml:space="preserve"> </w:t>
      </w:r>
      <w:r>
        <w:rPr>
          <w:bCs/>
          <w:iCs/>
          <w:sz w:val="20"/>
          <w:szCs w:val="20"/>
        </w:rPr>
        <w:t xml:space="preserve">индивидуальным предпринимателям, осуществляющим производство, первичную и (или)</w:t>
      </w:r>
      <w:r>
        <w:t xml:space="preserve"> </w:t>
      </w:r>
      <w:r>
        <w:rPr>
          <w:bCs/>
          <w:iCs/>
          <w:sz w:val="20"/>
          <w:szCs w:val="20"/>
        </w:rPr>
        <w:t xml:space="preserve">последующую (промышленную) переработку сельскохозяйственной продукции и ее</w:t>
      </w:r>
      <w:r>
        <w:t xml:space="preserve"> </w:t>
      </w:r>
      <w:r>
        <w:rPr>
          <w:bCs/>
          <w:iCs/>
          <w:sz w:val="20"/>
          <w:szCs w:val="20"/>
        </w:rPr>
        <w:t xml:space="preserve">реализацию, по льготной ставке» (далее – Решение </w:t>
      </w:r>
      <w:r>
        <w:rPr>
          <w:bCs/>
          <w:iCs/>
          <w:sz w:val="20"/>
          <w:szCs w:val="20"/>
        </w:rPr>
        <w:t xml:space="preserve">№</w:t>
      </w:r>
      <w:r>
        <w:rPr>
          <w:bCs/>
          <w:iCs/>
          <w:sz w:val="20"/>
          <w:szCs w:val="20"/>
        </w:rPr>
        <w:t xml:space="preserve">  1969-Р), принятого в соответствии с</w:t>
      </w:r>
      <w:r>
        <w:t xml:space="preserve"> </w:t>
      </w:r>
      <w:r>
        <w:rPr>
          <w:bCs/>
          <w:iCs/>
          <w:sz w:val="20"/>
          <w:szCs w:val="20"/>
        </w:rPr>
        <w:t xml:space="preserve">ППРФ от 25.10.2023 </w:t>
      </w:r>
      <w:r>
        <w:rPr>
          <w:bCs/>
          <w:iCs/>
          <w:sz w:val="20"/>
          <w:szCs w:val="20"/>
        </w:rPr>
        <w:t xml:space="preserve">№</w:t>
      </w:r>
      <w:r>
        <w:rPr>
          <w:bCs/>
          <w:iCs/>
          <w:sz w:val="20"/>
          <w:szCs w:val="20"/>
        </w:rPr>
        <w:t xml:space="preserve"> 1780;</w:t>
      </w:r>
      <w:r>
        <w:rPr>
          <w:bCs/>
          <w:iCs/>
          <w:sz w:val="20"/>
          <w:szCs w:val="20"/>
        </w:rPr>
      </w:r>
      <w:r/>
    </w:p>
    <w:p>
      <w:pPr>
        <w:pStyle w:val="1148"/>
        <w:jc w:val="both"/>
        <w:spacing w:before="40"/>
        <w:outlineLvl w:val="5"/>
      </w:pPr>
      <w:r>
        <w:rPr>
          <w:bCs/>
          <w:iCs/>
          <w:sz w:val="20"/>
          <w:szCs w:val="20"/>
        </w:rPr>
        <w:t xml:space="preserve">- при кредитовании в рамках решения Министерства сельского хозяйства Российской </w:t>
      </w:r>
      <w:r>
        <w:rPr>
          <w:bCs/>
          <w:iCs/>
          <w:sz w:val="20"/>
          <w:szCs w:val="20"/>
        </w:rPr>
        <w:t xml:space="preserve">Федерации о порядке  предоставления субсидии </w:t>
      </w:r>
      <w:r>
        <w:rPr>
          <w:bCs/>
          <w:iCs/>
          <w:sz w:val="20"/>
          <w:szCs w:val="20"/>
        </w:rPr>
        <w:t xml:space="preserve">№</w:t>
      </w:r>
      <w:r>
        <w:rPr>
          <w:bCs/>
          <w:iCs/>
          <w:sz w:val="20"/>
          <w:szCs w:val="20"/>
        </w:rPr>
        <w:t xml:space="preserve"> 25-68850-01698-Р «Возмещение</w:t>
      </w:r>
      <w:r>
        <w:t xml:space="preserve"> </w:t>
      </w:r>
      <w:r>
        <w:rPr>
          <w:bCs/>
          <w:iCs/>
          <w:sz w:val="20"/>
          <w:szCs w:val="20"/>
        </w:rPr>
        <w:t xml:space="preserve">недополученных российскими кредитными организациями, международными финансовыми</w:t>
      </w:r>
      <w:r>
        <w:t xml:space="preserve"> </w:t>
      </w:r>
      <w:r>
        <w:rPr>
          <w:bCs/>
          <w:iCs/>
          <w:sz w:val="20"/>
          <w:szCs w:val="20"/>
        </w:rPr>
        <w:t xml:space="preserve">организациями и государственной корпорацией развития «ВЭБ.РФ» доходов по кредитам,</w:t>
      </w:r>
      <w:r>
        <w:t xml:space="preserve"> </w:t>
      </w:r>
      <w:r>
        <w:rPr>
          <w:bCs/>
          <w:iCs/>
          <w:sz w:val="20"/>
          <w:szCs w:val="20"/>
        </w:rPr>
        <w:t xml:space="preserve">выданным</w:t>
      </w:r>
      <w:r>
        <w:t xml:space="preserve"> </w:t>
      </w:r>
      <w:r>
        <w:rPr>
          <w:bCs/>
          <w:iCs/>
          <w:sz w:val="20"/>
          <w:szCs w:val="20"/>
        </w:rPr>
        <w:t xml:space="preserve"> сельскохозяйственным</w:t>
      </w:r>
      <w:r>
        <w:t xml:space="preserve"> </w:t>
      </w:r>
      <w:r>
        <w:rPr>
          <w:bCs/>
          <w:iCs/>
          <w:sz w:val="20"/>
          <w:szCs w:val="20"/>
        </w:rPr>
        <w:t xml:space="preserve"> товаропроизводителям</w:t>
      </w:r>
      <w:r>
        <w:t xml:space="preserve"> </w:t>
      </w:r>
      <w:r>
        <w:rPr>
          <w:bCs/>
          <w:iCs/>
          <w:sz w:val="20"/>
          <w:szCs w:val="20"/>
        </w:rPr>
        <w:t xml:space="preserve"> (за</w:t>
      </w:r>
      <w:r>
        <w:t xml:space="preserve"> </w:t>
      </w:r>
      <w:r>
        <w:rPr>
          <w:bCs/>
          <w:iCs/>
          <w:sz w:val="20"/>
          <w:szCs w:val="20"/>
        </w:rPr>
        <w:t xml:space="preserve"> исключением</w:t>
      </w:r>
      <w:r>
        <w:rPr>
          <w:bCs/>
          <w:iCs/>
          <w:sz w:val="20"/>
          <w:szCs w:val="20"/>
        </w:rPr>
      </w:r>
      <w:r/>
    </w:p>
    <w:p>
      <w:pPr>
        <w:pStyle w:val="1148"/>
        <w:jc w:val="both"/>
        <w:spacing w:before="40"/>
        <w:rPr>
          <w:sz w:val="20"/>
          <w:szCs w:val="20"/>
          <w:highlight w:val="none"/>
        </w:rPr>
        <w:outlineLvl w:val="5"/>
      </w:pPr>
      <w:r>
        <w:rPr>
          <w:bCs/>
          <w:iCs/>
          <w:sz w:val="20"/>
          <w:szCs w:val="20"/>
        </w:rPr>
        <w:t xml:space="preserve">сельскохозяйственных кредитных потребительских кооперативов), организациям и  </w:t>
      </w:r>
      <w:r>
        <w:rPr>
          <w:bCs/>
          <w:iCs/>
          <w:sz w:val="20"/>
          <w:szCs w:val="20"/>
        </w:rPr>
        <w:t xml:space="preserve">индивидуальным предпринимателям, осуществляющим производство, первичную и (или)</w:t>
      </w:r>
      <w:r>
        <w:t xml:space="preserve"> </w:t>
      </w:r>
      <w:r>
        <w:rPr>
          <w:bCs/>
          <w:iCs/>
          <w:sz w:val="20"/>
          <w:szCs w:val="20"/>
        </w:rPr>
        <w:t xml:space="preserve">последующую (промышленную) переработку сельскохозяйственной продукции и ее</w:t>
      </w:r>
      <w:r>
        <w:t xml:space="preserve"> </w:t>
      </w:r>
      <w:r>
        <w:rPr>
          <w:bCs/>
          <w:iCs/>
          <w:sz w:val="20"/>
          <w:szCs w:val="20"/>
        </w:rPr>
        <w:t xml:space="preserve">реализацию, по льготной ставке» (далее – Решение </w:t>
      </w:r>
      <w:r>
        <w:rPr>
          <w:bCs/>
          <w:iCs/>
          <w:sz w:val="20"/>
          <w:szCs w:val="20"/>
        </w:rPr>
        <w:t xml:space="preserve">№</w:t>
      </w:r>
      <w:r>
        <w:rPr>
          <w:bCs/>
          <w:iCs/>
          <w:sz w:val="20"/>
          <w:szCs w:val="20"/>
        </w:rPr>
        <w:t xml:space="preserve">  1698-Р), принятого в соответствии с</w:t>
      </w:r>
      <w:r>
        <w:t xml:space="preserve"> </w:t>
      </w:r>
      <w:r>
        <w:rPr>
          <w:bCs/>
          <w:iCs/>
          <w:sz w:val="20"/>
          <w:szCs w:val="20"/>
        </w:rPr>
        <w:t xml:space="preserve">ППРФ от 25.10.2023 </w:t>
      </w:r>
      <w:r>
        <w:rPr>
          <w:bCs/>
          <w:iCs/>
          <w:sz w:val="20"/>
          <w:szCs w:val="20"/>
        </w:rPr>
        <w:t xml:space="preserve">№</w:t>
      </w:r>
      <w:r>
        <w:rPr>
          <w:bCs/>
          <w:iCs/>
          <w:sz w:val="20"/>
          <w:szCs w:val="20"/>
        </w:rPr>
        <w:t xml:space="preserve"> 1780;</w:t>
      </w:r>
      <w:r>
        <w:rPr>
          <w:sz w:val="20"/>
          <w:szCs w:val="20"/>
          <w:highlight w:val="none"/>
        </w:rPr>
      </w:r>
      <w:r>
        <w:rPr>
          <w:sz w:val="20"/>
          <w:szCs w:val="20"/>
          <w:highlight w:val="none"/>
        </w:rPr>
      </w:r>
    </w:p>
    <w:p>
      <w:pPr>
        <w:jc w:val="both"/>
        <w:spacing w:before="40"/>
        <w:rPr>
          <w:sz w:val="20"/>
          <w:szCs w:val="20"/>
        </w:rPr>
        <w:outlineLvl w:val="5"/>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p>
      <w:pPr>
        <w:jc w:val="both"/>
        <w:spacing w:before="40"/>
        <w:rPr>
          <w:sz w:val="20"/>
          <w:szCs w:val="20"/>
        </w:rPr>
        <w:outlineLvl w:val="5"/>
      </w:pPr>
      <w:r>
        <w:rPr>
          <w:bCs/>
          <w:iCs/>
          <w:sz w:val="20"/>
          <w:szCs w:val="20"/>
        </w:rPr>
      </w:r>
      <w:r>
        <w:rPr>
          <w:bCs/>
          <w:iCs/>
          <w:sz w:val="20"/>
          <w:szCs w:val="20"/>
        </w:rPr>
        <w:t xml:space="preserve">- при кредитовании в рамках Правил возмещения кр</w:t>
      </w:r>
      <w:r>
        <w:rPr>
          <w:bCs/>
          <w:iCs/>
          <w:sz w:val="20"/>
          <w:szCs w:val="20"/>
        </w:rPr>
        <w:t xml:space="preserve">едитным</w:t>
      </w:r>
      <w:r>
        <w:rPr>
          <w:bCs/>
          <w:iCs/>
          <w:sz w:val="20"/>
          <w:szCs w:val="20"/>
        </w:rPr>
        <w:t xml:space="preserve">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w:t>
      </w:r>
      <w:r>
        <w:rPr>
          <w:bCs/>
          <w:iCs/>
          <w:sz w:val="20"/>
          <w:szCs w:val="20"/>
        </w:rPr>
        <w:t xml:space="preserve">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Pr>
          <w:bCs/>
          <w:iCs/>
          <w:sz w:val="20"/>
          <w:szCs w:val="20"/>
        </w:rPr>
        <w:t xml:space="preserve">629) (</w:t>
      </w:r>
      <w:r>
        <w:rPr>
          <w:bCs/>
          <w:iCs/>
          <w:sz w:val="20"/>
          <w:szCs w:val="20"/>
        </w:rPr>
        <w:t xml:space="preserve">далее –</w:t>
      </w:r>
      <w:r>
        <w:rPr>
          <w:bCs/>
          <w:iCs/>
          <w:sz w:val="20"/>
          <w:szCs w:val="20"/>
        </w:rPr>
        <w:t xml:space="preserve"> ППРФ от 30.04.2020 № </w:t>
      </w:r>
      <w:r>
        <w:rPr>
          <w:bCs/>
          <w:iCs/>
          <w:sz w:val="20"/>
          <w:szCs w:val="20"/>
        </w:rPr>
        <w:t xml:space="preserve">629);</w:t>
      </w:r>
      <w:r>
        <w:rPr>
          <w:sz w:val="20"/>
          <w:szCs w:val="20"/>
        </w:rPr>
      </w:r>
      <w:r>
        <w:rPr>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w:t>
      </w:r>
      <w:r>
        <w:rPr>
          <w:bCs/>
          <w:iCs/>
          <w:sz w:val="20"/>
          <w:szCs w:val="20"/>
        </w:rPr>
        <w:t xml:space="preserve">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Pr>
          <w:bCs/>
          <w:iCs/>
          <w:sz w:val="20"/>
          <w:szCs w:val="20"/>
        </w:rPr>
        <w:t xml:space="preserve">№ 279) </w:t>
      </w:r>
      <w:r>
        <w:rPr>
          <w:bCs/>
          <w:iCs/>
          <w:sz w:val="20"/>
          <w:szCs w:val="20"/>
        </w:rPr>
        <w:t xml:space="preserve">(далее – ППРФ </w:t>
      </w:r>
      <w:r>
        <w:rPr>
          <w:bCs/>
          <w:iCs/>
          <w:sz w:val="20"/>
          <w:szCs w:val="20"/>
        </w:rPr>
        <w:t xml:space="preserve">от 27.02.2021</w:t>
      </w:r>
      <w:r>
        <w:rPr>
          <w:bCs/>
          <w:iCs/>
          <w:sz w:val="20"/>
          <w:szCs w:val="20"/>
        </w:rPr>
        <w:t xml:space="preserve"> </w:t>
      </w:r>
      <w:r>
        <w:rPr>
          <w:bCs/>
          <w:iCs/>
          <w:sz w:val="20"/>
          <w:szCs w:val="20"/>
        </w:rPr>
        <w:t xml:space="preserve">№ 279</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w:t>
      </w:r>
      <w:r>
        <w:rPr>
          <w:bCs/>
          <w:iCs/>
          <w:sz w:val="20"/>
          <w:szCs w:val="20"/>
        </w:rPr>
        <w:t xml:space="preserve">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Pr>
          <w:bCs/>
          <w:iCs/>
          <w:sz w:val="20"/>
          <w:szCs w:val="20"/>
        </w:rPr>
        <w:t xml:space="preserve">от 16.03.2022 № 375</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bCs/>
          <w:iCs/>
          <w:sz w:val="20"/>
          <w:szCs w:val="20"/>
        </w:rPr>
        <w:t xml:space="preserve">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Pr>
          <w:bCs/>
          <w:iCs/>
          <w:sz w:val="20"/>
          <w:szCs w:val="20"/>
        </w:rPr>
        <w:t xml:space="preserve">от 17.03.2022 № 393</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w:t>
      </w:r>
      <w:r>
        <w:rPr>
          <w:bCs/>
          <w:iCs/>
          <w:sz w:val="20"/>
          <w:szCs w:val="20"/>
        </w:rPr>
        <w:t xml:space="preserve">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iCs/>
          <w:sz w:val="20"/>
          <w:szCs w:val="20"/>
        </w:rPr>
        <w:br w:type="textWrapping" w:clear="all"/>
      </w:r>
      <w:r>
        <w:rPr>
          <w:bCs/>
          <w:iCs/>
          <w:sz w:val="20"/>
          <w:szCs w:val="20"/>
        </w:rPr>
        <w:t xml:space="preserve">№ 574) </w:t>
      </w:r>
      <w:r>
        <w:rPr>
          <w:bCs/>
          <w:iCs/>
          <w:sz w:val="20"/>
          <w:szCs w:val="20"/>
        </w:rPr>
        <w:t xml:space="preserve">(далее – ППРФ </w:t>
      </w:r>
      <w:r>
        <w:rPr>
          <w:bCs/>
          <w:iCs/>
          <w:sz w:val="20"/>
          <w:szCs w:val="20"/>
        </w:rPr>
        <w:t xml:space="preserve">от 02.04.2022 № 574</w:t>
      </w:r>
      <w:r>
        <w:rPr>
          <w:bCs/>
          <w:iCs/>
          <w:sz w:val="20"/>
          <w:szCs w:val="20"/>
        </w:rPr>
        <w:t xml:space="preserve">);</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w:t>
      </w:r>
      <w:r>
        <w:rPr>
          <w:bCs/>
          <w:iCs/>
          <w:sz w:val="20"/>
          <w:szCs w:val="20"/>
        </w:rPr>
        <w:t xml:space="preserve">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br w:type="textWrapping" w:clear="all"/>
      </w:r>
      <w:r>
        <w:rPr>
          <w:bCs/>
          <w:iCs/>
          <w:sz w:val="20"/>
          <w:szCs w:val="20"/>
        </w:rPr>
        <w:t xml:space="preserve">от 18.05.2022 № 895</w:t>
      </w:r>
      <w:r>
        <w:rPr>
          <w:bCs/>
          <w:iCs/>
          <w:sz w:val="20"/>
          <w:szCs w:val="20"/>
        </w:rPr>
        <w:t xml:space="preserve">);</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w:t>
      </w:r>
      <w:r>
        <w:rPr>
          <w:bCs/>
          <w:iCs/>
          <w:sz w:val="20"/>
          <w:szCs w:val="20"/>
        </w:rPr>
        <w:t xml:space="preserve">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Pr>
          <w:bCs/>
          <w:iCs/>
          <w:sz w:val="20"/>
          <w:szCs w:val="20"/>
        </w:rPr>
        <w:t xml:space="preserve">от 03.06.2017 № 674) (далее – ППРФ от 03.06.2017 № 674)</w:t>
      </w:r>
      <w:r>
        <w:rPr>
          <w:bCs/>
          <w:iCs/>
          <w:sz w:val="20"/>
          <w:szCs w:val="20"/>
        </w:rPr>
        <w:t xml:space="preserve">;</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48"/>
        <w:jc w:val="both"/>
        <w:spacing w:before="40"/>
        <w:rPr>
          <w:bCs/>
          <w:iCs/>
          <w:color w:val="000000"/>
          <w:sz w:val="20"/>
          <w:szCs w:val="20"/>
        </w:rPr>
        <w:outlineLvl w:val="5"/>
      </w:pPr>
      <w:r>
        <w:rPr>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color w:val="000000"/>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color w:val="000000"/>
          <w:sz w:val="20"/>
          <w:szCs w:val="20"/>
        </w:rPr>
        <w:t xml:space="preserve">постановлением Правительства Российской Федерации от 24.12.2019 № 1804) (далее – ППРФ от 24.12.2019 № 1804);</w:t>
      </w:r>
      <w:r>
        <w:rPr>
          <w:bCs/>
          <w:iCs/>
          <w:color w:val="000000"/>
          <w:sz w:val="20"/>
          <w:szCs w:val="20"/>
        </w:rPr>
      </w:r>
      <w:r>
        <w:rPr>
          <w:bCs/>
          <w:iCs/>
          <w:color w:val="000000"/>
          <w:sz w:val="20"/>
          <w:szCs w:val="20"/>
        </w:rPr>
      </w:r>
    </w:p>
    <w:p>
      <w:pPr>
        <w:pStyle w:val="1148"/>
        <w:jc w:val="both"/>
        <w:spacing w:before="40"/>
        <w:rPr>
          <w:bCs/>
          <w:iCs/>
          <w:color w:val="000000"/>
          <w:sz w:val="20"/>
          <w:szCs w:val="20"/>
        </w:rPr>
        <w:outlineLvl w:val="5"/>
      </w:pPr>
      <w:r>
        <w:rPr>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color w:val="000000"/>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color w:val="000000"/>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color w:val="000000"/>
          <w:sz w:val="20"/>
          <w:szCs w:val="20"/>
        </w:rPr>
      </w:r>
      <w:r>
        <w:rPr>
          <w:bCs/>
          <w:iCs/>
          <w:color w:val="000000"/>
          <w:sz w:val="20"/>
          <w:szCs w:val="20"/>
        </w:rPr>
      </w:r>
    </w:p>
    <w:p>
      <w:pPr>
        <w:pStyle w:val="1148"/>
        <w:jc w:val="both"/>
        <w:spacing w:before="40" w:after="120"/>
        <w:rPr>
          <w:bCs/>
          <w:iCs/>
          <w:color w:val="000000"/>
          <w:sz w:val="20"/>
          <w:szCs w:val="20"/>
        </w:rPr>
        <w:outlineLvl w:val="5"/>
      </w:pPr>
      <w:r>
        <w:rPr>
          <w:bCs/>
          <w:iCs/>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w:t>
      </w:r>
      <w:r>
        <w:rPr>
          <w:bCs/>
          <w:iCs/>
          <w:color w:val="000000"/>
          <w:sz w:val="20"/>
          <w:szCs w:val="20"/>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color w:val="000000"/>
          <w:sz w:val="20"/>
          <w:szCs w:val="20"/>
        </w:rPr>
      </w:r>
      <w:r>
        <w:rPr>
          <w:bCs/>
          <w:iCs/>
          <w:color w:val="000000"/>
          <w:sz w:val="20"/>
          <w:szCs w:val="20"/>
        </w:rPr>
      </w:r>
    </w:p>
    <w:p>
      <w:pPr>
        <w:pStyle w:val="1148"/>
        <w:jc w:val="both"/>
        <w:spacing w:before="40" w:after="40"/>
        <w:rPr>
          <w:color w:val="000000"/>
          <w:sz w:val="20"/>
          <w:szCs w:val="20"/>
        </w:rPr>
        <w:outlineLvl w:val="5"/>
      </w:pPr>
      <w:r>
        <w:rPr>
          <w:color w:val="000000"/>
          <w:sz w:val="20"/>
          <w:szCs w:val="20"/>
        </w:rPr>
        <w:t xml:space="preserve">- при кредитовании в рамках решения Министерства сел</w:t>
      </w:r>
      <w:r>
        <w:rPr>
          <w:color w:val="000000"/>
          <w:sz w:val="20"/>
          <w:szCs w:val="20"/>
        </w:rPr>
        <w:t xml:space="preserve">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w:t>
      </w:r>
      <w:r>
        <w:rPr>
          <w:color w:val="000000"/>
          <w:sz w:val="20"/>
          <w:szCs w:val="20"/>
        </w:rPr>
        <w:t xml:space="preserve">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w:t>
      </w:r>
      <w:r>
        <w:rPr>
          <w:color w:val="000000"/>
          <w:sz w:val="20"/>
          <w:szCs w:val="20"/>
        </w:rPr>
        <w:t xml:space="preserve">щую (промышленную) переработку сельскохозяйственной продукции и ее реализацию, по льготной ставке» далее – Решение № 258-Р , принятого в соответствии с постановлением Правительства Российской Федерации от 25.10.2023 № 1780 «Об утверждении Правил предоставл</w:t>
      </w:r>
      <w:r>
        <w:rPr>
          <w:color w:val="000000"/>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color w:val="000000"/>
          <w:sz w:val="20"/>
          <w:szCs w:val="20"/>
        </w:rPr>
      </w:r>
      <w:r>
        <w:rPr>
          <w:color w:val="000000"/>
          <w:sz w:val="20"/>
          <w:szCs w:val="20"/>
        </w:rPr>
      </w:r>
    </w:p>
    <w:p>
      <w:pPr>
        <w:pStyle w:val="1148"/>
        <w:jc w:val="both"/>
        <w:spacing w:before="40" w:after="40"/>
        <w:rPr>
          <w:color w:val="000000"/>
          <w:sz w:val="20"/>
          <w:szCs w:val="20"/>
        </w:rPr>
        <w:outlineLvl w:val="5"/>
      </w:pPr>
      <w:r>
        <w:rPr>
          <w:color w:val="000000"/>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w:t>
      </w:r>
      <w:r>
        <w:rPr>
          <w:color w:val="000000"/>
          <w:sz w:val="20"/>
          <w:szCs w:val="20"/>
        </w:rPr>
        <w:t xml:space="preserve">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w:t>
      </w:r>
      <w:r>
        <w:rPr>
          <w:color w:val="000000"/>
          <w:sz w:val="20"/>
          <w:szCs w:val="20"/>
        </w:rPr>
        <w:t xml:space="preserve">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color w:val="000000"/>
          <w:sz w:val="20"/>
          <w:szCs w:val="20"/>
        </w:rPr>
      </w:r>
      <w:r>
        <w:rPr>
          <w:color w:val="000000"/>
          <w:sz w:val="20"/>
          <w:szCs w:val="20"/>
        </w:rPr>
      </w:r>
    </w:p>
    <w:p>
      <w:pPr>
        <w:pStyle w:val="1148"/>
        <w:jc w:val="both"/>
        <w:rPr>
          <w:color w:val="000000"/>
          <w:sz w:val="20"/>
          <w:szCs w:val="20"/>
        </w:rPr>
      </w:pPr>
      <w:r>
        <w:rPr>
          <w:color w:val="000000"/>
          <w:sz w:val="20"/>
          <w:szCs w:val="20"/>
        </w:rPr>
        <w:t xml:space="preserve">- при кредитовании в рамках решения Министерства экономического развития Российской Федерации о порядке предоставления субсидии от </w:t>
      </w:r>
      <w:r>
        <w:rPr>
          <w:color w:val="000000"/>
          <w:sz w:val="20"/>
          <w:szCs w:val="20"/>
        </w:rPr>
        <w:t xml:space="preserve">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color w:val="000000"/>
          <w:sz w:val="20"/>
          <w:szCs w:val="20"/>
        </w:rPr>
      </w:r>
      <w:r>
        <w:rPr>
          <w:color w:val="000000"/>
          <w:sz w:val="20"/>
          <w:szCs w:val="20"/>
        </w:rPr>
      </w:r>
    </w:p>
    <w:p>
      <w:pPr>
        <w:pStyle w:val="1148"/>
        <w:jc w:val="both"/>
        <w:tabs>
          <w:tab w:val="left" w:pos="1134" w:leader="none"/>
        </w:tabs>
        <w:rPr>
          <w:sz w:val="20"/>
          <w:szCs w:val="20"/>
        </w:rPr>
      </w:pPr>
      <w:r>
        <w:rPr>
          <w:sz w:val="20"/>
          <w:szCs w:val="20"/>
        </w:rPr>
        <w:t xml:space="preserve">-</w:t>
      </w:r>
      <w:r>
        <w:rPr>
          <w:sz w:val="20"/>
          <w:szCs w:val="20"/>
        </w:rP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w:t>
      </w:r>
      <w:r>
        <w:rPr>
          <w:sz w:val="20"/>
          <w:szCs w:val="20"/>
        </w:rPr>
        <w:t xml:space="preserve">ия субсидии от 22.02.2024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w:t>
      </w:r>
      <w:r>
        <w:rPr>
          <w:sz w:val="20"/>
          <w:szCs w:val="20"/>
        </w:rPr>
        <w:t xml:space="preserve">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20"/>
          <w:szCs w:val="20"/>
        </w:rPr>
      </w:r>
      <w:r>
        <w:rPr>
          <w:sz w:val="20"/>
          <w:szCs w:val="20"/>
        </w:rPr>
      </w:r>
    </w:p>
    <w:p>
      <w:pPr>
        <w:pStyle w:val="1148"/>
        <w:jc w:val="both"/>
        <w:tabs>
          <w:tab w:val="left" w:pos="1134" w:leader="none"/>
        </w:tabs>
        <w:rPr>
          <w:sz w:val="20"/>
          <w:szCs w:val="20"/>
        </w:rPr>
      </w:pPr>
      <w:r>
        <w:rPr>
          <w:sz w:val="20"/>
          <w:szCs w:val="20"/>
        </w:rPr>
      </w:r>
      <w:r>
        <w:rPr>
          <w:sz w:val="20"/>
          <w:szCs w:val="20"/>
        </w:rPr>
      </w:r>
      <w:r>
        <w:rPr>
          <w:sz w:val="20"/>
          <w:szCs w:val="20"/>
        </w:rPr>
      </w:r>
    </w:p>
    <w:p>
      <w:pPr>
        <w:pStyle w:val="1148"/>
        <w:jc w:val="both"/>
        <w:tabs>
          <w:tab w:val="left" w:pos="1134" w:leader="none"/>
        </w:tabs>
        <w:rPr>
          <w:sz w:val="20"/>
          <w:szCs w:val="20"/>
        </w:rPr>
      </w:pPr>
      <w:r>
        <w:rPr>
          <w:sz w:val="20"/>
          <w:szCs w:val="20"/>
        </w:rPr>
      </w:r>
      <w:r>
        <w:rPr>
          <w:sz w:val="20"/>
          <w:szCs w:val="20"/>
        </w:rPr>
      </w:r>
      <w:r>
        <w:rPr>
          <w:sz w:val="20"/>
          <w:szCs w:val="20"/>
        </w:rPr>
      </w:r>
    </w:p>
    <w:tbl>
      <w:tblPr>
        <w:tblW w:w="10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820"/>
        <w:gridCol w:w="45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48"/>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9343" w:type="dxa"/>
            <w:vAlign w:val="top"/>
            <w:textDirection w:val="lrTb"/>
            <w:noWrap w:val="false"/>
          </w:tcPr>
          <w:p>
            <w:pPr>
              <w:pStyle w:val="1148"/>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8"/>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820"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523"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8"/>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9343"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8"/>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820"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523"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820" w:type="dxa"/>
            <w:vAlign w:val="top"/>
            <w:textDirection w:val="lrTb"/>
            <w:noWrap w:val="false"/>
          </w:tcPr>
          <w:p>
            <w:pPr>
              <w:pStyle w:val="1148"/>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48"/>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820" w:type="dxa"/>
            <w:vAlign w:val="top"/>
            <w:textDirection w:val="lrTb"/>
            <w:noWrap w:val="false"/>
          </w:tcPr>
          <w:p>
            <w:pPr>
              <w:pStyle w:val="1148"/>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48"/>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30.04.2020 № 629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30.04.2020 № 629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27.02.2021 № 279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27.02.2021 № 279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7</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8</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16.03.2022 № 375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16.03.2022 № 375</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9</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17.03.2022 № 393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10</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02.04.2022 № 574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11</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18.05.2022 № 895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12</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03.06.2017 № 674 </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03.06.2017 № 674</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3"/>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820"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ППРФ от 06.09.2022 № 1570 </w:t>
            </w:r>
            <w:r>
              <w:rPr>
                <w:iCs/>
                <w:sz w:val="20"/>
                <w:szCs w:val="20"/>
                <w:highlight w:val="none"/>
              </w:rPr>
            </w:r>
            <w:r>
              <w:rPr>
                <w:iCs/>
                <w:sz w:val="20"/>
                <w:szCs w:val="20"/>
                <w:highlight w:val="none"/>
              </w:rPr>
            </w:r>
          </w:p>
          <w:p>
            <w:pPr>
              <w:keepNext/>
              <w:spacing w:before="40" w:after="40"/>
              <w:outlineLvl w:val="5"/>
            </w:pPr>
            <w:r>
              <w:rPr>
                <w:sz w:val="20"/>
                <w:szCs w:val="20"/>
              </w:rPr>
              <w:t xml:space="preserve">- Решение </w:t>
            </w:r>
            <w:r>
              <w:rPr>
                <w:bCs/>
                <w:iCs/>
                <w:sz w:val="20"/>
                <w:szCs w:val="20"/>
              </w:rPr>
              <w:t xml:space="preserve">№</w:t>
            </w:r>
            <w:r>
              <w:rPr>
                <w:sz w:val="20"/>
                <w:szCs w:val="20"/>
              </w:rPr>
              <w:t xml:space="preserve"> 1969-Р (в рамках ППРФ </w:t>
            </w:r>
            <w:r>
              <w:rPr>
                <w:sz w:val="20"/>
                <w:szCs w:val="20"/>
              </w:rPr>
              <w:t xml:space="preserve">от 25.10.2023 </w:t>
            </w:r>
            <w:r>
              <w:rPr>
                <w:bCs/>
                <w:iCs/>
                <w:sz w:val="20"/>
                <w:szCs w:val="20"/>
              </w:rPr>
              <w:t xml:space="preserve">№</w:t>
            </w:r>
            <w:r>
              <w:rPr>
                <w:sz w:val="20"/>
                <w:szCs w:val="20"/>
              </w:rPr>
              <w:t xml:space="preserve"> 1780)</w:t>
            </w:r>
            <w:r>
              <w:rPr>
                <w:sz w:val="20"/>
                <w:szCs w:val="20"/>
              </w:rPr>
            </w:r>
            <w:r/>
          </w:p>
        </w:tc>
        <w:tc>
          <w:tcPr>
            <w:tcW w:w="4523"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ППРФ от 06.092022 № 1570</w:t>
            </w:r>
            <w:r>
              <w:rPr>
                <w:iCs/>
                <w:sz w:val="20"/>
                <w:szCs w:val="20"/>
                <w:highlight w:val="none"/>
              </w:rPr>
            </w:r>
            <w:r>
              <w:rPr>
                <w:iCs/>
                <w:sz w:val="20"/>
                <w:szCs w:val="20"/>
                <w:highlight w:val="none"/>
              </w:rPr>
            </w:r>
          </w:p>
          <w:p>
            <w:pPr>
              <w:keepNext/>
              <w:spacing w:before="40" w:after="40"/>
              <w:outlineLvl w:val="5"/>
            </w:pPr>
            <w:r>
              <w:rPr>
                <w:bCs/>
                <w:iCs/>
                <w:sz w:val="20"/>
                <w:szCs w:val="20"/>
                <w:highlight w:val="none"/>
              </w:rPr>
              <w:t xml:space="preserve">- Решение </w:t>
            </w:r>
            <w:r>
              <w:rPr>
                <w:bCs/>
                <w:iCs/>
                <w:sz w:val="20"/>
                <w:szCs w:val="20"/>
              </w:rPr>
              <w:t xml:space="preserve">№</w:t>
            </w:r>
            <w:r>
              <w:rPr>
                <w:bCs/>
                <w:iCs/>
                <w:sz w:val="20"/>
                <w:szCs w:val="20"/>
                <w:highlight w:val="none"/>
              </w:rPr>
              <w:t xml:space="preserve"> 1969-Р (в рамках ППРФ </w:t>
            </w:r>
            <w:r>
              <w:rPr>
                <w:bCs/>
                <w:iCs/>
                <w:sz w:val="20"/>
                <w:szCs w:val="20"/>
                <w:highlight w:val="none"/>
              </w:rPr>
              <w:t xml:space="preserve">от 25.10.2023 </w:t>
            </w:r>
            <w:r>
              <w:rPr>
                <w:bCs/>
                <w:iCs/>
                <w:sz w:val="20"/>
                <w:szCs w:val="20"/>
              </w:rPr>
              <w:t xml:space="preserve">№</w:t>
            </w:r>
            <w:r>
              <w:rPr>
                <w:bCs/>
                <w:iCs/>
                <w:sz w:val="20"/>
                <w:szCs w:val="20"/>
                <w:highlight w:val="none"/>
              </w:rPr>
              <w:t xml:space="preserve"> 1780)</w:t>
            </w:r>
            <w:r>
              <w:rPr>
                <w:bCs/>
                <w:iCs/>
                <w:sz w:val="20"/>
                <w:szCs w:val="20"/>
                <w:highlight w:val="none"/>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820"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outlineLvl w:val="5"/>
            </w:pPr>
            <w:r>
              <w:rPr>
                <w:sz w:val="20"/>
                <w:szCs w:val="20"/>
              </w:rPr>
              <w:t xml:space="preserve">- Решение </w:t>
            </w:r>
            <w:r>
              <w:rPr>
                <w:bCs/>
                <w:iCs/>
                <w:sz w:val="20"/>
                <w:szCs w:val="20"/>
              </w:rPr>
              <w:t xml:space="preserve">№</w:t>
            </w:r>
            <w:r>
              <w:rPr>
                <w:sz w:val="20"/>
                <w:szCs w:val="20"/>
              </w:rPr>
              <w:t xml:space="preserve"> 1698-Р (в рамках ППРФ </w:t>
            </w:r>
            <w:r>
              <w:rPr>
                <w:sz w:val="20"/>
                <w:szCs w:val="20"/>
              </w:rPr>
              <w:t xml:space="preserve">от 25.10.2023 </w:t>
            </w:r>
            <w:r>
              <w:rPr>
                <w:bCs/>
                <w:iCs/>
                <w:sz w:val="20"/>
                <w:szCs w:val="20"/>
              </w:rPr>
              <w:t xml:space="preserve">№</w:t>
            </w:r>
            <w:r>
              <w:rPr>
                <w:sz w:val="20"/>
                <w:szCs w:val="20"/>
              </w:rPr>
              <w:t xml:space="preserve"> 1780)</w:t>
            </w:r>
            <w:r>
              <w:rPr>
                <w:sz w:val="20"/>
                <w:szCs w:val="20"/>
              </w:rPr>
            </w:r>
            <w:r/>
          </w:p>
        </w:tc>
        <w:tc>
          <w:tcPr>
            <w:tcW w:w="4523"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outlineLvl w:val="5"/>
            </w:pPr>
            <w:r>
              <w:rPr>
                <w:bCs/>
                <w:iCs/>
                <w:sz w:val="20"/>
                <w:szCs w:val="20"/>
                <w:highlight w:val="none"/>
              </w:rPr>
              <w:t xml:space="preserve">- Решение </w:t>
            </w:r>
            <w:r>
              <w:rPr>
                <w:bCs/>
                <w:iCs/>
                <w:sz w:val="20"/>
                <w:szCs w:val="20"/>
              </w:rPr>
              <w:t xml:space="preserve">№</w:t>
            </w:r>
            <w:r>
              <w:rPr>
                <w:bCs/>
                <w:iCs/>
                <w:sz w:val="20"/>
                <w:szCs w:val="20"/>
                <w:highlight w:val="none"/>
              </w:rPr>
              <w:t xml:space="preserve"> 1698-Р (в рамках ППРФ</w:t>
            </w:r>
            <w:r/>
          </w:p>
          <w:p>
            <w:pPr>
              <w:keepNext/>
              <w:spacing w:before="40" w:after="40"/>
              <w:rPr>
                <w:sz w:val="20"/>
                <w:szCs w:val="20"/>
              </w:rPr>
              <w:outlineLvl w:val="5"/>
            </w:pPr>
            <w:r>
              <w:rPr>
                <w:bCs/>
                <w:iCs/>
                <w:sz w:val="20"/>
                <w:szCs w:val="20"/>
                <w:highlight w:val="none"/>
              </w:rPr>
              <w:t xml:space="preserve">от 25.10.2023 </w:t>
            </w:r>
            <w:r>
              <w:rPr>
                <w:bCs/>
                <w:iCs/>
                <w:sz w:val="20"/>
                <w:szCs w:val="20"/>
              </w:rPr>
              <w:t xml:space="preserve">№</w:t>
            </w:r>
            <w:r>
              <w:rPr>
                <w:bCs/>
                <w:iCs/>
                <w:sz w:val="20"/>
                <w:szCs w:val="20"/>
                <w:highlight w:val="none"/>
              </w:rPr>
              <w:t xml:space="preserve">  1780)</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820"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523"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18</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19</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bl>
    <w:p>
      <w:pPr>
        <w:pStyle w:val="1148"/>
        <w:jc w:val="both"/>
        <w:tabs>
          <w:tab w:val="left" w:pos="1134" w:leader="none"/>
        </w:tabs>
        <w:rPr>
          <w:sz w:val="20"/>
          <w:szCs w:val="20"/>
        </w:rPr>
      </w:pPr>
      <w:r>
        <w:rPr>
          <w:sz w:val="20"/>
          <w:szCs w:val="20"/>
        </w:rPr>
      </w:r>
      <w:r>
        <w:rPr>
          <w:sz w:val="20"/>
          <w:szCs w:val="20"/>
        </w:rPr>
      </w:r>
      <w:r>
        <w:rPr>
          <w:sz w:val="20"/>
          <w:szCs w:val="20"/>
        </w:rPr>
      </w:r>
    </w:p>
    <w:p>
      <w:pPr>
        <w:pStyle w:val="1148"/>
        <w:jc w:val="both"/>
        <w:spacing w:before="120"/>
        <w:rPr>
          <w:lang w:eastAsia="en-US"/>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lang w:eastAsia="en-US"/>
        </w:rPr>
      </w:r>
      <w:r>
        <w:rPr>
          <w:lang w:eastAsia="en-US"/>
        </w:rPr>
      </w:r>
    </w:p>
    <w:p>
      <w:pPr>
        <w:pStyle w:val="1148"/>
        <w:rPr>
          <w:lang w:eastAsia="en-US"/>
        </w:rPr>
      </w:pPr>
      <w:r>
        <w:rPr>
          <w:lang w:eastAsia="en-US"/>
        </w:rPr>
      </w:r>
      <w:r>
        <w:rPr>
          <w:lang w:eastAsia="en-US"/>
        </w:rPr>
      </w:r>
      <w:r>
        <w:rPr>
          <w:lang w:eastAsia="en-US"/>
        </w:rPr>
      </w:r>
    </w:p>
    <w:p>
      <w:pPr>
        <w:pStyle w:val="1148"/>
        <w:rPr>
          <w:lang w:eastAsia="en-US"/>
        </w:rPr>
      </w:pPr>
      <w:r>
        <w:rPr>
          <w:lang w:eastAsia="en-US"/>
        </w:rPr>
      </w:r>
      <w:r>
        <w:rPr>
          <w:lang w:eastAsia="en-US"/>
        </w:rPr>
      </w:r>
      <w:r>
        <w:rPr>
          <w:lang w:eastAsia="en-US"/>
        </w:rPr>
      </w:r>
    </w:p>
    <w:p>
      <w:pPr>
        <w:pStyle w:val="1152"/>
        <w:numPr>
          <w:ilvl w:val="0"/>
          <w:numId w:val="27"/>
        </w:numPr>
      </w:pPr>
      <w:r>
        <w:t xml:space="preserve">Обслуживание торгово-сервисных предприятий</w:t>
      </w:r>
      <w:r>
        <w:footnoteReference w:id="8"/>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1148"/>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70" w:type="dxa"/>
            <w:vAlign w:val="top"/>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088"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2835"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13.1</w:t>
            </w:r>
            <w:r>
              <w:rPr>
                <w:sz w:val="20"/>
                <w:szCs w:val="20"/>
              </w:rPr>
            </w:r>
            <w:r>
              <w:rPr>
                <w:sz w:val="20"/>
                <w:szCs w:val="20"/>
              </w:rPr>
            </w:r>
          </w:p>
        </w:tc>
        <w:tc>
          <w:tcPr>
            <w:tcW w:w="3870" w:type="dxa"/>
            <w:vAlign w:val="top"/>
            <w:textDirection w:val="lrTb"/>
            <w:noWrap w:val="false"/>
          </w:tcPr>
          <w:p>
            <w:pPr>
              <w:pStyle w:val="1148"/>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13.2.</w:t>
            </w:r>
            <w:r>
              <w:rPr>
                <w:sz w:val="20"/>
                <w:szCs w:val="20"/>
              </w:rPr>
            </w:r>
            <w:r>
              <w:rPr>
                <w:sz w:val="20"/>
                <w:szCs w:val="20"/>
              </w:rPr>
            </w:r>
          </w:p>
        </w:tc>
        <w:tc>
          <w:tcPr>
            <w:tcW w:w="3870" w:type="dxa"/>
            <w:vAlign w:val="top"/>
            <w:textDirection w:val="lrTb"/>
            <w:noWrap w:val="false"/>
          </w:tcPr>
          <w:p>
            <w:pPr>
              <w:pStyle w:val="1148"/>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trPr>
        <w:tc>
          <w:tcPr>
            <w:tcW w:w="1130" w:type="dxa"/>
            <w:vAlign w:val="center"/>
            <w:textDirection w:val="lrTb"/>
            <w:noWrap w:val="false"/>
          </w:tcPr>
          <w:p>
            <w:pPr>
              <w:pStyle w:val="1148"/>
              <w:jc w:val="center"/>
              <w:rPr>
                <w:sz w:val="20"/>
                <w:szCs w:val="20"/>
              </w:rPr>
            </w:pPr>
            <w:r>
              <w:rPr>
                <w:sz w:val="20"/>
                <w:szCs w:val="20"/>
              </w:rPr>
              <w:t xml:space="preserve">13.3.</w:t>
            </w:r>
            <w:r>
              <w:rPr>
                <w:sz w:val="20"/>
                <w:szCs w:val="20"/>
              </w:rPr>
            </w:r>
            <w:r>
              <w:rPr>
                <w:sz w:val="20"/>
                <w:szCs w:val="20"/>
              </w:rPr>
            </w:r>
          </w:p>
        </w:tc>
        <w:tc>
          <w:tcPr>
            <w:gridSpan w:val="3"/>
            <w:tcW w:w="8793" w:type="dxa"/>
            <w:vAlign w:val="center"/>
            <w:textDirection w:val="lrTb"/>
            <w:noWrap w:val="false"/>
          </w:tcPr>
          <w:p>
            <w:pPr>
              <w:pStyle w:val="1148"/>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13.3.1.</w:t>
            </w:r>
            <w:r>
              <w:rPr>
                <w:sz w:val="20"/>
                <w:szCs w:val="20"/>
              </w:rPr>
            </w:r>
            <w:r>
              <w:rPr>
                <w:sz w:val="20"/>
                <w:szCs w:val="20"/>
              </w:rPr>
            </w:r>
          </w:p>
        </w:tc>
        <w:tc>
          <w:tcPr>
            <w:tcW w:w="3870" w:type="dxa"/>
            <w:vAlign w:val="center"/>
            <w:textDirection w:val="lrTb"/>
            <w:noWrap w:val="false"/>
          </w:tcPr>
          <w:p>
            <w:pPr>
              <w:pStyle w:val="1148"/>
              <w:jc w:val="center"/>
              <w:rPr>
                <w:sz w:val="20"/>
                <w:szCs w:val="20"/>
              </w:rPr>
            </w:pPr>
            <w:r>
              <w:rPr>
                <w:sz w:val="20"/>
                <w:szCs w:val="20"/>
              </w:rPr>
              <w:t xml:space="preserve">C использованием карты платежной системы МИР, международных платежных систем, JCB, American Express, VISA и Mastercard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13.3.2.</w:t>
            </w:r>
            <w:r>
              <w:rPr>
                <w:sz w:val="20"/>
                <w:szCs w:val="20"/>
              </w:rPr>
            </w:r>
            <w:r>
              <w:rPr>
                <w:sz w:val="20"/>
                <w:szCs w:val="20"/>
              </w:rPr>
            </w:r>
          </w:p>
        </w:tc>
        <w:tc>
          <w:tcPr>
            <w:tcW w:w="3870" w:type="dxa"/>
            <w:vAlign w:val="center"/>
            <w:textDirection w:val="lrTb"/>
            <w:noWrap w:val="false"/>
          </w:tcPr>
          <w:p>
            <w:pPr>
              <w:pStyle w:val="1148"/>
              <w:jc w:val="center"/>
              <w:rPr>
                <w:sz w:val="20"/>
                <w:szCs w:val="20"/>
              </w:rPr>
            </w:pPr>
            <w:r>
              <w:rPr>
                <w:sz w:val="20"/>
                <w:szCs w:val="20"/>
              </w:rPr>
              <w:t xml:space="preserve">C использованием карты платежной системы МИР, международных платежных систем, UnionPay, JCB, American Express, VISA и Mastercard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13.4.</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C использованием карты, выпущенной </w:t>
              <w:br w:type="textWrapping" w:clear="all"/>
              <w:t xml:space="preserve">АО «Россельхозбанк» (МИР, UnionPay, JCB, VISA и Mastercard всех категорий)</w:t>
            </w:r>
            <w:r>
              <w:rPr>
                <w:sz w:val="20"/>
                <w:szCs w:val="20"/>
              </w:rPr>
            </w:r>
            <w:r>
              <w:rPr>
                <w:sz w:val="20"/>
                <w:szCs w:val="20"/>
              </w:rPr>
            </w:r>
          </w:p>
        </w:tc>
        <w:tc>
          <w:tcPr>
            <w:tcW w:w="2088" w:type="dxa"/>
            <w:vAlign w:val="top"/>
            <w:textDirection w:val="lrTb"/>
            <w:noWrap w:val="false"/>
          </w:tcPr>
          <w:p>
            <w:pPr>
              <w:pStyle w:val="1148"/>
              <w:ind w:left="72"/>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1148"/>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088" w:type="dxa"/>
            <w:vAlign w:val="top"/>
            <w:textDirection w:val="lrTb"/>
            <w:noWrap w:val="false"/>
          </w:tcPr>
          <w:p>
            <w:pPr>
              <w:pStyle w:val="1148"/>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13.5.1.1.</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13.5.1.2.</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13.5.1.3.</w:t>
            </w:r>
            <w:r>
              <w:rPr>
                <w:sz w:val="20"/>
                <w:szCs w:val="20"/>
              </w:rPr>
            </w:r>
            <w:r>
              <w:rPr>
                <w:sz w:val="20"/>
                <w:szCs w:val="20"/>
              </w:rPr>
            </w:r>
          </w:p>
        </w:tc>
        <w:tc>
          <w:tcPr>
            <w:tcW w:w="3870" w:type="dxa"/>
            <w:vAlign w:val="top"/>
            <w:textDirection w:val="lrTb"/>
            <w:noWrap w:val="false"/>
          </w:tcPr>
          <w:p>
            <w:pPr>
              <w:pStyle w:val="1148"/>
              <w:jc w:val="both"/>
              <w:keepLines/>
              <w:keepNext/>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088" w:type="dxa"/>
            <w:vAlign w:val="top"/>
            <w:textDirection w:val="lrTb"/>
            <w:noWrap w:val="false"/>
          </w:tcPr>
          <w:p>
            <w:pPr>
              <w:pStyle w:val="1148"/>
              <w:jc w:val="center"/>
              <w:keepLines/>
              <w:keepNext/>
              <w:rPr>
                <w:sz w:val="20"/>
                <w:szCs w:val="20"/>
              </w:rPr>
            </w:pPr>
            <w:r>
              <w:rPr>
                <w:sz w:val="20"/>
                <w:szCs w:val="20"/>
              </w:rPr>
              <w:t xml:space="preserve">0,70% от суммы операции, но не более </w:t>
            </w:r>
            <w:r>
              <w:rPr>
                <w:sz w:val="20"/>
                <w:szCs w:val="20"/>
              </w:rPr>
            </w:r>
            <w:r>
              <w:rPr>
                <w:sz w:val="20"/>
                <w:szCs w:val="20"/>
              </w:rPr>
            </w:r>
          </w:p>
          <w:p>
            <w:pPr>
              <w:pStyle w:val="1148"/>
              <w:ind w:left="72"/>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2835" w:type="dxa"/>
            <w:vAlign w:val="top"/>
            <w:textDirection w:val="lrTb"/>
            <w:noWrap w:val="false"/>
          </w:tcPr>
          <w:p>
            <w:pPr>
              <w:pStyle w:val="1148"/>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13.5.2.</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0" w:type="dxa"/>
            <w:vAlign w:val="top"/>
            <w:textDirection w:val="lrTb"/>
            <w:noWrap w:val="false"/>
          </w:tcPr>
          <w:p>
            <w:pPr>
              <w:pStyle w:val="1148"/>
              <w:ind w:left="72"/>
              <w:jc w:val="both"/>
              <w:spacing w:before="40" w:after="40"/>
              <w:rPr>
                <w:sz w:val="20"/>
                <w:szCs w:val="20"/>
              </w:rPr>
            </w:pPr>
            <w:r>
              <w:rPr>
                <w:sz w:val="20"/>
                <w:szCs w:val="20"/>
              </w:rPr>
              <w:t xml:space="preserve">13.6.1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70" w:type="dxa"/>
            <w:vAlign w:val="top"/>
            <w:textDirection w:val="lrTb"/>
            <w:noWrap w:val="false"/>
          </w:tcPr>
          <w:p>
            <w:pPr>
              <w:pStyle w:val="1148"/>
              <w:ind w:left="72"/>
              <w:jc w:val="both"/>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8" w:type="dxa"/>
            <w:vAlign w:val="top"/>
            <w:textDirection w:val="lrTb"/>
            <w:noWrap w:val="false"/>
          </w:tcPr>
          <w:p>
            <w:pPr>
              <w:pStyle w:val="1148"/>
              <w:jc w:val="center"/>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48"/>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0" w:type="dxa"/>
            <w:vAlign w:val="top"/>
            <w:textDirection w:val="lrTb"/>
            <w:noWrap w:val="false"/>
          </w:tcPr>
          <w:p>
            <w:pPr>
              <w:pStyle w:val="1148"/>
              <w:ind w:left="72"/>
              <w:jc w:val="both"/>
              <w:spacing w:before="40" w:after="40"/>
              <w:rPr>
                <w:sz w:val="20"/>
                <w:szCs w:val="20"/>
              </w:rPr>
            </w:pPr>
            <w:r>
              <w:rPr>
                <w:sz w:val="20"/>
                <w:szCs w:val="20"/>
              </w:rPr>
              <w:t xml:space="preserve">13.6.2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70" w:type="dxa"/>
            <w:vAlign w:val="top"/>
            <w:textDirection w:val="lrTb"/>
            <w:noWrap w:val="false"/>
          </w:tcPr>
          <w:p>
            <w:pPr>
              <w:pStyle w:val="1148"/>
              <w:ind w:left="72"/>
              <w:jc w:val="both"/>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bl>
    <w:p>
      <w:pPr>
        <w:pStyle w:val="1148"/>
        <w:rPr>
          <w:i/>
          <w:sz w:val="20"/>
          <w:szCs w:val="20"/>
        </w:rPr>
      </w:pPr>
      <w:r>
        <w:rPr>
          <w:i/>
          <w:sz w:val="20"/>
          <w:szCs w:val="20"/>
        </w:rPr>
      </w:r>
      <w:r>
        <w:rPr>
          <w:i/>
          <w:sz w:val="20"/>
          <w:szCs w:val="20"/>
        </w:rPr>
      </w:r>
      <w:r>
        <w:rPr>
          <w:i/>
          <w:sz w:val="20"/>
          <w:szCs w:val="20"/>
        </w:rPr>
      </w:r>
    </w:p>
    <w:p>
      <w:pPr>
        <w:pStyle w:val="1148"/>
        <w:rPr>
          <w:i/>
          <w:sz w:val="20"/>
          <w:szCs w:val="20"/>
        </w:rPr>
      </w:pPr>
      <w:r>
        <w:rPr>
          <w:i/>
          <w:sz w:val="20"/>
          <w:szCs w:val="20"/>
        </w:rPr>
      </w:r>
      <w:r>
        <w:rPr>
          <w:i/>
          <w:sz w:val="20"/>
          <w:szCs w:val="20"/>
        </w:rPr>
      </w:r>
      <w:r>
        <w:rPr>
          <w:i/>
          <w:sz w:val="20"/>
          <w:szCs w:val="20"/>
        </w:rPr>
      </w:r>
    </w:p>
    <w:p>
      <w:pPr>
        <w:pStyle w:val="1148"/>
        <w:rPr>
          <w:sz w:val="20"/>
          <w:szCs w:val="20"/>
        </w:rPr>
      </w:pPr>
      <w:r>
        <w:rPr>
          <w:i/>
          <w:sz w:val="20"/>
          <w:szCs w:val="20"/>
        </w:rPr>
        <w:t xml:space="preserve">Примечание:</w:t>
      </w:r>
      <w:r>
        <w:rPr>
          <w:i/>
          <w:sz w:val="20"/>
          <w:szCs w:val="20"/>
        </w:rPr>
        <w:t xml:space="preserve"> </w:t>
      </w:r>
      <w:r>
        <w:rPr>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r>
      <w:r>
        <w:rPr>
          <w:sz w:val="20"/>
          <w:szCs w:val="20"/>
        </w:rPr>
      </w:r>
    </w:p>
    <w:p>
      <w:pPr>
        <w:pStyle w:val="1148"/>
      </w:pPr>
      <w:r/>
      <w:r/>
    </w:p>
    <w:p>
      <w:pPr>
        <w:pStyle w:val="1148"/>
        <w:rPr>
          <w:i/>
          <w:sz w:val="20"/>
          <w:szCs w:val="20"/>
        </w:rPr>
      </w:pPr>
      <w:r>
        <w:rPr>
          <w:i/>
          <w:sz w:val="20"/>
          <w:szCs w:val="20"/>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w:t>
      </w:r>
      <w:r>
        <w:rPr>
          <w:i/>
          <w:sz w:val="20"/>
          <w:szCs w:val="20"/>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20"/>
          <w:szCs w:val="20"/>
        </w:rPr>
      </w:r>
      <w:r>
        <w:rPr>
          <w:i/>
          <w:sz w:val="20"/>
          <w:szCs w:val="20"/>
        </w:rPr>
      </w:r>
    </w:p>
    <w:p>
      <w:pPr>
        <w:pStyle w:val="1148"/>
        <w:rPr>
          <w:i/>
          <w:sz w:val="20"/>
          <w:szCs w:val="20"/>
        </w:rPr>
      </w:pPr>
      <w:r>
        <w:rPr>
          <w:i/>
          <w:sz w:val="20"/>
          <w:szCs w:val="20"/>
        </w:rPr>
      </w:r>
      <w:r>
        <w:rPr>
          <w:i/>
          <w:sz w:val="20"/>
          <w:szCs w:val="20"/>
        </w:rPr>
      </w:r>
      <w:r>
        <w:rPr>
          <w:i/>
          <w:sz w:val="20"/>
          <w:szCs w:val="20"/>
        </w:rPr>
      </w:r>
    </w:p>
    <w:p>
      <w:pPr>
        <w:pStyle w:val="1148"/>
      </w:pPr>
      <w:r/>
      <w:r/>
    </w:p>
    <w:p>
      <w:pPr>
        <w:pStyle w:val="1152"/>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1148"/>
        <w:rPr>
          <w:lang w:val="en-US" w:eastAsia="en-US"/>
        </w:rPr>
      </w:pPr>
      <w:r>
        <w:rPr>
          <w:lang w:val="en-US" w:eastAsia="en-US"/>
        </w:rPr>
      </w: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2976"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2 000 руб., </w:t>
            </w:r>
            <w:r>
              <w:rPr>
                <w:sz w:val="20"/>
                <w:szCs w:val="20"/>
              </w:rPr>
            </w:r>
            <w:r>
              <w:rPr>
                <w:sz w:val="20"/>
                <w:szCs w:val="20"/>
              </w:rPr>
            </w:r>
          </w:p>
          <w:p>
            <w:pPr>
              <w:pStyle w:val="1148"/>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1985" w:type="dxa"/>
            <w:vAlign w:val="top"/>
            <w:textDirection w:val="lrTb"/>
            <w:noWrap w:val="false"/>
          </w:tcPr>
          <w:p>
            <w:pPr>
              <w:pStyle w:val="1148"/>
              <w:rPr>
                <w:sz w:val="20"/>
                <w:szCs w:val="20"/>
              </w:rPr>
            </w:pPr>
            <w:r>
              <w:rPr>
                <w:sz w:val="20"/>
                <w:szCs w:val="20"/>
              </w:rPr>
              <w:t xml:space="preserve">1 000 руб. за каждый раздел</w:t>
            </w:r>
            <w:r>
              <w:rPr>
                <w:sz w:val="20"/>
                <w:szCs w:val="20"/>
              </w:rPr>
            </w:r>
            <w:r>
              <w:rPr>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8"/>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48"/>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20 000 руб.</w:t>
            </w:r>
            <w:r>
              <w:rPr>
                <w:sz w:val="20"/>
                <w:szCs w:val="20"/>
              </w:rPr>
            </w:r>
            <w:r>
              <w:rPr>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8"/>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48"/>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94"/>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94"/>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48"/>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94"/>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r>
              <w:rPr>
                <w:rFonts w:eastAsia="Times New Roman"/>
                <w:color w:val="000000"/>
                <w:sz w:val="20"/>
                <w:szCs w:val="20"/>
              </w:rPr>
            </w:r>
          </w:p>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r>
              <w:rPr>
                <w:bCs/>
                <w:sz w:val="22"/>
                <w:szCs w:val="22"/>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8930" w:type="dxa"/>
            <w:vAlign w:val="top"/>
            <w:textDirection w:val="lrTb"/>
            <w:noWrap w:val="false"/>
          </w:tcPr>
          <w:p>
            <w:pPr>
              <w:ind w:left="-142" w:right="0" w:firstLine="142"/>
              <w:jc w:val="both"/>
              <w:rPr>
                <w:iCs/>
                <w:highlight w:val="none"/>
              </w:rPr>
            </w:pPr>
            <w:r>
              <w:rPr>
                <w:rFonts w:eastAsia="Times New Roman"/>
                <w:color w:val="000000"/>
                <w:sz w:val="20"/>
                <w:szCs w:val="20"/>
              </w:rPr>
              <w:t xml:space="preserve">Хранение и учет на счете ДЕПО ценных бумаг Депонентов,  </w:t>
            </w:r>
            <w:r>
              <w:rPr>
                <w:bCs/>
                <w:iCs/>
                <w:sz w:val="20"/>
                <w:szCs w:val="20"/>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iCs/>
                <w:sz w:val="20"/>
                <w:szCs w:val="20"/>
                <w:highlight w:val="none"/>
              </w:rPr>
            </w:r>
            <w:r>
              <w:rPr>
                <w:iCs/>
                <w:sz w:val="20"/>
                <w:szCs w:val="20"/>
                <w:highlight w:val="none"/>
              </w:rPr>
            </w:r>
          </w:p>
          <w:p>
            <w:pPr>
              <w:pStyle w:val="1194"/>
              <w:ind w:left="-142" w:right="0" w:firstLine="142"/>
              <w:jc w:val="both"/>
              <w:spacing w:before="40" w:after="40"/>
              <w:rPr>
                <w:rFonts w:eastAsia="Times New Roman"/>
                <w:color w:val="000000"/>
                <w:sz w:val="20"/>
                <w:szCs w:val="20"/>
              </w:rPr>
            </w:pPr>
            <w:r>
              <w:rPr>
                <w:rFonts w:eastAsia="Times New Roman"/>
                <w:color w:val="000000"/>
                <w:sz w:val="20"/>
                <w:szCs w:val="20"/>
              </w:rPr>
              <w:t xml:space="preserve">принятых АО «Россельхозбанк» на брокерское обслуживание</w:t>
            </w:r>
            <w:r>
              <w:rPr>
                <w:rFonts w:eastAsia="Times New Roman"/>
                <w:color w:val="000000"/>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9"/>
            </w:r>
            <w:r>
              <w:rPr>
                <w:rFonts w:eastAsia="Times New Roman"/>
                <w:color w:val="000000"/>
                <w:sz w:val="20"/>
                <w:szCs w:val="20"/>
              </w:rPr>
              <w:t xml:space="preserve"> ценных бумаг (млрд. руб.)</w:t>
            </w:r>
            <w:r>
              <w:rPr>
                <w:rFonts w:eastAsia="Times New Roman"/>
                <w:color w:val="000000"/>
                <w:sz w:val="20"/>
                <w:szCs w:val="20"/>
              </w:rPr>
            </w:r>
            <w:r>
              <w:rPr>
                <w:rFonts w:eastAsia="Times New Roman"/>
                <w:color w:val="000000"/>
                <w:sz w:val="20"/>
                <w:szCs w:val="20"/>
              </w:rPr>
            </w:r>
          </w:p>
        </w:tc>
        <w:tc>
          <w:tcPr>
            <w:tcW w:w="993"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r>
              <w:rPr>
                <w:rFonts w:eastAsia="Times New Roman"/>
                <w:color w:val="000000"/>
                <w:sz w:val="20"/>
                <w:szCs w:val="20"/>
              </w:rPr>
            </w:r>
          </w:p>
          <w:p>
            <w:pPr>
              <w:pStyle w:val="1194"/>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1148"/>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1148"/>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2976" w:type="dxa"/>
            <w:vAlign w:val="top"/>
            <w:vMerge w:val="restart"/>
            <w:textDirection w:val="lrTb"/>
            <w:noWrap w:val="false"/>
          </w:tcPr>
          <w:p>
            <w:pPr>
              <w:pStyle w:val="1148"/>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48"/>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48"/>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20 до 50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1148"/>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969" w:type="dxa"/>
            <w:vAlign w:val="top"/>
            <w:vMerge w:val="restart"/>
            <w:textDirection w:val="lrTb"/>
            <w:noWrap w:val="false"/>
          </w:tcPr>
          <w:p>
            <w:pPr>
              <w:pStyle w:val="1148"/>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0,019% минимум 30 руб. в месяц</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0,014%</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0,013%</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8"/>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8"/>
              <w:jc w:val="center"/>
              <w:spacing w:before="40" w:after="40"/>
              <w:rPr>
                <w:sz w:val="20"/>
                <w:szCs w:val="20"/>
              </w:rPr>
            </w:pPr>
            <w:r>
              <w:rPr>
                <w:sz w:val="20"/>
                <w:szCs w:val="20"/>
              </w:rPr>
              <w:t xml:space="preserve">0,035% годовых минимум 30 руб. в месяц</w:t>
            </w:r>
            <w:r>
              <w:rPr>
                <w:sz w:val="20"/>
                <w:szCs w:val="20"/>
              </w:rPr>
            </w:r>
            <w:r>
              <w:rPr>
                <w:sz w:val="20"/>
                <w:szCs w:val="20"/>
              </w:rPr>
            </w:r>
          </w:p>
        </w:tc>
        <w:tc>
          <w:tcPr>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8"/>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8"/>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8"/>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8"/>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48"/>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48"/>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1194"/>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p>
            <w:pPr>
              <w:pStyle w:val="1148"/>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48"/>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48"/>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1148"/>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8"/>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8"/>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10 000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500 руб.</w:t>
            </w:r>
            <w:r>
              <w:rPr>
                <w:sz w:val="20"/>
                <w:szCs w:val="20"/>
              </w:rPr>
            </w:r>
            <w:r>
              <w:rPr>
                <w:sz w:val="20"/>
                <w:szCs w:val="20"/>
              </w:rPr>
            </w:r>
          </w:p>
          <w:p>
            <w:pPr>
              <w:pStyle w:val="114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1 000 руб.</w:t>
            </w:r>
            <w:r>
              <w:rPr>
                <w:sz w:val="20"/>
                <w:szCs w:val="20"/>
              </w:rPr>
            </w:r>
            <w:r>
              <w:rPr>
                <w:sz w:val="20"/>
                <w:szCs w:val="20"/>
              </w:rPr>
            </w:r>
          </w:p>
          <w:p>
            <w:pPr>
              <w:pStyle w:val="114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8"/>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94"/>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r>
              <w:rPr>
                <w:rFonts w:eastAsia="Times New Roman"/>
                <w:color w:val="000000"/>
                <w:sz w:val="20"/>
                <w:szCs w:val="20"/>
              </w:rPr>
            </w:r>
          </w:p>
          <w:p>
            <w:pPr>
              <w:pStyle w:val="1194"/>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94"/>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300 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1148"/>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1 000 руб.</w:t>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8"/>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5"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2976" w:type="dxa"/>
            <w:vAlign w:val="top"/>
            <w:textDirection w:val="lrTb"/>
            <w:noWrap w:val="false"/>
          </w:tcPr>
          <w:p>
            <w:pPr>
              <w:jc w:val="both"/>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jc w:val="both"/>
              <w:spacing w:before="40" w:after="40"/>
              <w:rPr>
                <w:sz w:val="20"/>
                <w:szCs w:val="20"/>
              </w:rPr>
            </w:pPr>
            <w:r>
              <w:rPr>
                <w:sz w:val="20"/>
                <w:szCs w:val="20"/>
              </w:rPr>
            </w:r>
            <w:r>
              <w:rPr>
                <w:sz w:val="20"/>
                <w:szCs w:val="20"/>
              </w:rPr>
            </w:r>
            <w:r>
              <w:rPr>
                <w:sz w:val="20"/>
                <w:szCs w:val="20"/>
              </w:rPr>
            </w:r>
          </w:p>
          <w:p>
            <w:pPr>
              <w:jc w:val="both"/>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за период до 1 года </w:t>
            </w:r>
            <w:r>
              <w:rPr>
                <w:sz w:val="20"/>
                <w:szCs w:val="20"/>
              </w:rPr>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1 000 руб.</w:t>
            </w:r>
            <w:r>
              <w:rPr>
                <w:sz w:val="20"/>
                <w:szCs w:val="20"/>
              </w:rPr>
            </w:r>
            <w:r>
              <w:rPr>
                <w:sz w:val="20"/>
                <w:szCs w:val="20"/>
              </w:rPr>
            </w:r>
          </w:p>
        </w:tc>
        <w:tc>
          <w:tcPr>
            <w:tcBorders>
              <w:top w:val="none" w:color="000000" w:sz="4" w:space="0"/>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за период от 1 года (включительно) до 3-х (включительно)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за период  более 3-х лет </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5 000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3 000 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1"/>
        </w:trPr>
        <w:tc>
          <w:tcPr>
            <w:tcW w:w="993" w:type="dxa"/>
            <w:vAlign w:val="top"/>
            <w:textDirection w:val="lrTb"/>
            <w:noWrap w:val="false"/>
          </w:tcPr>
          <w:p>
            <w:pPr>
              <w:pStyle w:val="1148"/>
              <w:jc w:val="center"/>
              <w:spacing w:before="40" w:after="40"/>
              <w:rPr>
                <w:bCs/>
                <w:sz w:val="20"/>
                <w:szCs w:val="20"/>
              </w:rPr>
            </w:pPr>
            <w:r>
              <w:rPr>
                <w:bCs/>
                <w:sz w:val="20"/>
                <w:szCs w:val="20"/>
              </w:rPr>
              <w:t xml:space="preserve">14.8.6.</w:t>
            </w:r>
            <w:r>
              <w:rPr>
                <w:bCs/>
                <w:sz w:val="20"/>
                <w:szCs w:val="20"/>
              </w:rPr>
            </w:r>
            <w:r>
              <w:rPr>
                <w:bC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Предоставление копий поручений, приложений, договоров и других . документов (за исключением документов, указанных в п. 14.8.7 Тарифов) по запросу Депонента</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На бумажном носителе -100 руб. за лист</w:t>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rPr>
          <w:trHeight w:val="1131"/>
        </w:trPr>
        <w:tc>
          <w:tcPr>
            <w:tcW w:w="993" w:type="dxa"/>
            <w:vAlign w:val="top"/>
            <w:vMerge w:val="restart"/>
            <w:textDirection w:val="lrTb"/>
            <w:noWrap w:val="false"/>
          </w:tcPr>
          <w:p>
            <w:pPr>
              <w:pStyle w:val="1148"/>
              <w:jc w:val="center"/>
              <w:spacing w:before="40" w:after="40"/>
              <w:rPr>
                <w:bCs/>
                <w:sz w:val="20"/>
                <w:szCs w:val="20"/>
              </w:rPr>
            </w:pPr>
            <w:r>
              <w:rPr>
                <w:bCs/>
                <w:sz w:val="20"/>
                <w:szCs w:val="20"/>
              </w:rPr>
              <w:t xml:space="preserve">14.8.7</w:t>
            </w:r>
            <w:r>
              <w:rPr>
                <w:bCs/>
                <w:sz w:val="20"/>
                <w:szCs w:val="20"/>
              </w:rPr>
            </w:r>
          </w:p>
        </w:tc>
        <w:tc>
          <w:tcPr>
            <w:tcW w:w="3969" w:type="dxa"/>
            <w:vAlign w:val="top"/>
            <w:vMerge w:val="restart"/>
            <w:textDirection w:val="lrTb"/>
            <w:noWrap w:val="false"/>
          </w:tcPr>
          <w:p>
            <w:pPr>
              <w:pStyle w:val="988"/>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1985" w:type="dxa"/>
            <w:vAlign w:val="top"/>
            <w:vMerge w:val="restart"/>
            <w:textDirection w:val="lrTb"/>
            <w:noWrap w:val="false"/>
          </w:tcPr>
          <w:p>
            <w:pPr>
              <w:pStyle w:val="988"/>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
                <w:bCs/>
                <w:iCs/>
                <w:sz w:val="20"/>
                <w:szCs w:val="20"/>
              </w:rPr>
            </w:r>
          </w:p>
          <w:p>
            <w:pPr>
              <w:pStyle w:val="1148"/>
              <w:jc w:val="center"/>
              <w:spacing w:before="40" w:after="40"/>
              <w:rPr>
                <w:sz w:val="20"/>
                <w:szCs w:val="20"/>
              </w:rPr>
            </w:pPr>
            <w:r>
              <w:rPr>
                <w:sz w:val="20"/>
                <w:szCs w:val="20"/>
              </w:rPr>
            </w:r>
            <w:r>
              <w:rPr>
                <w:sz w:val="20"/>
                <w:szCs w:val="20"/>
              </w:rPr>
            </w:r>
          </w:p>
        </w:tc>
        <w:tc>
          <w:tcPr>
            <w:tcW w:w="2976" w:type="dxa"/>
            <w:vAlign w:val="top"/>
            <w:vMerge w:val="restart"/>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p>
        </w:tc>
      </w:tr>
    </w:tbl>
    <w:p>
      <w:pPr>
        <w:rPr>
          <w:bCs/>
          <w:i/>
          <w:sz w:val="16"/>
          <w:szCs w:val="16"/>
        </w:rPr>
      </w:pPr>
      <w:r>
        <w:rPr>
          <w:i/>
          <w:sz w:val="16"/>
          <w:szCs w:val="16"/>
          <w:highlight w:val="none"/>
        </w:rPr>
      </w:r>
      <w:r>
        <w:rPr>
          <w:i/>
          <w:sz w:val="16"/>
          <w:szCs w:val="16"/>
          <w:highlight w:val="none"/>
        </w:rPr>
      </w:r>
    </w:p>
    <w:p>
      <w:pPr>
        <w:pStyle w:val="1148"/>
        <w:rPr>
          <w:bCs/>
          <w:i/>
          <w:sz w:val="16"/>
          <w:szCs w:val="16"/>
          <w:highlight w:val="none"/>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bCs/>
          <w:i/>
          <w:sz w:val="16"/>
          <w:szCs w:val="16"/>
          <w:highlight w:val="none"/>
        </w:rPr>
      </w:r>
    </w:p>
    <w:p>
      <w:pPr>
        <w:pStyle w:val="1148"/>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1148"/>
        <w:rPr>
          <w:i/>
          <w:sz w:val="16"/>
          <w:szCs w:val="16"/>
        </w:rPr>
      </w:pPr>
      <w:r>
        <w:rPr>
          <w:i/>
          <w:sz w:val="16"/>
          <w:szCs w:val="16"/>
        </w:rPr>
      </w:r>
      <w:r>
        <w:rPr>
          <w:i/>
          <w:sz w:val="16"/>
          <w:szCs w:val="16"/>
        </w:rPr>
      </w:r>
      <w:r>
        <w:rPr>
          <w:i/>
          <w:sz w:val="16"/>
          <w:szCs w:val="16"/>
        </w:rPr>
      </w:r>
    </w:p>
    <w:p>
      <w:pPr>
        <w:pStyle w:val="1152"/>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48"/>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1148"/>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48"/>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1148"/>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48"/>
              <w:jc w:val="both"/>
              <w:spacing w:before="40"/>
              <w:tabs>
                <w:tab w:val="center" w:pos="1260" w:leader="none"/>
                <w:tab w:val="right" w:pos="9355" w:leader="none"/>
              </w:tabs>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48"/>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48"/>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48"/>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48"/>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48"/>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48"/>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r>
              <w:rPr>
                <w:sz w:val="20"/>
                <w:szCs w:val="20"/>
              </w:rPr>
            </w:r>
          </w:p>
        </w:tc>
        <w:tc>
          <w:tcPr>
            <w:tcBorders>
              <w:bottom w:val="single" w:color="000000" w:sz="4" w:space="0"/>
            </w:tcBorders>
            <w:tcW w:w="3118" w:type="dxa"/>
            <w:vAlign w:val="top"/>
            <w:textDirection w:val="lrTb"/>
            <w:noWrap w:val="false"/>
          </w:tcPr>
          <w:p>
            <w:pPr>
              <w:pStyle w:val="1148"/>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r>
              <w:rPr>
                <w:sz w:val="20"/>
                <w:szCs w:val="20"/>
              </w:rPr>
            </w:r>
          </w:p>
        </w:tc>
      </w:tr>
    </w:tbl>
    <w:p>
      <w:pPr>
        <w:pStyle w:val="1152"/>
        <w:rPr>
          <w:lang w:val="ru-RU"/>
        </w:rPr>
      </w:pPr>
      <w:r>
        <w:t xml:space="preserve">16. Операции с драгоценными металлами</w:t>
      </w:r>
      <w:r>
        <w:rPr>
          <w:lang w:val="ru-RU"/>
        </w:rPr>
      </w:r>
      <w:r>
        <w:rPr>
          <w:lang w:val="ru-RU"/>
        </w:rPr>
      </w:r>
    </w:p>
    <w:p>
      <w:pPr>
        <w:pStyle w:val="1148"/>
        <w:rPr>
          <w:lang w:eastAsia="en-US"/>
        </w:rPr>
      </w:pPr>
      <w:r>
        <w:rPr>
          <w:lang w:eastAsia="en-US"/>
        </w:rPr>
      </w: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1148"/>
              <w:jc w:val="center"/>
              <w:rPr>
                <w:b/>
                <w:sz w:val="20"/>
                <w:szCs w:val="20"/>
              </w:rPr>
            </w:pPr>
            <w:r>
              <w:rPr>
                <w:b/>
                <w:sz w:val="20"/>
                <w:szCs w:val="20"/>
              </w:rPr>
              <w:t xml:space="preserve">№</w:t>
            </w:r>
            <w:r>
              <w:rPr>
                <w:b/>
                <w:sz w:val="20"/>
                <w:szCs w:val="20"/>
              </w:rPr>
            </w:r>
            <w:r>
              <w:rPr>
                <w:b/>
                <w:sz w:val="20"/>
                <w:szCs w:val="20"/>
              </w:rPr>
            </w:r>
          </w:p>
          <w:p>
            <w:pPr>
              <w:pStyle w:val="1148"/>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W w:w="3827"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1276" w:type="dxa"/>
            <w:vAlign w:val="center"/>
            <w:vMerge w:val="restart"/>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3827" w:type="dxa"/>
            <w:vAlign w:val="center"/>
            <w:textDirection w:val="lrTb"/>
            <w:noWrap w:val="false"/>
          </w:tcPr>
          <w:p>
            <w:pPr>
              <w:pStyle w:val="1148"/>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1193"/>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93"/>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0" w:type="dxa"/>
            <w:vAlign w:val="top"/>
            <w:textDirection w:val="lrTb"/>
            <w:noWrap w:val="false"/>
          </w:tcPr>
          <w:p>
            <w:pPr>
              <w:pStyle w:val="1193"/>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180"/>
                <w:i/>
                <w:iCs/>
                <w:smallCaps/>
                <w:sz w:val="20"/>
                <w:szCs w:val="20"/>
              </w:rPr>
              <w:footnoteReference w:id="10"/>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1180"/>
                <w:rFonts w:ascii="Times New Roman" w:hAnsi="Times New Roman" w:cs="Times New Roman"/>
                <w:i/>
                <w:iCs/>
                <w:smallCaps/>
                <w:sz w:val="20"/>
                <w:szCs w:val="20"/>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spacing w:before="20"/>
                    <w:tabs>
                      <w:tab w:val="left" w:pos="58"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left w:val="single" w:color="000000" w:sz="4" w:space="0"/>
            </w:tcBorders>
            <w:tcW w:w="184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984"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1180"/>
                <w:rFonts w:ascii="Times New Roman" w:hAnsi="Times New Roman" w:cs="Times New Roman"/>
                <w:i/>
                <w:iCs/>
                <w:smallCaps/>
                <w:sz w:val="20"/>
                <w:szCs w:val="20"/>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1 100,00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1 200,00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1 900,00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2 300,00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48"/>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8"/>
        <w:rPr>
          <w:lang w:val="en-US" w:eastAsia="en-US"/>
        </w:rPr>
      </w:pPr>
      <w:r>
        <w:rPr>
          <w:lang w:val="en-US" w:eastAsia="en-US"/>
        </w:rPr>
      </w:r>
      <w:r>
        <w:rPr>
          <w:lang w:val="en-US" w:eastAsia="en-US"/>
        </w:rPr>
      </w:r>
      <w:r>
        <w:rPr>
          <w:lang w:val="en-US" w:eastAsia="en-US"/>
        </w:rPr>
      </w:r>
    </w:p>
    <w:p>
      <w:pPr>
        <w:pStyle w:val="1152"/>
        <w:ind w:left="567"/>
      </w:pPr>
      <w:r>
        <w:rPr>
          <w:lang w:val="ru-RU"/>
        </w:rPr>
        <w:t xml:space="preserve">1</w:t>
      </w:r>
      <w:r>
        <w:t xml:space="preserve">7. Обслуживание с использованием Торговой системы</w:t>
      </w:r>
      <w:r>
        <w:t xml:space="preserve"> 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1148"/>
        <w:rPr>
          <w:lang w:val="en-US" w:eastAsia="en-US"/>
        </w:rPr>
      </w:pPr>
      <w:r>
        <w:rPr>
          <w:lang w:val="en-US" w:eastAsia="en-US"/>
        </w:rPr>
      </w:r>
      <w:r>
        <w:rPr>
          <w:lang w:val="en-US" w:eastAsia="en-US"/>
        </w:rPr>
      </w:r>
      <w:r>
        <w:rPr>
          <w:lang w:val="en-US" w:eastAsia="en-US"/>
        </w:rPr>
      </w:r>
    </w:p>
    <w:tbl>
      <w:tblPr>
        <w:tblW w:w="100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349"/>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349" w:type="dxa"/>
            <w:vAlign w:val="center"/>
            <w:textDirection w:val="lrTb"/>
            <w:noWrap w:val="false"/>
          </w:tcPr>
          <w:p>
            <w:pPr>
              <w:pStyle w:val="1148"/>
              <w:rPr>
                <w:b/>
                <w:bCs/>
                <w:lang w:eastAsia="en-US"/>
              </w:rPr>
            </w:pPr>
            <w:r>
              <w:rPr>
                <w:b/>
                <w:bCs/>
                <w:lang w:eastAsia="en-US"/>
              </w:rPr>
              <w:t xml:space="preserve">№  </w:t>
              <w:br w:type="textWrapping" w:clear="all"/>
              <w:t xml:space="preserve"> п/п</w:t>
            </w:r>
            <w:r>
              <w:rPr>
                <w:b/>
                <w:bCs/>
                <w:lang w:eastAsia="en-US"/>
              </w:rPr>
            </w:r>
            <w:r>
              <w:rPr>
                <w:b/>
                <w:bCs/>
                <w:lang w:eastAsia="en-US"/>
              </w:rPr>
            </w:r>
          </w:p>
        </w:tc>
        <w:tc>
          <w:tcPr>
            <w:tcW w:w="3338" w:type="dxa"/>
            <w:vAlign w:val="center"/>
            <w:textDirection w:val="lrTb"/>
            <w:noWrap w:val="false"/>
          </w:tcPr>
          <w:p>
            <w:pPr>
              <w:pStyle w:val="1148"/>
              <w:rPr>
                <w:b/>
                <w:bCs/>
                <w:lang w:eastAsia="en-US"/>
              </w:rPr>
            </w:pPr>
            <w:r>
              <w:rPr>
                <w:b/>
                <w:bCs/>
                <w:lang w:eastAsia="en-US"/>
              </w:rPr>
              <w:t xml:space="preserve">Наименование услуги</w:t>
            </w:r>
            <w:r>
              <w:rPr>
                <w:b/>
                <w:bCs/>
                <w:lang w:eastAsia="en-US"/>
              </w:rPr>
            </w:r>
            <w:r>
              <w:rPr>
                <w:b/>
                <w:bCs/>
                <w:lang w:eastAsia="en-US"/>
              </w:rPr>
            </w:r>
          </w:p>
        </w:tc>
        <w:tc>
          <w:tcPr>
            <w:tcW w:w="1787" w:type="dxa"/>
            <w:vAlign w:val="center"/>
            <w:textDirection w:val="lrTb"/>
            <w:noWrap w:val="false"/>
          </w:tcPr>
          <w:p>
            <w:pPr>
              <w:pStyle w:val="1148"/>
              <w:rPr>
                <w:b/>
                <w:bCs/>
                <w:lang w:eastAsia="en-US"/>
              </w:rPr>
            </w:pPr>
            <w:r>
              <w:rPr>
                <w:b/>
                <w:bCs/>
                <w:lang w:eastAsia="en-US"/>
              </w:rPr>
              <w:t xml:space="preserve">Тариф</w:t>
            </w:r>
            <w:r>
              <w:rPr>
                <w:b/>
                <w:bCs/>
                <w:lang w:eastAsia="en-US"/>
              </w:rPr>
            </w:r>
            <w:r>
              <w:rPr>
                <w:b/>
                <w:bCs/>
                <w:lang w:eastAsia="en-US"/>
              </w:rPr>
            </w:r>
          </w:p>
        </w:tc>
        <w:tc>
          <w:tcPr>
            <w:tcW w:w="3590" w:type="dxa"/>
            <w:vAlign w:val="center"/>
            <w:textDirection w:val="lrTb"/>
            <w:noWrap w:val="false"/>
          </w:tcPr>
          <w:p>
            <w:pPr>
              <w:pStyle w:val="1148"/>
              <w:rPr>
                <w:b/>
                <w:bCs/>
                <w:lang w:eastAsia="en-US"/>
              </w:rPr>
            </w:pPr>
            <w:r>
              <w:rPr>
                <w:b/>
                <w:bCs/>
                <w:lang w:eastAsia="en-US"/>
              </w:rPr>
              <w:t xml:space="preserve">Примечание</w:t>
            </w:r>
            <w:r>
              <w:rPr>
                <w:b/>
                <w:bCs/>
                <w:lang w:eastAsia="en-US"/>
              </w:rPr>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 </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17.1.1.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17.1.2.2.</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17.1.2.3.</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Смена логина</w:t>
            </w:r>
            <w:r>
              <w:rPr>
                <w:sz w:val="20"/>
                <w:szCs w:val="20"/>
                <w:lang w:eastAsia="en-US"/>
              </w:rPr>
              <w:footnoteReference w:id="13"/>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17.1.2.4.</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17.1.2.5.</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17.1.3.</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r>
              <w:rPr>
                <w:sz w:val="20"/>
                <w:szCs w:val="20"/>
                <w:lang w:eastAsia="en-US"/>
              </w:rPr>
            </w:r>
          </w:p>
        </w:tc>
      </w:tr>
      <w:tr>
        <w:tblPrEx/>
        <w:trPr/>
        <w:tc>
          <w:tcPr>
            <w:tcBorders>
              <w:top w:val="single" w:color="000000" w:sz="4" w:space="0"/>
              <w:left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17.1.3.1.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338" w:type="dxa"/>
            <w:vAlign w:val="top"/>
            <w:textDirection w:val="lrTb"/>
            <w:noWrap w:val="false"/>
          </w:tcPr>
          <w:p>
            <w:pPr>
              <w:pStyle w:val="1148"/>
              <w:rPr>
                <w:sz w:val="20"/>
                <w:szCs w:val="20"/>
                <w:lang w:eastAsia="en-US"/>
              </w:rPr>
            </w:pPr>
            <w:r>
              <w:rPr>
                <w:sz w:val="20"/>
                <w:szCs w:val="20"/>
                <w:lang w:eastAsia="en-US"/>
              </w:rPr>
              <w:t xml:space="preserve">Формирование одной HTML-формы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787" w:type="dxa"/>
            <w:vAlign w:val="top"/>
            <w:textDirection w:val="lrTb"/>
            <w:noWrap w:val="false"/>
          </w:tcPr>
          <w:p>
            <w:pPr>
              <w:pStyle w:val="1148"/>
              <w:rPr>
                <w:sz w:val="20"/>
                <w:szCs w:val="20"/>
                <w:lang w:eastAsia="en-US"/>
              </w:rPr>
            </w:pPr>
            <w:r>
              <w:rPr>
                <w:sz w:val="20"/>
                <w:szCs w:val="20"/>
                <w:lang w:eastAsia="en-US"/>
              </w:rPr>
              <w:t xml:space="preserve">Не взимается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17.1.3.1.1.</w:t>
            </w:r>
            <w:r>
              <w:rPr>
                <w:sz w:val="20"/>
                <w:szCs w:val="20"/>
                <w:lang w:eastAsia="en-US"/>
              </w:rPr>
            </w:r>
            <w:r>
              <w:rPr>
                <w:sz w:val="20"/>
                <w:szCs w:val="20"/>
                <w:lang w:eastAsia="en-US"/>
              </w:rPr>
            </w:r>
          </w:p>
        </w:tc>
        <w:tc>
          <w:tcPr>
            <w:tcBorders>
              <w:top w:val="single" w:color="000000" w:sz="4" w:space="0"/>
            </w:tcBorders>
            <w:tcW w:w="3338" w:type="dxa"/>
            <w:vAlign w:val="top"/>
            <w:textDirection w:val="lrTb"/>
            <w:noWrap w:val="false"/>
          </w:tcPr>
          <w:p>
            <w:pPr>
              <w:pStyle w:val="114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Borders>
              <w:top w:val="single" w:color="000000" w:sz="4" w:space="0"/>
            </w:tcBorders>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tcBorders>
            <w:tcW w:w="3590" w:type="dxa"/>
            <w:vAlign w:val="top"/>
            <w:textDirection w:val="lrTb"/>
            <w:noWrap w:val="false"/>
          </w:tcPr>
          <w:p>
            <w:pPr>
              <w:pStyle w:val="1148"/>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17.1.3.2.</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17.1.3.3.</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17.1.3.4.</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155 руб.</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17.1.3.5.</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1 530 руб.</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17.1.4.</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48"/>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38" w:type="dxa"/>
            <w:vAlign w:val="top"/>
            <w:textDirection w:val="lrTb"/>
            <w:noWrap w:val="false"/>
          </w:tcPr>
          <w:p>
            <w:pPr>
              <w:pStyle w:val="1148"/>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17.1.5.</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48"/>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1 730 руб.</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17.1.5.1.1.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17.1.5.2.</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17.1.5.2.1.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17.2.</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17.2.1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 </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17.2.2.1.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17.2.2.2.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17.2.2.3.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Смена логина</w:t>
            </w:r>
            <w:r>
              <w:rPr>
                <w:sz w:val="20"/>
                <w:szCs w:val="20"/>
                <w:lang w:eastAsia="en-US"/>
              </w:rPr>
              <w:footnoteReference w:id="14"/>
            </w:r>
            <w:r>
              <w:rPr>
                <w:sz w:val="20"/>
                <w:szCs w:val="20"/>
                <w:lang w:eastAsia="en-US"/>
              </w:rPr>
              <w:t xml:space="preserve"> и/или пароля для доступа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17.2.2.4.</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17.2.2.5.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bl>
    <w:p>
      <w:pPr>
        <w:pStyle w:val="1148"/>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r>
        <w:rPr>
          <w:bCs/>
          <w:i/>
          <w:iCs/>
          <w:sz w:val="20"/>
          <w:szCs w:val="20"/>
          <w:u w:val="single"/>
          <w:lang w:eastAsia="en-US"/>
        </w:rPr>
      </w:r>
    </w:p>
    <w:p>
      <w:pPr>
        <w:pStyle w:val="1148"/>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r>
        <w:rPr>
          <w:bCs/>
          <w:i/>
          <w:iCs/>
          <w:sz w:val="20"/>
          <w:szCs w:val="20"/>
          <w:lang w:eastAsia="en-US"/>
        </w:rPr>
      </w:r>
    </w:p>
    <w:p>
      <w:pPr>
        <w:pStyle w:val="1148"/>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1148"/>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r>
        <w:rPr>
          <w:bCs/>
          <w:i/>
          <w:iCs/>
          <w:sz w:val="20"/>
          <w:szCs w:val="20"/>
          <w:lang w:eastAsia="en-US"/>
        </w:rPr>
      </w:r>
    </w:p>
    <w:p>
      <w:pPr>
        <w:pStyle w:val="1148"/>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114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4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52"/>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348"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7"/>
        <w:gridCol w:w="5953"/>
        <w:gridCol w:w="19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center"/>
            <w:textDirection w:val="lrTb"/>
            <w:noWrap w:val="false"/>
          </w:tcPr>
          <w:p>
            <w:pPr>
              <w:pStyle w:val="1148"/>
              <w:ind w:hanging="137"/>
              <w:jc w:val="center"/>
              <w:rPr>
                <w:sz w:val="22"/>
                <w:szCs w:val="22"/>
              </w:rPr>
            </w:pPr>
            <w:r>
              <w:rPr>
                <w:sz w:val="22"/>
                <w:szCs w:val="22"/>
              </w:rPr>
              <w:t xml:space="preserve">№</w:t>
            </w:r>
            <w:r>
              <w:rPr>
                <w:sz w:val="22"/>
                <w:szCs w:val="22"/>
              </w:rPr>
            </w:r>
            <w:r>
              <w:rPr>
                <w:sz w:val="22"/>
                <w:szCs w:val="22"/>
              </w:rPr>
            </w:r>
          </w:p>
          <w:p>
            <w:pPr>
              <w:pStyle w:val="1148"/>
              <w:ind w:hanging="137"/>
              <w:jc w:val="center"/>
              <w:rPr>
                <w:sz w:val="22"/>
                <w:szCs w:val="22"/>
              </w:rPr>
            </w:pPr>
            <w:r>
              <w:rPr>
                <w:sz w:val="22"/>
                <w:szCs w:val="22"/>
              </w:rPr>
              <w:t xml:space="preserve">п/п</w:t>
            </w:r>
            <w:r>
              <w:rPr>
                <w:sz w:val="22"/>
                <w:szCs w:val="22"/>
              </w:rPr>
            </w:r>
            <w:r>
              <w:rPr>
                <w:sz w:val="22"/>
                <w:szCs w:val="22"/>
              </w:rPr>
            </w:r>
          </w:p>
        </w:tc>
        <w:tc>
          <w:tcPr>
            <w:tcW w:w="5953" w:type="dxa"/>
            <w:vAlign w:val="center"/>
            <w:textDirection w:val="lrTb"/>
            <w:noWrap w:val="false"/>
          </w:tcPr>
          <w:p>
            <w:pPr>
              <w:pStyle w:val="1148"/>
              <w:jc w:val="center"/>
              <w:rPr>
                <w:sz w:val="22"/>
                <w:szCs w:val="22"/>
              </w:rPr>
            </w:pPr>
            <w:r>
              <w:rPr>
                <w:sz w:val="22"/>
                <w:szCs w:val="22"/>
              </w:rPr>
              <w:t xml:space="preserve">Наименование услуги</w:t>
            </w:r>
            <w:r>
              <w:rPr>
                <w:sz w:val="22"/>
                <w:szCs w:val="22"/>
              </w:rPr>
            </w:r>
            <w:r>
              <w:rPr>
                <w:sz w:val="22"/>
                <w:szCs w:val="22"/>
              </w:rPr>
            </w:r>
          </w:p>
        </w:tc>
        <w:tc>
          <w:tcPr>
            <w:tcW w:w="1985" w:type="dxa"/>
            <w:vAlign w:val="center"/>
            <w:textDirection w:val="lrTb"/>
            <w:noWrap w:val="false"/>
          </w:tcPr>
          <w:p>
            <w:pPr>
              <w:pStyle w:val="1148"/>
              <w:jc w:val="center"/>
              <w:rPr>
                <w:sz w:val="22"/>
                <w:szCs w:val="22"/>
              </w:rPr>
            </w:pPr>
            <w:r>
              <w:rPr>
                <w:sz w:val="22"/>
                <w:szCs w:val="22"/>
              </w:rPr>
              <w:t xml:space="preserve">Тариф </w:t>
            </w:r>
            <w:r>
              <w:rPr>
                <w:sz w:val="22"/>
                <w:szCs w:val="22"/>
              </w:rPr>
            </w:r>
            <w:r>
              <w:rPr>
                <w:sz w:val="22"/>
                <w:szCs w:val="22"/>
              </w:rPr>
            </w:r>
          </w:p>
        </w:tc>
        <w:tc>
          <w:tcPr>
            <w:tcW w:w="1843" w:type="dxa"/>
            <w:vAlign w:val="center"/>
            <w:textDirection w:val="lrTb"/>
            <w:noWrap w:val="false"/>
          </w:tcPr>
          <w:p>
            <w:pPr>
              <w:pStyle w:val="1148"/>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8"/>
              <w:jc w:val="center"/>
              <w:spacing w:before="40" w:after="40"/>
              <w:rPr>
                <w:sz w:val="20"/>
                <w:szCs w:val="20"/>
              </w:rPr>
            </w:pPr>
            <w:r>
              <w:rPr>
                <w:sz w:val="20"/>
                <w:szCs w:val="20"/>
              </w:rPr>
              <w:t xml:space="preserve">1.</w:t>
            </w:r>
            <w:r>
              <w:rPr>
                <w:sz w:val="20"/>
                <w:szCs w:val="20"/>
              </w:rPr>
            </w:r>
            <w:r>
              <w:rPr>
                <w:sz w:val="20"/>
                <w:szCs w:val="20"/>
              </w:rPr>
            </w:r>
          </w:p>
        </w:tc>
        <w:tc>
          <w:tcPr>
            <w:gridSpan w:val="3"/>
            <w:tcW w:w="9781" w:type="dxa"/>
            <w:vAlign w:val="top"/>
            <w:textDirection w:val="lrTb"/>
            <w:noWrap w:val="false"/>
          </w:tcPr>
          <w:p>
            <w:pPr>
              <w:pStyle w:val="1148"/>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8"/>
              <w:jc w:val="center"/>
              <w:spacing w:before="40" w:after="40"/>
              <w:rPr>
                <w:sz w:val="20"/>
                <w:szCs w:val="20"/>
              </w:rPr>
            </w:pPr>
            <w:r>
              <w:rPr>
                <w:sz w:val="20"/>
                <w:szCs w:val="20"/>
              </w:rPr>
              <w:t xml:space="preserve">1.1.</w:t>
            </w:r>
            <w:r>
              <w:rPr>
                <w:sz w:val="20"/>
                <w:szCs w:val="20"/>
              </w:rPr>
            </w:r>
            <w:r>
              <w:rPr>
                <w:sz w:val="20"/>
                <w:szCs w:val="20"/>
              </w:rPr>
            </w:r>
          </w:p>
        </w:tc>
        <w:tc>
          <w:tcPr>
            <w:tcW w:w="5953" w:type="dxa"/>
            <w:vAlign w:val="top"/>
            <w:textDirection w:val="lrTb"/>
            <w:noWrap w:val="false"/>
          </w:tcPr>
          <w:p>
            <w:pPr>
              <w:pStyle w:val="1148"/>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985"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W w:w="1843" w:type="dxa"/>
            <w:vAlign w:val="top"/>
            <w:textDirection w:val="lrTb"/>
            <w:noWrap w:val="false"/>
          </w:tcPr>
          <w:p>
            <w:pPr>
              <w:pStyle w:val="1148"/>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8"/>
              <w:jc w:val="center"/>
              <w:spacing w:before="40" w:after="40"/>
              <w:rPr>
                <w:sz w:val="20"/>
                <w:szCs w:val="20"/>
              </w:rPr>
            </w:pPr>
            <w:r>
              <w:rPr>
                <w:sz w:val="20"/>
                <w:szCs w:val="20"/>
              </w:rPr>
              <w:t xml:space="preserve">1.2.</w:t>
            </w:r>
            <w:r>
              <w:rPr>
                <w:sz w:val="20"/>
                <w:szCs w:val="20"/>
              </w:rPr>
            </w:r>
            <w:r>
              <w:rPr>
                <w:sz w:val="20"/>
                <w:szCs w:val="20"/>
              </w:rPr>
            </w:r>
          </w:p>
        </w:tc>
        <w:tc>
          <w:tcPr>
            <w:tcW w:w="5953" w:type="dxa"/>
            <w:vAlign w:val="top"/>
            <w:textDirection w:val="lrTb"/>
            <w:noWrap w:val="false"/>
          </w:tcPr>
          <w:p>
            <w:pPr>
              <w:pStyle w:val="1148"/>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985"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W w:w="1843" w:type="dxa"/>
            <w:vAlign w:val="top"/>
            <w:textDirection w:val="lrTb"/>
            <w:noWrap w:val="false"/>
          </w:tcPr>
          <w:p>
            <w:pPr>
              <w:pStyle w:val="1148"/>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48"/>
        <w:ind w:left="-425" w:right="-284" w:firstLine="709"/>
        <w:jc w:val="both"/>
        <w:spacing w:before="120"/>
        <w:rPr>
          <w:sz w:val="20"/>
          <w:szCs w:val="20"/>
        </w:rPr>
      </w:pPr>
      <w:r>
        <w:rPr>
          <w:sz w:val="20"/>
          <w:szCs w:val="20"/>
        </w:rPr>
        <w:t xml:space="preserve">* Срок действия – до 31.12.2025 (включительно).</w:t>
      </w:r>
      <w:r>
        <w:rPr>
          <w:sz w:val="20"/>
          <w:szCs w:val="20"/>
        </w:rPr>
      </w:r>
      <w:r>
        <w:rPr>
          <w:sz w:val="20"/>
          <w:szCs w:val="20"/>
        </w:rP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imesET"/>
  <w:font w:name="Tahoma">
    <w:panose1 w:val="020B0604030504040204"/>
  </w:font>
  <w:font w:name="Calibri Light">
    <w:panose1 w:val="020F0302020204030204"/>
  </w:font>
  <w:font w:name="Calibri">
    <w:panose1 w:val="020F0502020204030204"/>
  </w:font>
  <w:font w:name="Times New Roman">
    <w:panose1 w:val="02020603050405020304"/>
  </w:font>
  <w:font w:name="Cambria">
    <w:panose1 w:val="0204050305040603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7"/>
      </w:pPr>
      <w:r>
        <w:rPr>
          <w:rStyle w:val="1180"/>
        </w:rPr>
        <w:footnoteRef/>
      </w:r>
      <w:r>
        <w:t xml:space="preserve"> </w:t>
      </w:r>
      <w:r>
        <w:rPr>
          <w:rFonts w:eastAsia="Calibri"/>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внутренние структурные подразделения.</w:t>
      </w:r>
      <w:r/>
    </w:p>
  </w:footnote>
  <w:footnote w:id="3">
    <w:p>
      <w:pPr>
        <w:pStyle w:val="1177"/>
      </w:pPr>
      <w:r>
        <w:rPr>
          <w:rStyle w:val="1180"/>
        </w:rPr>
        <w:footnoteRef/>
      </w:r>
      <w:r>
        <w:t xml:space="preserve"> </w:t>
      </w:r>
      <w:r>
        <w:t xml:space="preserve">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p>
  </w:footnote>
  <w:footnote w:id="4">
    <w:p>
      <w:pPr>
        <w:pStyle w:val="1177"/>
      </w:pPr>
      <w:r>
        <w:rPr>
          <w:rStyle w:val="1180"/>
        </w:rPr>
        <w:footnoteRef/>
      </w:r>
      <w:r>
        <w:t xml:space="preserve"> [номер сноски указывается в соответствии с нумерацией сносок в </w:t>
      </w:r>
      <w:r>
        <w:t xml:space="preserve">Тарифах</w:t>
      </w:r>
      <w:r>
        <w:t xml:space="preserve">]</w:t>
      </w:r>
      <w:r/>
    </w:p>
    <w:p>
      <w:pPr>
        <w:pStyle w:val="1177"/>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5">
    <w:p>
      <w:pPr>
        <w:pStyle w:val="1177"/>
      </w:pPr>
      <w:r>
        <w:rPr>
          <w:rStyle w:val="1180"/>
        </w:rPr>
        <w:footnoteRef/>
      </w:r>
      <w:r>
        <w:t xml:space="preserve"> [номер сноски указывается в соответствии с нумерацией сносок в Тарифах]</w:t>
      </w:r>
      <w:r/>
    </w:p>
    <w:p>
      <w:pPr>
        <w:pStyle w:val="1177"/>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77"/>
      </w:pPr>
      <w:r/>
      <w:r/>
    </w:p>
  </w:footnote>
  <w:footnote w:id="6">
    <w:p>
      <w:pPr>
        <w:pStyle w:val="1177"/>
        <w:jc w:val="both"/>
      </w:pPr>
      <w:r>
        <w:rPr>
          <w:rStyle w:val="1180"/>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7"/>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7">
    <w:p>
      <w:pPr>
        <w:pStyle w:val="1177"/>
      </w:pPr>
      <w:r>
        <w:rPr>
          <w:rStyle w:val="1180"/>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7"/>
      </w:pPr>
      <w:r>
        <w:t xml:space="preserve">В соответствии с пунктом 10.2 приказа АО «Россельхозбанк» от 01.08.2013 № 386-ОД.</w:t>
      </w:r>
      <w:r/>
    </w:p>
  </w:footnote>
  <w:footnote w:id="8">
    <w:p>
      <w:pPr>
        <w:pStyle w:val="1196"/>
        <w:ind w:left="0"/>
        <w:jc w:val="both"/>
        <w:spacing w:line="240" w:lineRule="auto"/>
        <w:tabs>
          <w:tab w:val="left" w:pos="426" w:leader="none"/>
        </w:tabs>
        <w:rPr>
          <w:sz w:val="24"/>
          <w:szCs w:val="24"/>
        </w:rPr>
      </w:pPr>
      <w:r>
        <w:rPr>
          <w:rStyle w:val="1180"/>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9">
    <w:p>
      <w:pPr>
        <w:pStyle w:val="1148"/>
        <w:ind w:right="-17"/>
        <w:jc w:val="both"/>
        <w:spacing w:before="40" w:after="40"/>
        <w:tabs>
          <w:tab w:val="left" w:pos="4464" w:leader="none"/>
          <w:tab w:val="left" w:pos="5760" w:leader="none"/>
        </w:tabs>
        <w:rPr>
          <w:rFonts w:eastAsia="Calibri"/>
          <w:i/>
          <w:sz w:val="20"/>
          <w:szCs w:val="20"/>
        </w:rPr>
      </w:pPr>
      <w:r>
        <w:rPr>
          <w:rStyle w:val="1180"/>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1148"/>
        <w:ind w:left="-2" w:right="-18"/>
        <w:jc w:val="both"/>
        <w:spacing w:before="40" w:after="40"/>
        <w:tabs>
          <w:tab w:val="left" w:pos="4464" w:leader="none"/>
          <w:tab w:val="left" w:pos="5760" w:leader="none"/>
        </w:tabs>
        <w:rPr>
          <w:i/>
          <w:sz w:val="16"/>
          <w:szCs w:val="16"/>
        </w:rPr>
      </w:pPr>
      <w:r>
        <w:rPr>
          <w:i/>
          <w:sz w:val="16"/>
          <w:szCs w:val="16"/>
        </w:rPr>
      </w:r>
      <w:r>
        <w:rPr>
          <w:i/>
          <w:sz w:val="16"/>
          <w:szCs w:val="16"/>
        </w:rPr>
      </w:r>
      <w:r>
        <w:rPr>
          <w:i/>
          <w:sz w:val="16"/>
          <w:szCs w:val="16"/>
        </w:rPr>
      </w:r>
    </w:p>
  </w:footnote>
  <w:footnote w:id="10">
    <w:p>
      <w:pPr>
        <w:pStyle w:val="1177"/>
      </w:pPr>
      <w:r>
        <w:rPr>
          <w:rStyle w:val="1180"/>
          <w:sz w:val="18"/>
          <w:szCs w:val="18"/>
        </w:rPr>
        <w:footnoteRef/>
      </w:r>
      <w:r>
        <w:rPr>
          <w:sz w:val="18"/>
          <w:szCs w:val="18"/>
        </w:rPr>
        <w:t xml:space="preserve"> </w:t>
      </w:r>
      <w:r>
        <w:t xml:space="preserve">[Номер сноски указывается в соответствии с нумерацией сносок в Тарифах]</w:t>
      </w:r>
      <w:r/>
    </w:p>
    <w:p>
      <w:pPr>
        <w:pStyle w:val="1177"/>
      </w:pPr>
      <w:r>
        <w:t xml:space="preserve">Комиссионное вознаграждение по операциям приема/выдачи слитков драгоценных металлов НДС не облагается. </w:t>
      </w:r>
      <w:r/>
    </w:p>
  </w:footnote>
  <w:footnote w:id="11">
    <w:p>
      <w:pPr>
        <w:pStyle w:val="1177"/>
        <w:jc w:val="both"/>
      </w:pPr>
      <w:r>
        <w:rPr>
          <w:rStyle w:val="1180"/>
        </w:rPr>
        <w:footnoteRef/>
      </w:r>
      <w:r>
        <w:t xml:space="preserve"> [Номер сноски указывается в соответствии с нумерацией сносок в Тарифах]</w:t>
      </w:r>
      <w:r/>
    </w:p>
    <w:p>
      <w:pPr>
        <w:pStyle w:val="1177"/>
        <w:jc w:val="both"/>
      </w:pPr>
      <w: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77"/>
        <w:jc w:val="both"/>
        <w:rPr>
          <w:sz w:val="18"/>
          <w:szCs w:val="18"/>
        </w:rPr>
      </w:pPr>
      <w:r>
        <w:rPr>
          <w:rStyle w:val="1180"/>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7"/>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3">
    <w:p>
      <w:pPr>
        <w:pStyle w:val="1148"/>
        <w:jc w:val="both"/>
        <w:rPr>
          <w:bCs/>
          <w:i/>
          <w:sz w:val="20"/>
          <w:szCs w:val="20"/>
          <w:lang w:eastAsia="en-US"/>
        </w:rPr>
      </w:pPr>
      <w:r>
        <w:rPr>
          <w:rStyle w:val="1180"/>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r>
        <w:rPr>
          <w:bCs/>
          <w:i/>
          <w:sz w:val="20"/>
          <w:szCs w:val="20"/>
          <w:lang w:eastAsia="en-US"/>
        </w:rPr>
      </w:r>
    </w:p>
    <w:p>
      <w:pPr>
        <w:pStyle w:val="1177"/>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r>
        <w:rPr>
          <w:sz w:val="18"/>
          <w:szCs w:val="18"/>
        </w:rPr>
      </w:r>
    </w:p>
  </w:footnote>
  <w:footnote w:id="14">
    <w:p>
      <w:pPr>
        <w:pStyle w:val="1148"/>
        <w:jc w:val="both"/>
        <w:rPr>
          <w:bCs/>
          <w:sz w:val="18"/>
          <w:szCs w:val="18"/>
          <w:lang w:eastAsia="en-US"/>
        </w:rPr>
      </w:pPr>
      <w:r>
        <w:rPr>
          <w:rStyle w:val="1180"/>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7"/>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8"/>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1169"/>
      <w:jc w:val="center"/>
      <w:rPr>
        <w:sz w:val="22"/>
      </w:rPr>
    </w:pPr>
    <w:r>
      <w:rPr>
        <w:sz w:val="22"/>
      </w:rPr>
    </w: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9"/>
      <w:rPr>
        <w:color w:val="ffffff"/>
        <w:lang w:val="ru-RU"/>
      </w:rPr>
    </w:pPr>
    <w:r>
      <w:rPr>
        <w:color w:val="ffffff"/>
        <w:lang w:val="ru-RU"/>
      </w:rPr>
      <w:t xml:space="preserve">2013.11.02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6">
    <w:multiLevelType w:val="hybridMultilevel"/>
    <w:lvl w:ilvl="0">
      <w:start w:val="13"/>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num w:numId="1">
    <w:abstractNumId w:val="10"/>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7"/>
  </w:num>
  <w:num w:numId="8">
    <w:abstractNumId w:val="13"/>
  </w:num>
  <w:num w:numId="9">
    <w:abstractNumId w:val="19"/>
  </w:num>
  <w:num w:numId="10">
    <w:abstractNumId w:val="12"/>
  </w:num>
  <w:num w:numId="11">
    <w:abstractNumId w:val="14"/>
  </w:num>
  <w:num w:numId="12">
    <w:abstractNumId w:val="3"/>
  </w:num>
  <w:num w:numId="13">
    <w:abstractNumId w:val="0"/>
  </w:num>
  <w:num w:numId="14">
    <w:abstractNumId w:val="5"/>
  </w:num>
  <w:num w:numId="15">
    <w:abstractNumId w:val="17"/>
  </w:num>
  <w:num w:numId="16">
    <w:abstractNumId w:val="18"/>
  </w:num>
  <w:num w:numId="17">
    <w:abstractNumId w:val="11"/>
  </w:num>
  <w:num w:numId="18">
    <w:abstractNumId w:val="4"/>
  </w:num>
  <w:num w:numId="19">
    <w:abstractNumId w:val="20"/>
  </w:num>
  <w:num w:numId="20">
    <w:abstractNumId w:val="8"/>
  </w:num>
  <w:num w:numId="21">
    <w:abstractNumId w:val="2"/>
  </w:num>
  <w:num w:numId="22">
    <w:abstractNumId w:val="2"/>
  </w:num>
  <w:num w:numId="23">
    <w:abstractNumId w:val="2"/>
  </w:num>
  <w:num w:numId="24">
    <w:abstractNumId w:val="6"/>
  </w:num>
  <w:num w:numId="25">
    <w:abstractNumId w:val="1"/>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70">
    <w:name w:val="Heading 1"/>
    <w:basedOn w:val="1148"/>
    <w:next w:val="1148"/>
    <w:link w:val="971"/>
    <w:uiPriority w:val="9"/>
    <w:qFormat/>
    <w:pPr>
      <w:keepLines/>
      <w:keepNext/>
      <w:spacing w:before="480" w:after="200"/>
      <w:outlineLvl w:val="0"/>
    </w:pPr>
    <w:rPr>
      <w:rFonts w:ascii="Arial" w:hAnsi="Arial" w:eastAsia="Arial" w:cs="Arial"/>
      <w:sz w:val="40"/>
      <w:szCs w:val="40"/>
    </w:rPr>
  </w:style>
  <w:style w:type="character" w:styleId="971">
    <w:name w:val="Heading 1 Char"/>
    <w:link w:val="970"/>
    <w:uiPriority w:val="9"/>
    <w:rPr>
      <w:rFonts w:ascii="Arial" w:hAnsi="Arial" w:eastAsia="Arial" w:cs="Arial"/>
      <w:sz w:val="40"/>
      <w:szCs w:val="40"/>
    </w:rPr>
  </w:style>
  <w:style w:type="paragraph" w:styleId="972">
    <w:name w:val="Heading 2"/>
    <w:basedOn w:val="1148"/>
    <w:next w:val="1148"/>
    <w:link w:val="973"/>
    <w:uiPriority w:val="9"/>
    <w:unhideWhenUsed/>
    <w:qFormat/>
    <w:pPr>
      <w:keepLines/>
      <w:keepNext/>
      <w:spacing w:before="360" w:after="200"/>
      <w:outlineLvl w:val="1"/>
    </w:pPr>
    <w:rPr>
      <w:rFonts w:ascii="Arial" w:hAnsi="Arial" w:eastAsia="Arial" w:cs="Arial"/>
      <w:sz w:val="34"/>
    </w:rPr>
  </w:style>
  <w:style w:type="character" w:styleId="973">
    <w:name w:val="Heading 2 Char"/>
    <w:link w:val="972"/>
    <w:uiPriority w:val="9"/>
    <w:rPr>
      <w:rFonts w:ascii="Arial" w:hAnsi="Arial" w:eastAsia="Arial" w:cs="Arial"/>
      <w:sz w:val="34"/>
    </w:rPr>
  </w:style>
  <w:style w:type="paragraph" w:styleId="974">
    <w:name w:val="Heading 3"/>
    <w:basedOn w:val="1148"/>
    <w:next w:val="1148"/>
    <w:link w:val="975"/>
    <w:uiPriority w:val="9"/>
    <w:unhideWhenUsed/>
    <w:qFormat/>
    <w:pPr>
      <w:keepLines/>
      <w:keepNext/>
      <w:spacing w:before="320" w:after="200"/>
      <w:outlineLvl w:val="2"/>
    </w:pPr>
    <w:rPr>
      <w:rFonts w:ascii="Arial" w:hAnsi="Arial" w:eastAsia="Arial" w:cs="Arial"/>
      <w:sz w:val="30"/>
      <w:szCs w:val="30"/>
    </w:rPr>
  </w:style>
  <w:style w:type="character" w:styleId="975">
    <w:name w:val="Heading 3 Char"/>
    <w:link w:val="974"/>
    <w:uiPriority w:val="9"/>
    <w:rPr>
      <w:rFonts w:ascii="Arial" w:hAnsi="Arial" w:eastAsia="Arial" w:cs="Arial"/>
      <w:sz w:val="30"/>
      <w:szCs w:val="30"/>
    </w:rPr>
  </w:style>
  <w:style w:type="paragraph" w:styleId="976">
    <w:name w:val="Heading 4"/>
    <w:basedOn w:val="1148"/>
    <w:next w:val="1148"/>
    <w:link w:val="977"/>
    <w:uiPriority w:val="9"/>
    <w:unhideWhenUsed/>
    <w:qFormat/>
    <w:pPr>
      <w:keepLines/>
      <w:keepNext/>
      <w:spacing w:before="320" w:after="200"/>
      <w:outlineLvl w:val="3"/>
    </w:pPr>
    <w:rPr>
      <w:rFonts w:ascii="Arial" w:hAnsi="Arial" w:eastAsia="Arial" w:cs="Arial"/>
      <w:b/>
      <w:bCs/>
      <w:sz w:val="26"/>
      <w:szCs w:val="26"/>
    </w:rPr>
  </w:style>
  <w:style w:type="character" w:styleId="977">
    <w:name w:val="Heading 4 Char"/>
    <w:link w:val="976"/>
    <w:uiPriority w:val="9"/>
    <w:rPr>
      <w:rFonts w:ascii="Arial" w:hAnsi="Arial" w:eastAsia="Arial" w:cs="Arial"/>
      <w:b/>
      <w:bCs/>
      <w:sz w:val="26"/>
      <w:szCs w:val="26"/>
    </w:rPr>
  </w:style>
  <w:style w:type="paragraph" w:styleId="978">
    <w:name w:val="Heading 5"/>
    <w:basedOn w:val="1148"/>
    <w:next w:val="1148"/>
    <w:link w:val="979"/>
    <w:uiPriority w:val="9"/>
    <w:unhideWhenUsed/>
    <w:qFormat/>
    <w:pPr>
      <w:keepLines/>
      <w:keepNext/>
      <w:spacing w:before="320" w:after="200"/>
      <w:outlineLvl w:val="4"/>
    </w:pPr>
    <w:rPr>
      <w:rFonts w:ascii="Arial" w:hAnsi="Arial" w:eastAsia="Arial" w:cs="Arial"/>
      <w:b/>
      <w:bCs/>
      <w:sz w:val="24"/>
      <w:szCs w:val="24"/>
    </w:rPr>
  </w:style>
  <w:style w:type="character" w:styleId="979">
    <w:name w:val="Heading 5 Char"/>
    <w:link w:val="978"/>
    <w:uiPriority w:val="9"/>
    <w:rPr>
      <w:rFonts w:ascii="Arial" w:hAnsi="Arial" w:eastAsia="Arial" w:cs="Arial"/>
      <w:b/>
      <w:bCs/>
      <w:sz w:val="24"/>
      <w:szCs w:val="24"/>
    </w:rPr>
  </w:style>
  <w:style w:type="paragraph" w:styleId="980">
    <w:name w:val="Heading 6"/>
    <w:basedOn w:val="1148"/>
    <w:next w:val="1148"/>
    <w:link w:val="981"/>
    <w:uiPriority w:val="9"/>
    <w:unhideWhenUsed/>
    <w:qFormat/>
    <w:pPr>
      <w:keepLines/>
      <w:keepNext/>
      <w:spacing w:before="320" w:after="200"/>
      <w:outlineLvl w:val="5"/>
    </w:pPr>
    <w:rPr>
      <w:rFonts w:ascii="Arial" w:hAnsi="Arial" w:eastAsia="Arial" w:cs="Arial"/>
      <w:b/>
      <w:bCs/>
      <w:sz w:val="22"/>
      <w:szCs w:val="22"/>
    </w:rPr>
  </w:style>
  <w:style w:type="character" w:styleId="981">
    <w:name w:val="Heading 6 Char"/>
    <w:link w:val="980"/>
    <w:uiPriority w:val="9"/>
    <w:rPr>
      <w:rFonts w:ascii="Arial" w:hAnsi="Arial" w:eastAsia="Arial" w:cs="Arial"/>
      <w:b/>
      <w:bCs/>
      <w:sz w:val="22"/>
      <w:szCs w:val="22"/>
    </w:rPr>
  </w:style>
  <w:style w:type="paragraph" w:styleId="982">
    <w:name w:val="Heading 7"/>
    <w:basedOn w:val="1148"/>
    <w:next w:val="1148"/>
    <w:link w:val="983"/>
    <w:uiPriority w:val="9"/>
    <w:unhideWhenUsed/>
    <w:qFormat/>
    <w:pPr>
      <w:keepLines/>
      <w:keepNext/>
      <w:spacing w:before="320" w:after="200"/>
      <w:outlineLvl w:val="6"/>
    </w:pPr>
    <w:rPr>
      <w:rFonts w:ascii="Arial" w:hAnsi="Arial" w:eastAsia="Arial" w:cs="Arial"/>
      <w:b/>
      <w:bCs/>
      <w:i/>
      <w:iCs/>
      <w:sz w:val="22"/>
      <w:szCs w:val="22"/>
    </w:rPr>
  </w:style>
  <w:style w:type="character" w:styleId="983">
    <w:name w:val="Heading 7 Char"/>
    <w:link w:val="982"/>
    <w:uiPriority w:val="9"/>
    <w:rPr>
      <w:rFonts w:ascii="Arial" w:hAnsi="Arial" w:eastAsia="Arial" w:cs="Arial"/>
      <w:b/>
      <w:bCs/>
      <w:i/>
      <w:iCs/>
      <w:sz w:val="22"/>
      <w:szCs w:val="22"/>
    </w:rPr>
  </w:style>
  <w:style w:type="paragraph" w:styleId="984">
    <w:name w:val="Heading 8"/>
    <w:basedOn w:val="1148"/>
    <w:next w:val="1148"/>
    <w:link w:val="985"/>
    <w:uiPriority w:val="9"/>
    <w:unhideWhenUsed/>
    <w:qFormat/>
    <w:pPr>
      <w:keepLines/>
      <w:keepNext/>
      <w:spacing w:before="320" w:after="200"/>
      <w:outlineLvl w:val="7"/>
    </w:pPr>
    <w:rPr>
      <w:rFonts w:ascii="Arial" w:hAnsi="Arial" w:eastAsia="Arial" w:cs="Arial"/>
      <w:i/>
      <w:iCs/>
      <w:sz w:val="22"/>
      <w:szCs w:val="22"/>
    </w:rPr>
  </w:style>
  <w:style w:type="character" w:styleId="985">
    <w:name w:val="Heading 8 Char"/>
    <w:link w:val="984"/>
    <w:uiPriority w:val="9"/>
    <w:rPr>
      <w:rFonts w:ascii="Arial" w:hAnsi="Arial" w:eastAsia="Arial" w:cs="Arial"/>
      <w:i/>
      <w:iCs/>
      <w:sz w:val="22"/>
      <w:szCs w:val="22"/>
    </w:rPr>
  </w:style>
  <w:style w:type="paragraph" w:styleId="986">
    <w:name w:val="Heading 9"/>
    <w:basedOn w:val="1148"/>
    <w:next w:val="1148"/>
    <w:link w:val="987"/>
    <w:uiPriority w:val="9"/>
    <w:unhideWhenUsed/>
    <w:qFormat/>
    <w:pPr>
      <w:keepLines/>
      <w:keepNext/>
      <w:spacing w:before="320" w:after="200"/>
      <w:outlineLvl w:val="8"/>
    </w:pPr>
    <w:rPr>
      <w:rFonts w:ascii="Arial" w:hAnsi="Arial" w:eastAsia="Arial" w:cs="Arial"/>
      <w:i/>
      <w:iCs/>
      <w:sz w:val="21"/>
      <w:szCs w:val="21"/>
    </w:rPr>
  </w:style>
  <w:style w:type="character" w:styleId="987">
    <w:name w:val="Heading 9 Char"/>
    <w:link w:val="986"/>
    <w:uiPriority w:val="9"/>
    <w:rPr>
      <w:rFonts w:ascii="Arial" w:hAnsi="Arial" w:eastAsia="Arial" w:cs="Arial"/>
      <w:i/>
      <w:iCs/>
      <w:sz w:val="21"/>
      <w:szCs w:val="21"/>
    </w:rPr>
  </w:style>
  <w:style w:type="paragraph" w:styleId="988">
    <w:name w:val="List Paragraph"/>
    <w:basedOn w:val="1148"/>
    <w:uiPriority w:val="34"/>
    <w:qFormat/>
    <w:pPr>
      <w:contextualSpacing/>
      <w:ind w:left="720"/>
    </w:pPr>
  </w:style>
  <w:style w:type="paragraph" w:styleId="989">
    <w:name w:val="No Spacing"/>
    <w:uiPriority w:val="1"/>
    <w:qFormat/>
    <w:pPr>
      <w:spacing w:before="0" w:after="0" w:line="240" w:lineRule="auto"/>
    </w:pPr>
  </w:style>
  <w:style w:type="paragraph" w:styleId="990">
    <w:name w:val="Title"/>
    <w:basedOn w:val="1148"/>
    <w:next w:val="1148"/>
    <w:link w:val="991"/>
    <w:uiPriority w:val="10"/>
    <w:qFormat/>
    <w:pPr>
      <w:contextualSpacing/>
      <w:spacing w:before="300" w:after="200"/>
    </w:pPr>
    <w:rPr>
      <w:sz w:val="48"/>
      <w:szCs w:val="48"/>
    </w:rPr>
  </w:style>
  <w:style w:type="character" w:styleId="991">
    <w:name w:val="Title Char"/>
    <w:link w:val="990"/>
    <w:uiPriority w:val="10"/>
    <w:rPr>
      <w:sz w:val="48"/>
      <w:szCs w:val="48"/>
    </w:rPr>
  </w:style>
  <w:style w:type="paragraph" w:styleId="992">
    <w:name w:val="Subtitle"/>
    <w:basedOn w:val="1148"/>
    <w:next w:val="1148"/>
    <w:link w:val="993"/>
    <w:uiPriority w:val="11"/>
    <w:qFormat/>
    <w:pPr>
      <w:spacing w:before="200" w:after="200"/>
    </w:pPr>
    <w:rPr>
      <w:sz w:val="24"/>
      <w:szCs w:val="24"/>
    </w:rPr>
  </w:style>
  <w:style w:type="character" w:styleId="993">
    <w:name w:val="Subtitle Char"/>
    <w:link w:val="992"/>
    <w:uiPriority w:val="11"/>
    <w:rPr>
      <w:sz w:val="24"/>
      <w:szCs w:val="24"/>
    </w:rPr>
  </w:style>
  <w:style w:type="paragraph" w:styleId="994">
    <w:name w:val="Quote"/>
    <w:basedOn w:val="1148"/>
    <w:next w:val="1148"/>
    <w:link w:val="995"/>
    <w:uiPriority w:val="29"/>
    <w:qFormat/>
    <w:pPr>
      <w:ind w:left="720" w:right="720"/>
    </w:pPr>
    <w:rPr>
      <w:i/>
    </w:rPr>
  </w:style>
  <w:style w:type="character" w:styleId="995">
    <w:name w:val="Quote Char"/>
    <w:link w:val="994"/>
    <w:uiPriority w:val="29"/>
    <w:rPr>
      <w:i/>
    </w:rPr>
  </w:style>
  <w:style w:type="paragraph" w:styleId="996">
    <w:name w:val="Intense Quote"/>
    <w:basedOn w:val="1148"/>
    <w:next w:val="1148"/>
    <w:link w:val="99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97">
    <w:name w:val="Intense Quote Char"/>
    <w:link w:val="996"/>
    <w:uiPriority w:val="30"/>
    <w:rPr>
      <w:i/>
    </w:rPr>
  </w:style>
  <w:style w:type="paragraph" w:styleId="998">
    <w:name w:val="Header"/>
    <w:basedOn w:val="1148"/>
    <w:link w:val="999"/>
    <w:uiPriority w:val="99"/>
    <w:unhideWhenUsed/>
    <w:pPr>
      <w:spacing w:after="0" w:line="240" w:lineRule="auto"/>
      <w:tabs>
        <w:tab w:val="center" w:pos="7143" w:leader="none"/>
        <w:tab w:val="right" w:pos="14287" w:leader="none"/>
      </w:tabs>
    </w:pPr>
  </w:style>
  <w:style w:type="character" w:styleId="999">
    <w:name w:val="Header Char"/>
    <w:link w:val="998"/>
    <w:uiPriority w:val="99"/>
  </w:style>
  <w:style w:type="paragraph" w:styleId="1000">
    <w:name w:val="Footer"/>
    <w:basedOn w:val="1148"/>
    <w:link w:val="1003"/>
    <w:uiPriority w:val="99"/>
    <w:unhideWhenUsed/>
    <w:pPr>
      <w:spacing w:after="0" w:line="240" w:lineRule="auto"/>
      <w:tabs>
        <w:tab w:val="center" w:pos="7143" w:leader="none"/>
        <w:tab w:val="right" w:pos="14287" w:leader="none"/>
      </w:tabs>
    </w:pPr>
  </w:style>
  <w:style w:type="character" w:styleId="1001">
    <w:name w:val="Footer Char"/>
    <w:link w:val="1000"/>
    <w:uiPriority w:val="99"/>
  </w:style>
  <w:style w:type="paragraph" w:styleId="1002">
    <w:name w:val="Caption"/>
    <w:basedOn w:val="1148"/>
    <w:next w:val="1148"/>
    <w:link w:val="1003"/>
    <w:uiPriority w:val="35"/>
    <w:semiHidden/>
    <w:unhideWhenUsed/>
    <w:qFormat/>
    <w:pPr>
      <w:spacing w:line="276" w:lineRule="auto"/>
    </w:pPr>
    <w:rPr>
      <w:b/>
      <w:bCs/>
      <w:color w:val="4f81bd" w:themeColor="accent1"/>
      <w:sz w:val="18"/>
      <w:szCs w:val="18"/>
    </w:rPr>
  </w:style>
  <w:style w:type="character" w:styleId="1003">
    <w:name w:val="Caption Char"/>
    <w:basedOn w:val="1002"/>
    <w:link w:val="1000"/>
    <w:uiPriority w:val="99"/>
  </w:style>
  <w:style w:type="table" w:styleId="100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0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0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0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0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0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1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1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1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1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1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1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1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1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1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1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2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2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2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2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2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2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3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3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3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3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3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3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3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4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4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4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4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4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4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4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4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4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4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5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5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5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5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5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5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5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5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6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6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6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6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6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6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7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7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7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7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7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7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7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7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7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8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8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8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8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8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8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8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9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9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9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9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0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0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0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0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0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0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0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0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0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0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1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1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1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2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2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2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2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2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2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30">
    <w:name w:val="Hyperlink"/>
    <w:uiPriority w:val="99"/>
    <w:unhideWhenUsed/>
    <w:rPr>
      <w:color w:val="0000ff" w:themeColor="hyperlink"/>
      <w:u w:val="single"/>
    </w:rPr>
  </w:style>
  <w:style w:type="paragraph" w:styleId="1131">
    <w:name w:val="footnote text"/>
    <w:basedOn w:val="1148"/>
    <w:link w:val="1132"/>
    <w:uiPriority w:val="99"/>
    <w:semiHidden/>
    <w:unhideWhenUsed/>
    <w:pPr>
      <w:spacing w:after="40" w:line="240" w:lineRule="auto"/>
    </w:pPr>
    <w:rPr>
      <w:sz w:val="18"/>
    </w:rPr>
  </w:style>
  <w:style w:type="character" w:styleId="1132">
    <w:name w:val="Footnote Text Char"/>
    <w:link w:val="1131"/>
    <w:uiPriority w:val="99"/>
    <w:rPr>
      <w:sz w:val="18"/>
    </w:rPr>
  </w:style>
  <w:style w:type="character" w:styleId="1133">
    <w:name w:val="footnote reference"/>
    <w:uiPriority w:val="99"/>
    <w:unhideWhenUsed/>
    <w:rPr>
      <w:vertAlign w:val="superscript"/>
    </w:rPr>
  </w:style>
  <w:style w:type="paragraph" w:styleId="1134">
    <w:name w:val="endnote text"/>
    <w:basedOn w:val="1148"/>
    <w:link w:val="1135"/>
    <w:uiPriority w:val="99"/>
    <w:semiHidden/>
    <w:unhideWhenUsed/>
    <w:pPr>
      <w:spacing w:after="0" w:line="240" w:lineRule="auto"/>
    </w:pPr>
    <w:rPr>
      <w:sz w:val="20"/>
    </w:rPr>
  </w:style>
  <w:style w:type="character" w:styleId="1135">
    <w:name w:val="Endnote Text Char"/>
    <w:link w:val="1134"/>
    <w:uiPriority w:val="99"/>
    <w:rPr>
      <w:sz w:val="20"/>
    </w:rPr>
  </w:style>
  <w:style w:type="character" w:styleId="1136">
    <w:name w:val="endnote reference"/>
    <w:uiPriority w:val="99"/>
    <w:semiHidden/>
    <w:unhideWhenUsed/>
    <w:rPr>
      <w:vertAlign w:val="superscript"/>
    </w:rPr>
  </w:style>
  <w:style w:type="paragraph" w:styleId="1137">
    <w:name w:val="toc 1"/>
    <w:basedOn w:val="1148"/>
    <w:next w:val="1148"/>
    <w:uiPriority w:val="39"/>
    <w:unhideWhenUsed/>
    <w:pPr>
      <w:ind w:left="0" w:right="0" w:firstLine="0"/>
      <w:spacing w:after="57"/>
    </w:pPr>
  </w:style>
  <w:style w:type="paragraph" w:styleId="1138">
    <w:name w:val="toc 2"/>
    <w:basedOn w:val="1148"/>
    <w:next w:val="1148"/>
    <w:uiPriority w:val="39"/>
    <w:unhideWhenUsed/>
    <w:pPr>
      <w:ind w:left="283" w:right="0" w:firstLine="0"/>
      <w:spacing w:after="57"/>
    </w:pPr>
  </w:style>
  <w:style w:type="paragraph" w:styleId="1139">
    <w:name w:val="toc 3"/>
    <w:basedOn w:val="1148"/>
    <w:next w:val="1148"/>
    <w:uiPriority w:val="39"/>
    <w:unhideWhenUsed/>
    <w:pPr>
      <w:ind w:left="567" w:right="0" w:firstLine="0"/>
      <w:spacing w:after="57"/>
    </w:pPr>
  </w:style>
  <w:style w:type="paragraph" w:styleId="1140">
    <w:name w:val="toc 4"/>
    <w:basedOn w:val="1148"/>
    <w:next w:val="1148"/>
    <w:uiPriority w:val="39"/>
    <w:unhideWhenUsed/>
    <w:pPr>
      <w:ind w:left="850" w:right="0" w:firstLine="0"/>
      <w:spacing w:after="57"/>
    </w:pPr>
  </w:style>
  <w:style w:type="paragraph" w:styleId="1141">
    <w:name w:val="toc 5"/>
    <w:basedOn w:val="1148"/>
    <w:next w:val="1148"/>
    <w:uiPriority w:val="39"/>
    <w:unhideWhenUsed/>
    <w:pPr>
      <w:ind w:left="1134" w:right="0" w:firstLine="0"/>
      <w:spacing w:after="57"/>
    </w:pPr>
  </w:style>
  <w:style w:type="paragraph" w:styleId="1142">
    <w:name w:val="toc 6"/>
    <w:basedOn w:val="1148"/>
    <w:next w:val="1148"/>
    <w:uiPriority w:val="39"/>
    <w:unhideWhenUsed/>
    <w:pPr>
      <w:ind w:left="1417" w:right="0" w:firstLine="0"/>
      <w:spacing w:after="57"/>
    </w:pPr>
  </w:style>
  <w:style w:type="paragraph" w:styleId="1143">
    <w:name w:val="toc 7"/>
    <w:basedOn w:val="1148"/>
    <w:next w:val="1148"/>
    <w:uiPriority w:val="39"/>
    <w:unhideWhenUsed/>
    <w:pPr>
      <w:ind w:left="1701" w:right="0" w:firstLine="0"/>
      <w:spacing w:after="57"/>
    </w:pPr>
  </w:style>
  <w:style w:type="paragraph" w:styleId="1144">
    <w:name w:val="toc 8"/>
    <w:basedOn w:val="1148"/>
    <w:next w:val="1148"/>
    <w:uiPriority w:val="39"/>
    <w:unhideWhenUsed/>
    <w:pPr>
      <w:ind w:left="1984" w:right="0" w:firstLine="0"/>
      <w:spacing w:after="57"/>
    </w:pPr>
  </w:style>
  <w:style w:type="paragraph" w:styleId="1145">
    <w:name w:val="toc 9"/>
    <w:basedOn w:val="1148"/>
    <w:next w:val="1148"/>
    <w:uiPriority w:val="39"/>
    <w:unhideWhenUsed/>
    <w:pPr>
      <w:ind w:left="2268" w:right="0" w:firstLine="0"/>
      <w:spacing w:after="57"/>
    </w:pPr>
  </w:style>
  <w:style w:type="paragraph" w:styleId="1146">
    <w:name w:val="TOC Heading"/>
    <w:uiPriority w:val="39"/>
    <w:unhideWhenUsed/>
  </w:style>
  <w:style w:type="paragraph" w:styleId="1147">
    <w:name w:val="table of figures"/>
    <w:basedOn w:val="1148"/>
    <w:next w:val="1148"/>
    <w:uiPriority w:val="99"/>
    <w:unhideWhenUsed/>
    <w:pPr>
      <w:spacing w:after="0" w:afterAutospacing="0"/>
    </w:pPr>
  </w:style>
  <w:style w:type="paragraph" w:styleId="1148" w:default="1">
    <w:name w:val="Normal"/>
    <w:next w:val="1148"/>
    <w:link w:val="1148"/>
    <w:qFormat/>
    <w:rPr>
      <w:sz w:val="24"/>
      <w:szCs w:val="24"/>
      <w:lang w:val="ru-RU" w:eastAsia="ru-RU" w:bidi="ar-SA"/>
    </w:rPr>
  </w:style>
  <w:style w:type="paragraph" w:styleId="1149">
    <w:name w:val="Заголовок 1"/>
    <w:basedOn w:val="1148"/>
    <w:next w:val="1148"/>
    <w:link w:val="1148"/>
    <w:qFormat/>
    <w:pPr>
      <w:keepNext/>
      <w:spacing w:before="240" w:after="60"/>
      <w:outlineLvl w:val="0"/>
    </w:pPr>
    <w:rPr>
      <w:rFonts w:ascii="Arial" w:hAnsi="Arial" w:cs="Arial"/>
      <w:b/>
      <w:bCs/>
      <w:sz w:val="32"/>
      <w:szCs w:val="32"/>
    </w:rPr>
  </w:style>
  <w:style w:type="paragraph" w:styleId="1150">
    <w:name w:val="Заголовок 2"/>
    <w:basedOn w:val="1148"/>
    <w:next w:val="1148"/>
    <w:link w:val="1161"/>
    <w:qFormat/>
    <w:pPr>
      <w:jc w:val="both"/>
      <w:keepNext/>
      <w:spacing w:before="240" w:after="60"/>
      <w:outlineLvl w:val="1"/>
    </w:pPr>
    <w:rPr>
      <w:b/>
      <w:bCs/>
      <w:i/>
      <w:iCs/>
    </w:rPr>
  </w:style>
  <w:style w:type="paragraph" w:styleId="1151">
    <w:name w:val="Заголовок 3"/>
    <w:basedOn w:val="1148"/>
    <w:next w:val="1148"/>
    <w:link w:val="1162"/>
    <w:qFormat/>
    <w:pPr>
      <w:keepNext/>
      <w:spacing w:before="240" w:after="60"/>
      <w:outlineLvl w:val="2"/>
    </w:pPr>
    <w:rPr>
      <w:rFonts w:ascii="Cambria" w:hAnsi="Cambria"/>
      <w:b/>
      <w:bCs/>
      <w:sz w:val="26"/>
      <w:szCs w:val="26"/>
      <w:lang w:val="en-US" w:eastAsia="en-US"/>
    </w:rPr>
  </w:style>
  <w:style w:type="paragraph" w:styleId="1152">
    <w:name w:val="Заголовок 4"/>
    <w:basedOn w:val="1148"/>
    <w:next w:val="1148"/>
    <w:link w:val="1163"/>
    <w:qFormat/>
    <w:pPr>
      <w:jc w:val="center"/>
      <w:keepNext/>
      <w:outlineLvl w:val="3"/>
    </w:pPr>
    <w:rPr>
      <w:b/>
      <w:bCs/>
      <w:sz w:val="22"/>
      <w:szCs w:val="28"/>
      <w:lang w:val="en-US" w:eastAsia="en-US"/>
    </w:rPr>
  </w:style>
  <w:style w:type="paragraph" w:styleId="1153">
    <w:name w:val="Заголовок 5"/>
    <w:basedOn w:val="1148"/>
    <w:next w:val="1148"/>
    <w:link w:val="1202"/>
    <w:qFormat/>
    <w:pPr>
      <w:spacing w:before="240" w:after="60"/>
      <w:outlineLvl w:val="4"/>
    </w:pPr>
    <w:rPr>
      <w:b/>
      <w:bCs/>
      <w:i/>
      <w:iCs/>
      <w:sz w:val="26"/>
      <w:szCs w:val="26"/>
    </w:rPr>
  </w:style>
  <w:style w:type="paragraph" w:styleId="1154">
    <w:name w:val="Заголовок 6"/>
    <w:basedOn w:val="1148"/>
    <w:next w:val="1148"/>
    <w:link w:val="1205"/>
    <w:qFormat/>
    <w:pPr>
      <w:spacing w:before="240" w:after="60"/>
      <w:outlineLvl w:val="5"/>
    </w:pPr>
    <w:rPr>
      <w:rFonts w:eastAsia="Times New Roman" w:cs="Times New Roman"/>
      <w:b/>
      <w:bCs/>
      <w:szCs w:val="22"/>
    </w:rPr>
  </w:style>
  <w:style w:type="paragraph" w:styleId="1155">
    <w:name w:val="Заголовок 7"/>
    <w:basedOn w:val="1148"/>
    <w:next w:val="1148"/>
    <w:link w:val="1206"/>
    <w:qFormat/>
    <w:pPr>
      <w:spacing w:before="240" w:after="60"/>
      <w:outlineLvl w:val="6"/>
    </w:pPr>
    <w:rPr>
      <w:rFonts w:ascii="Calibri" w:hAnsi="Calibri" w:eastAsia="Times New Roman" w:cs="Times New Roman"/>
    </w:rPr>
  </w:style>
  <w:style w:type="paragraph" w:styleId="1156">
    <w:name w:val="Заголовок 8"/>
    <w:basedOn w:val="1148"/>
    <w:next w:val="1148"/>
    <w:link w:val="1148"/>
    <w:qFormat/>
    <w:pPr>
      <w:spacing w:before="240" w:after="60"/>
      <w:outlineLvl w:val="7"/>
    </w:pPr>
    <w:rPr>
      <w:i/>
      <w:iCs/>
    </w:rPr>
  </w:style>
  <w:style w:type="paragraph" w:styleId="1157">
    <w:name w:val="Заголовок 9"/>
    <w:basedOn w:val="1148"/>
    <w:next w:val="1148"/>
    <w:link w:val="1207"/>
    <w:qFormat/>
    <w:pPr>
      <w:spacing w:before="240" w:after="60"/>
      <w:outlineLvl w:val="8"/>
    </w:pPr>
    <w:rPr>
      <w:rFonts w:ascii="Calibri Light" w:hAnsi="Calibri Light" w:eastAsia="Times New Roman" w:cs="Times New Roman"/>
      <w:sz w:val="22"/>
      <w:szCs w:val="22"/>
    </w:rPr>
  </w:style>
  <w:style w:type="character" w:styleId="1158">
    <w:name w:val="Основной шрифт абзаца"/>
    <w:next w:val="1158"/>
    <w:link w:val="1148"/>
    <w:semiHidden/>
  </w:style>
  <w:style w:type="table" w:styleId="1159">
    <w:name w:val="Обычная таблица"/>
    <w:next w:val="1159"/>
    <w:link w:val="1148"/>
    <w:semiHidden/>
    <w:tblPr/>
  </w:style>
  <w:style w:type="numbering" w:styleId="1160">
    <w:name w:val="Нет списка"/>
    <w:next w:val="1160"/>
    <w:link w:val="1148"/>
    <w:uiPriority w:val="99"/>
    <w:semiHidden/>
  </w:style>
  <w:style w:type="character" w:styleId="1161">
    <w:name w:val="Заголовок 2 Знак"/>
    <w:next w:val="1161"/>
    <w:link w:val="1150"/>
    <w:rPr>
      <w:b/>
      <w:bCs/>
      <w:i/>
      <w:iCs/>
      <w:sz w:val="24"/>
      <w:szCs w:val="24"/>
    </w:rPr>
  </w:style>
  <w:style w:type="character" w:styleId="1162">
    <w:name w:val="Заголовок 3 Знак"/>
    <w:next w:val="1162"/>
    <w:link w:val="1151"/>
    <w:rPr>
      <w:rFonts w:ascii="Cambria" w:hAnsi="Cambria"/>
      <w:b/>
      <w:bCs/>
      <w:sz w:val="26"/>
      <w:szCs w:val="26"/>
      <w:lang w:val="en-US" w:eastAsia="en-US"/>
    </w:rPr>
  </w:style>
  <w:style w:type="character" w:styleId="1163">
    <w:name w:val="Заголовок 4 Знак"/>
    <w:next w:val="1163"/>
    <w:link w:val="1152"/>
    <w:rPr>
      <w:b/>
      <w:bCs/>
      <w:sz w:val="22"/>
      <w:szCs w:val="28"/>
      <w:lang w:val="en-US" w:eastAsia="en-US"/>
    </w:rPr>
  </w:style>
  <w:style w:type="paragraph" w:styleId="1164">
    <w:name w:val="Без интервала"/>
    <w:next w:val="1164"/>
    <w:link w:val="1165"/>
    <w:qFormat/>
    <w:rPr>
      <w:rFonts w:ascii="Calibri" w:hAnsi="Calibri"/>
      <w:sz w:val="22"/>
      <w:szCs w:val="22"/>
      <w:lang w:val="ru-RU" w:eastAsia="en-US" w:bidi="ar-SA"/>
    </w:rPr>
  </w:style>
  <w:style w:type="character" w:styleId="1165">
    <w:name w:val="Без интервала Знак"/>
    <w:next w:val="1165"/>
    <w:link w:val="1164"/>
    <w:rPr>
      <w:rFonts w:ascii="Calibri" w:hAnsi="Calibri"/>
      <w:sz w:val="22"/>
      <w:szCs w:val="22"/>
      <w:lang w:val="ru-RU" w:eastAsia="en-US" w:bidi="ar-SA"/>
    </w:rPr>
  </w:style>
  <w:style w:type="character" w:styleId="1166">
    <w:name w:val="Гиперссылка"/>
    <w:next w:val="1166"/>
    <w:link w:val="1148"/>
    <w:uiPriority w:val="99"/>
    <w:unhideWhenUsed/>
    <w:rPr>
      <w:rFonts w:ascii="Times New Roman" w:hAnsi="Times New Roman"/>
      <w:color w:val="0000ff"/>
      <w:sz w:val="24"/>
      <w:u w:val="none"/>
      <w:vertAlign w:val="baseline"/>
    </w:rPr>
  </w:style>
  <w:style w:type="paragraph" w:styleId="1167">
    <w:name w:val="Оглавление 2"/>
    <w:basedOn w:val="1148"/>
    <w:next w:val="1148"/>
    <w:link w:val="1148"/>
    <w:uiPriority w:val="39"/>
    <w:pPr>
      <w:ind w:left="240"/>
    </w:pPr>
    <w:rPr>
      <w:rFonts w:ascii="Calibri" w:hAnsi="Calibri"/>
      <w:smallCaps/>
      <w:sz w:val="20"/>
      <w:szCs w:val="20"/>
    </w:rPr>
  </w:style>
  <w:style w:type="paragraph" w:styleId="1168">
    <w:name w:val="Оглавление 1"/>
    <w:basedOn w:val="1148"/>
    <w:next w:val="1148"/>
    <w:link w:val="1148"/>
    <w:uiPriority w:val="39"/>
    <w:pPr>
      <w:spacing w:before="120" w:after="120"/>
    </w:pPr>
    <w:rPr>
      <w:bCs/>
      <w:caps/>
      <w:sz w:val="22"/>
      <w:szCs w:val="20"/>
    </w:rPr>
  </w:style>
  <w:style w:type="paragraph" w:styleId="1169">
    <w:name w:val="Верхний колонтитул"/>
    <w:basedOn w:val="1148"/>
    <w:next w:val="1169"/>
    <w:link w:val="1170"/>
    <w:uiPriority w:val="99"/>
    <w:pPr>
      <w:tabs>
        <w:tab w:val="center" w:pos="4677" w:leader="none"/>
        <w:tab w:val="right" w:pos="9355" w:leader="none"/>
      </w:tabs>
    </w:pPr>
    <w:rPr>
      <w:lang w:val="en-US" w:eastAsia="en-US"/>
    </w:rPr>
  </w:style>
  <w:style w:type="character" w:styleId="1170">
    <w:name w:val="Верхний колонтитул Знак"/>
    <w:next w:val="1170"/>
    <w:link w:val="1169"/>
    <w:uiPriority w:val="99"/>
    <w:rPr>
      <w:sz w:val="24"/>
      <w:szCs w:val="24"/>
    </w:rPr>
  </w:style>
  <w:style w:type="paragraph" w:styleId="1171">
    <w:name w:val="Основной текст,Основной текст_отчет,bt"/>
    <w:basedOn w:val="1148"/>
    <w:next w:val="1171"/>
    <w:link w:val="1172"/>
    <w:rPr>
      <w:b/>
      <w:bCs/>
      <w:lang w:val="en-US" w:eastAsia="en-US"/>
    </w:rPr>
  </w:style>
  <w:style w:type="character" w:styleId="1172">
    <w:name w:val="Основной текст Знак,Основной текст_отчет Знак,bt Знак"/>
    <w:next w:val="1172"/>
    <w:link w:val="1171"/>
    <w:rPr>
      <w:b/>
      <w:bCs/>
      <w:sz w:val="24"/>
      <w:szCs w:val="24"/>
    </w:rPr>
  </w:style>
  <w:style w:type="paragraph" w:styleId="1173">
    <w:name w:val="Цитата"/>
    <w:basedOn w:val="1148"/>
    <w:next w:val="1173"/>
    <w:link w:val="1148"/>
    <w:pPr>
      <w:ind w:left="-108" w:right="-108"/>
      <w:jc w:val="center"/>
    </w:pPr>
    <w:rPr>
      <w:b/>
      <w:bCs/>
    </w:rPr>
  </w:style>
  <w:style w:type="paragraph" w:styleId="1174">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48"/>
    <w:next w:val="1174"/>
    <w:link w:val="1175"/>
    <w:pPr>
      <w:jc w:val="both"/>
    </w:pPr>
    <w:rPr>
      <w:b/>
      <w:bCs/>
      <w:lang w:val="en-US" w:eastAsia="en-US"/>
    </w:rPr>
  </w:style>
  <w:style w:type="character" w:styleId="1175">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75"/>
    <w:link w:val="1174"/>
    <w:rPr>
      <w:b/>
      <w:bCs/>
      <w:sz w:val="24"/>
      <w:szCs w:val="24"/>
    </w:rPr>
  </w:style>
  <w:style w:type="paragraph" w:styleId="1176">
    <w:name w:val="Основной текст с отступом 2"/>
    <w:basedOn w:val="1148"/>
    <w:next w:val="1176"/>
    <w:link w:val="1191"/>
    <w:pPr>
      <w:ind w:firstLine="708"/>
      <w:jc w:val="both"/>
    </w:pPr>
    <w:rPr>
      <w:sz w:val="22"/>
      <w:szCs w:val="22"/>
      <w:lang w:val="en-US" w:eastAsia="en-US"/>
    </w:rPr>
  </w:style>
  <w:style w:type="paragraph" w:styleId="117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48"/>
    <w:next w:val="1177"/>
    <w:link w:val="1192"/>
    <w:qFormat/>
    <w:rPr>
      <w:sz w:val="20"/>
      <w:szCs w:val="20"/>
    </w:rPr>
  </w:style>
  <w:style w:type="paragraph" w:styleId="1178">
    <w:name w:val="Основной текст с отступом 3"/>
    <w:basedOn w:val="1148"/>
    <w:next w:val="1178"/>
    <w:link w:val="1148"/>
    <w:pPr>
      <w:ind w:left="283"/>
      <w:spacing w:after="120"/>
    </w:pPr>
    <w:rPr>
      <w:sz w:val="16"/>
      <w:szCs w:val="16"/>
    </w:rPr>
  </w:style>
  <w:style w:type="paragraph" w:styleId="1179">
    <w:name w:val="Основной текст 2"/>
    <w:basedOn w:val="1148"/>
    <w:next w:val="1179"/>
    <w:link w:val="1148"/>
    <w:pPr>
      <w:jc w:val="both"/>
      <w:spacing w:before="120" w:after="120"/>
    </w:pPr>
  </w:style>
  <w:style w:type="character" w:styleId="118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80"/>
    <w:link w:val="1148"/>
    <w:qFormat/>
    <w:rPr>
      <w:vertAlign w:val="superscript"/>
    </w:rPr>
  </w:style>
  <w:style w:type="paragraph" w:styleId="1181">
    <w:name w:val="Текст выноски"/>
    <w:basedOn w:val="1148"/>
    <w:next w:val="1181"/>
    <w:link w:val="1197"/>
    <w:uiPriority w:val="99"/>
    <w:semiHidden/>
    <w:rPr>
      <w:rFonts w:ascii="Tahoma" w:hAnsi="Tahoma" w:cs="Tahoma"/>
      <w:sz w:val="16"/>
      <w:szCs w:val="16"/>
    </w:rPr>
  </w:style>
  <w:style w:type="paragraph" w:styleId="1182">
    <w:name w:val="Нижний колонтитул"/>
    <w:basedOn w:val="1148"/>
    <w:next w:val="1182"/>
    <w:link w:val="1183"/>
    <w:uiPriority w:val="99"/>
    <w:pPr>
      <w:tabs>
        <w:tab w:val="center" w:pos="4677" w:leader="none"/>
        <w:tab w:val="right" w:pos="9355" w:leader="none"/>
      </w:tabs>
    </w:pPr>
    <w:rPr>
      <w:lang w:val="en-US" w:eastAsia="en-US"/>
    </w:rPr>
  </w:style>
  <w:style w:type="character" w:styleId="1183">
    <w:name w:val="Нижний колонтитул Знак"/>
    <w:next w:val="1183"/>
    <w:link w:val="1182"/>
    <w:uiPriority w:val="99"/>
    <w:rPr>
      <w:sz w:val="24"/>
      <w:szCs w:val="24"/>
    </w:rPr>
  </w:style>
  <w:style w:type="paragraph" w:styleId="1184">
    <w:name w:val="Оглавление 3"/>
    <w:basedOn w:val="1148"/>
    <w:next w:val="1148"/>
    <w:link w:val="1148"/>
    <w:semiHidden/>
    <w:pPr>
      <w:ind w:left="480"/>
    </w:pPr>
    <w:rPr>
      <w:rFonts w:ascii="Calibri" w:hAnsi="Calibri"/>
      <w:i/>
      <w:iCs/>
      <w:sz w:val="20"/>
      <w:szCs w:val="20"/>
    </w:rPr>
  </w:style>
  <w:style w:type="paragraph" w:styleId="1185">
    <w:name w:val="Оглавление 4"/>
    <w:basedOn w:val="1148"/>
    <w:next w:val="1148"/>
    <w:link w:val="1148"/>
    <w:semiHidden/>
    <w:pPr>
      <w:ind w:left="720"/>
    </w:pPr>
    <w:rPr>
      <w:rFonts w:ascii="Calibri" w:hAnsi="Calibri"/>
      <w:sz w:val="18"/>
      <w:szCs w:val="18"/>
    </w:rPr>
  </w:style>
  <w:style w:type="paragraph" w:styleId="1186">
    <w:name w:val="Оглавление 5"/>
    <w:basedOn w:val="1148"/>
    <w:next w:val="1148"/>
    <w:link w:val="1148"/>
    <w:semiHidden/>
    <w:pPr>
      <w:ind w:left="960"/>
    </w:pPr>
    <w:rPr>
      <w:rFonts w:ascii="Calibri" w:hAnsi="Calibri"/>
      <w:sz w:val="18"/>
      <w:szCs w:val="18"/>
    </w:rPr>
  </w:style>
  <w:style w:type="paragraph" w:styleId="1187">
    <w:name w:val="Оглавление 6"/>
    <w:basedOn w:val="1148"/>
    <w:next w:val="1148"/>
    <w:link w:val="1148"/>
    <w:semiHidden/>
    <w:pPr>
      <w:ind w:left="1200"/>
    </w:pPr>
    <w:rPr>
      <w:rFonts w:ascii="Calibri" w:hAnsi="Calibri"/>
      <w:sz w:val="18"/>
      <w:szCs w:val="18"/>
    </w:rPr>
  </w:style>
  <w:style w:type="paragraph" w:styleId="1188">
    <w:name w:val="Оглавление 7"/>
    <w:basedOn w:val="1148"/>
    <w:next w:val="1148"/>
    <w:link w:val="1148"/>
    <w:semiHidden/>
    <w:pPr>
      <w:ind w:left="1440"/>
    </w:pPr>
    <w:rPr>
      <w:rFonts w:ascii="Calibri" w:hAnsi="Calibri"/>
      <w:sz w:val="18"/>
      <w:szCs w:val="18"/>
    </w:rPr>
  </w:style>
  <w:style w:type="paragraph" w:styleId="1189">
    <w:name w:val="Оглавление 8"/>
    <w:basedOn w:val="1148"/>
    <w:next w:val="1148"/>
    <w:link w:val="1148"/>
    <w:semiHidden/>
    <w:pPr>
      <w:ind w:left="1680"/>
    </w:pPr>
    <w:rPr>
      <w:rFonts w:ascii="Calibri" w:hAnsi="Calibri"/>
      <w:sz w:val="18"/>
      <w:szCs w:val="18"/>
    </w:rPr>
  </w:style>
  <w:style w:type="paragraph" w:styleId="1190">
    <w:name w:val="Оглавление 9"/>
    <w:basedOn w:val="1148"/>
    <w:next w:val="1148"/>
    <w:link w:val="1148"/>
    <w:semiHidden/>
    <w:pPr>
      <w:ind w:left="1920"/>
    </w:pPr>
    <w:rPr>
      <w:rFonts w:ascii="Calibri" w:hAnsi="Calibri"/>
      <w:sz w:val="18"/>
      <w:szCs w:val="18"/>
    </w:rPr>
  </w:style>
  <w:style w:type="character" w:styleId="1191">
    <w:name w:val="Основной текст с отступом 2 Знак"/>
    <w:next w:val="1191"/>
    <w:link w:val="1176"/>
    <w:rPr>
      <w:sz w:val="22"/>
      <w:szCs w:val="22"/>
    </w:rPr>
  </w:style>
  <w:style w:type="character" w:styleId="119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92"/>
    <w:link w:val="1177"/>
  </w:style>
  <w:style w:type="paragraph" w:styleId="1193">
    <w:name w:val="Нормальный"/>
    <w:next w:val="1193"/>
    <w:link w:val="1148"/>
    <w:rPr>
      <w:rFonts w:ascii="TimesET" w:hAnsi="TimesET" w:cs="TimesET"/>
      <w:b/>
      <w:bCs/>
      <w:i/>
      <w:iCs/>
      <w:smallCaps/>
      <w:sz w:val="24"/>
      <w:szCs w:val="24"/>
      <w:lang w:val="ru-RU" w:eastAsia="ru-RU" w:bidi="ar-SA"/>
    </w:rPr>
  </w:style>
  <w:style w:type="paragraph" w:styleId="1194">
    <w:name w:val="Default"/>
    <w:next w:val="1194"/>
    <w:link w:val="1148"/>
    <w:rPr>
      <w:rFonts w:eastAsia="Calibri"/>
      <w:color w:val="000000"/>
      <w:sz w:val="24"/>
      <w:szCs w:val="24"/>
      <w:lang w:val="ru-RU" w:eastAsia="ru-RU" w:bidi="ar-SA"/>
    </w:rPr>
  </w:style>
  <w:style w:type="numbering" w:styleId="1195">
    <w:name w:val="Нет списка1"/>
    <w:next w:val="1160"/>
    <w:link w:val="1148"/>
    <w:uiPriority w:val="99"/>
    <w:semiHidden/>
    <w:unhideWhenUsed/>
  </w:style>
  <w:style w:type="paragraph" w:styleId="1196">
    <w:name w:val="Абзац списка"/>
    <w:basedOn w:val="1148"/>
    <w:next w:val="1196"/>
    <w:link w:val="1148"/>
    <w:uiPriority w:val="34"/>
    <w:qFormat/>
    <w:pPr>
      <w:contextualSpacing/>
      <w:ind w:left="720"/>
      <w:spacing w:after="200" w:line="276" w:lineRule="auto"/>
    </w:pPr>
    <w:rPr>
      <w:rFonts w:ascii="Calibri" w:hAnsi="Calibri" w:eastAsia="Calibri"/>
      <w:sz w:val="22"/>
      <w:szCs w:val="22"/>
      <w:lang w:eastAsia="en-US"/>
    </w:rPr>
  </w:style>
  <w:style w:type="character" w:styleId="1197">
    <w:name w:val="Текст выноски Знак"/>
    <w:next w:val="1197"/>
    <w:link w:val="1181"/>
    <w:uiPriority w:val="99"/>
    <w:semiHidden/>
    <w:rPr>
      <w:rFonts w:ascii="Tahoma" w:hAnsi="Tahoma" w:cs="Tahoma"/>
      <w:sz w:val="16"/>
      <w:szCs w:val="16"/>
    </w:rPr>
  </w:style>
  <w:style w:type="paragraph" w:styleId="1198">
    <w:name w:val="Заголовок"/>
    <w:basedOn w:val="1148"/>
    <w:next w:val="1148"/>
    <w:link w:val="1199"/>
    <w:qFormat/>
    <w:pPr>
      <w:jc w:val="center"/>
      <w:spacing w:before="240" w:after="60"/>
      <w:outlineLvl w:val="0"/>
    </w:pPr>
    <w:rPr>
      <w:rFonts w:ascii="Calibri Light" w:hAnsi="Calibri Light" w:eastAsia="Times New Roman" w:cs="Times New Roman"/>
      <w:b/>
      <w:bCs/>
      <w:sz w:val="32"/>
      <w:szCs w:val="32"/>
    </w:rPr>
  </w:style>
  <w:style w:type="character" w:styleId="1199">
    <w:name w:val="Заголовок Знак"/>
    <w:next w:val="1199"/>
    <w:link w:val="1198"/>
    <w:rPr>
      <w:rFonts w:ascii="Calibri Light" w:hAnsi="Calibri Light" w:eastAsia="Times New Roman" w:cs="Times New Roman"/>
      <w:b/>
      <w:bCs/>
      <w:sz w:val="32"/>
      <w:szCs w:val="32"/>
    </w:rPr>
  </w:style>
  <w:style w:type="paragraph" w:styleId="1200">
    <w:name w:val="Подзаголовок"/>
    <w:basedOn w:val="1148"/>
    <w:next w:val="1148"/>
    <w:link w:val="1201"/>
    <w:qFormat/>
    <w:pPr>
      <w:jc w:val="center"/>
      <w:spacing w:after="60"/>
      <w:outlineLvl w:val="1"/>
    </w:pPr>
    <w:rPr>
      <w:rFonts w:ascii="Calibri Light" w:hAnsi="Calibri Light" w:eastAsia="Times New Roman" w:cs="Times New Roman"/>
    </w:rPr>
  </w:style>
  <w:style w:type="character" w:styleId="1201">
    <w:name w:val="Подзаголовок Знак"/>
    <w:next w:val="1201"/>
    <w:link w:val="1200"/>
    <w:rPr>
      <w:rFonts w:ascii="Calibri Light" w:hAnsi="Calibri Light" w:eastAsia="Times New Roman" w:cs="Times New Roman"/>
      <w:sz w:val="24"/>
      <w:szCs w:val="24"/>
    </w:rPr>
  </w:style>
  <w:style w:type="character" w:styleId="1202">
    <w:name w:val="Заголовок 5 Знак"/>
    <w:next w:val="1202"/>
    <w:link w:val="1153"/>
    <w:rPr>
      <w:b/>
      <w:bCs/>
      <w:i/>
      <w:iCs/>
      <w:sz w:val="26"/>
      <w:szCs w:val="26"/>
    </w:rPr>
  </w:style>
  <w:style w:type="paragraph" w:styleId="1203">
    <w:name w:val="msonormal"/>
    <w:basedOn w:val="1148"/>
    <w:next w:val="1203"/>
    <w:link w:val="1148"/>
    <w:pPr>
      <w:spacing w:before="100" w:beforeAutospacing="1" w:after="100" w:afterAutospacing="1"/>
    </w:pPr>
  </w:style>
  <w:style w:type="character" w:styleId="1204">
    <w:name w:val="Выделение"/>
    <w:next w:val="1204"/>
    <w:link w:val="1148"/>
    <w:qFormat/>
    <w:rPr>
      <w:i/>
      <w:iCs/>
    </w:rPr>
  </w:style>
  <w:style w:type="character" w:styleId="1205">
    <w:name w:val="Заголовок 6 Знак"/>
    <w:next w:val="1205"/>
    <w:link w:val="1154"/>
    <w:rPr>
      <w:b/>
      <w:bCs/>
      <w:sz w:val="24"/>
      <w:szCs w:val="22"/>
    </w:rPr>
  </w:style>
  <w:style w:type="character" w:styleId="1206">
    <w:name w:val="Заголовок 7 Знак"/>
    <w:next w:val="1206"/>
    <w:link w:val="1155"/>
    <w:rPr>
      <w:rFonts w:ascii="Calibri" w:hAnsi="Calibri"/>
      <w:sz w:val="24"/>
      <w:szCs w:val="24"/>
    </w:rPr>
  </w:style>
  <w:style w:type="character" w:styleId="1207">
    <w:name w:val="Заголовок 9 Знак"/>
    <w:next w:val="1207"/>
    <w:link w:val="1157"/>
    <w:rPr>
      <w:rFonts w:ascii="Calibri Light" w:hAnsi="Calibri Light"/>
      <w:sz w:val="22"/>
      <w:szCs w:val="22"/>
    </w:rPr>
  </w:style>
  <w:style w:type="character" w:styleId="1208">
    <w:name w:val="Знак примечания"/>
    <w:next w:val="1208"/>
    <w:link w:val="1148"/>
    <w:rPr>
      <w:sz w:val="16"/>
      <w:szCs w:val="16"/>
    </w:rPr>
  </w:style>
  <w:style w:type="paragraph" w:styleId="1209">
    <w:name w:val="Текст примечания"/>
    <w:basedOn w:val="1148"/>
    <w:next w:val="1209"/>
    <w:link w:val="1210"/>
    <w:rPr>
      <w:sz w:val="20"/>
      <w:szCs w:val="20"/>
    </w:rPr>
  </w:style>
  <w:style w:type="character" w:styleId="1210">
    <w:name w:val="Текст примечания Знак"/>
    <w:basedOn w:val="1158"/>
    <w:next w:val="1210"/>
    <w:link w:val="1209"/>
  </w:style>
  <w:style w:type="paragraph" w:styleId="1211">
    <w:name w:val="Тема примечания"/>
    <w:basedOn w:val="1209"/>
    <w:next w:val="1209"/>
    <w:link w:val="1212"/>
    <w:rPr>
      <w:b/>
      <w:bCs/>
    </w:rPr>
  </w:style>
  <w:style w:type="character" w:styleId="1212">
    <w:name w:val="Тема примечания Знак"/>
    <w:next w:val="1212"/>
    <w:link w:val="1211"/>
    <w:rPr>
      <w:b/>
      <w:bCs/>
    </w:rPr>
  </w:style>
  <w:style w:type="numbering" w:styleId="1213">
    <w:name w:val="Нет списка2"/>
    <w:next w:val="1160"/>
    <w:link w:val="1148"/>
    <w:uiPriority w:val="99"/>
    <w:semiHidden/>
    <w:unhideWhenUsed/>
  </w:style>
  <w:style w:type="character" w:styleId="1214">
    <w:name w:val="Просмотренная гиперссылка"/>
    <w:next w:val="1214"/>
    <w:link w:val="1148"/>
    <w:rPr>
      <w:color w:val="954f72"/>
      <w:u w:val="single"/>
    </w:rPr>
  </w:style>
  <w:style w:type="character" w:styleId="1215" w:default="1">
    <w:name w:val="Default Paragraph Font"/>
    <w:uiPriority w:val="1"/>
    <w:semiHidden/>
    <w:unhideWhenUsed/>
  </w:style>
  <w:style w:type="numbering" w:styleId="1216" w:default="1">
    <w:name w:val="No List"/>
    <w:uiPriority w:val="99"/>
    <w:semiHidden/>
    <w:unhideWhenUsed/>
  </w:style>
  <w:style w:type="table" w:styleId="121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Company>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lastModifiedBy>sadikova-gi</cp:lastModifiedBy>
  <cp:revision>21</cp:revision>
  <dcterms:created xsi:type="dcterms:W3CDTF">2024-07-23T14:00:00Z</dcterms:created>
  <dcterms:modified xsi:type="dcterms:W3CDTF">2025-11-26T09:28:13Z</dcterms:modified>
  <cp:version>1048576</cp:version>
</cp:coreProperties>
</file>