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0"/>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0"/>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0"/>
              <w:jc w:val="center"/>
            </w:pPr>
            <w:r/>
            <w:r/>
          </w:p>
        </w:tc>
      </w:tr>
      <w:tr>
        <w:tblPrEx/>
        <w:trPr>
          <w:trHeight w:val="360"/>
        </w:trPr>
        <w:tc>
          <w:tcPr>
            <w:tcBorders>
              <w:top w:val="single" w:color="008444" w:sz="12" w:space="0"/>
            </w:tcBorders>
            <w:tcW w:w="5000" w:type="pct"/>
            <w:vAlign w:val="center"/>
            <w:textDirection w:val="lrTb"/>
            <w:noWrap w:val="false"/>
          </w:tcPr>
          <w:p>
            <w:pPr>
              <w:pStyle w:val="1090"/>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0"/>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w:t>
            </w:r>
            <w:r>
              <w:rPr>
                <w:bCs/>
                <w:sz w:val="32"/>
                <w:szCs w:val="32"/>
              </w:rPr>
              <w:t xml:space="preserve">17.08.2025</w:t>
            </w:r>
            <w:r>
              <w:rPr>
                <w:bCs/>
                <w:sz w:val="32"/>
                <w:szCs w:val="32"/>
              </w:rPr>
            </w:r>
            <w:r>
              <w:rPr>
                <w:bCs/>
                <w:sz w:val="32"/>
                <w:szCs w:val="32"/>
              </w:rPr>
            </w:r>
          </w:p>
        </w:tc>
      </w:tr>
    </w:tbl>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t xml:space="preserve">Содержание:</w:t>
      </w:r>
      <w:r>
        <w:rPr>
          <w:b/>
          <w:caps/>
          <w:sz w:val="22"/>
          <w:szCs w:val="22"/>
        </w:rPr>
      </w:r>
      <w:r>
        <w:rPr>
          <w:b/>
          <w:caps/>
          <w:sz w:val="22"/>
          <w:szCs w:val="22"/>
        </w:rPr>
      </w:r>
    </w:p>
    <w:p>
      <w:pPr>
        <w:pStyle w:val="1065"/>
      </w:pPr>
      <w:r/>
      <w:r/>
    </w:p>
    <w:p>
      <w:pPr>
        <w:pStyle w:val="1092"/>
        <w:rPr>
          <w:rStyle w:val="1089"/>
        </w:rPr>
      </w:pPr>
      <w:r>
        <w:rPr>
          <w:rStyle w:val="1089"/>
        </w:rPr>
        <w:fldChar w:fldCharType="begin"/>
      </w:r>
      <w:r>
        <w:rPr>
          <w:rStyle w:val="1089"/>
        </w:rPr>
        <w:instrText xml:space="preserve"> TOC \h \z \u \t "Заголовок 4;1" </w:instrText>
      </w:r>
      <w:r>
        <w:rPr>
          <w:rStyle w:val="1089"/>
        </w:rPr>
        <w:fldChar w:fldCharType="separate"/>
      </w:r>
      <w:r>
        <w:rPr>
          <w:rStyle w:val="1089"/>
        </w:rPr>
        <w:fldChar w:fldCharType="begin"/>
      </w:r>
      <w:r>
        <w:rPr>
          <w:rStyle w:val="1089"/>
        </w:rPr>
        <w:instrText xml:space="preserve"> </w:instrText>
      </w:r>
      <w:r>
        <w:rPr>
          <w:rStyle w:val="1089"/>
        </w:rPr>
        <w:instrText xml:space="preserve">HYPERLINK \l "_Toc496201056"</w:instrText>
      </w:r>
      <w:r>
        <w:rPr>
          <w:rStyle w:val="1089"/>
        </w:rPr>
        <w:instrText xml:space="preserve"> </w:instrText>
      </w:r>
      <w:r>
        <w:rPr>
          <w:rStyle w:val="1089"/>
        </w:rPr>
        <w:fldChar w:fldCharType="separate"/>
      </w:r>
      <w:r>
        <w:rPr>
          <w:rStyle w:val="1089"/>
        </w:rPr>
        <w:t xml:space="preserve">1.Открытие и ведение счетов</w:t>
      </w:r>
      <w:r>
        <w:rPr>
          <w:rStyle w:val="1089"/>
        </w:rPr>
        <w:tab/>
      </w:r>
      <w:r>
        <w:rPr>
          <w:rStyle w:val="1089"/>
        </w:rPr>
        <w:fldChar w:fldCharType="begin"/>
      </w:r>
      <w:r>
        <w:rPr>
          <w:rStyle w:val="1089"/>
        </w:rPr>
        <w:instrText xml:space="preserve"> PAGEREF _Toc496201056 \h </w:instrText>
      </w:r>
      <w:r>
        <w:rPr>
          <w:rStyle w:val="1089"/>
        </w:rPr>
        <w:fldChar w:fldCharType="separate"/>
      </w:r>
      <w:r>
        <w:rPr>
          <w:rStyle w:val="1089"/>
        </w:rPr>
        <w:t xml:space="preserve">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"_Toc496201057"</w:instrText>
      </w:r>
      <w:r>
        <w:rPr>
          <w:rStyle w:val="1089"/>
        </w:rPr>
        <w:instrText xml:space="preserve"> </w:instrText>
      </w:r>
      <w:r>
        <w:rPr>
          <w:rStyle w:val="1089"/>
        </w:rPr>
        <w:fldChar w:fldCharType="separate"/>
      </w:r>
      <w:r>
        <w:rPr>
          <w:rStyle w:val="1089"/>
        </w:rPr>
        <w:t xml:space="preserve">2. Кассовые операции*</w:t>
      </w:r>
      <w:r>
        <w:rPr>
          <w:rStyle w:val="1089"/>
        </w:rPr>
        <w:tab/>
      </w:r>
      <w:r>
        <w:rPr>
          <w:rStyle w:val="1089"/>
        </w:rPr>
        <w:fldChar w:fldCharType="begin"/>
      </w:r>
      <w:r>
        <w:rPr>
          <w:rStyle w:val="1089"/>
        </w:rPr>
        <w:instrText xml:space="preserve"> PAGEREF _Toc496201057 \h </w:instrText>
      </w:r>
      <w:r>
        <w:rPr>
          <w:rStyle w:val="1089"/>
        </w:rPr>
        <w:fldChar w:fldCharType="separate"/>
      </w:r>
      <w:r>
        <w:rPr>
          <w:rStyle w:val="1089"/>
        </w:rPr>
        <w:t xml:space="preserve">12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"_Toc496201058"</w:instrText>
      </w:r>
      <w:r>
        <w:rPr>
          <w:rStyle w:val="1089"/>
        </w:rPr>
        <w:instrText xml:space="preserve"> </w:instrText>
      </w:r>
      <w:r>
        <w:rPr>
          <w:rStyle w:val="1089"/>
        </w:rPr>
        <w:fldChar w:fldCharType="separate"/>
      </w:r>
      <w:r>
        <w:rPr>
          <w:rStyle w:val="1089"/>
        </w:rPr>
        <w:t xml:space="preserve">3. Выполнение функций агента валютного контроля</w:t>
      </w:r>
      <w:r>
        <w:rPr>
          <w:rStyle w:val="1089"/>
        </w:rPr>
        <w:tab/>
      </w:r>
      <w:r>
        <w:rPr>
          <w:rStyle w:val="1089"/>
        </w:rPr>
        <w:fldChar w:fldCharType="begin"/>
      </w:r>
      <w:r>
        <w:rPr>
          <w:rStyle w:val="1089"/>
        </w:rPr>
        <w:instrText xml:space="preserve"> PAGEREF _Toc496201058 \h </w:instrText>
      </w:r>
      <w:r>
        <w:rPr>
          <w:rStyle w:val="1089"/>
        </w:rPr>
        <w:fldChar w:fldCharType="separate"/>
      </w:r>
      <w:r>
        <w:rPr>
          <w:rStyle w:val="1089"/>
        </w:rPr>
        <w:t xml:space="preserve">14</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"_Toc496201059"</w:instrText>
      </w:r>
      <w:r>
        <w:rPr>
          <w:rStyle w:val="1089"/>
        </w:rPr>
        <w:instrText xml:space="preserve"> </w:instrText>
      </w:r>
      <w:r>
        <w:rPr>
          <w:rStyle w:val="1089"/>
        </w:rPr>
        <w:fldChar w:fldCharType="separate"/>
      </w:r>
      <w:r>
        <w:rPr>
          <w:rStyle w:val="1089"/>
        </w:rPr>
        <w:t xml:space="preserve">4. Операции с ценными бумагами</w:t>
      </w:r>
      <w:bookmarkStart w:id="0" w:name="_Hlt172191892"/>
      <w:r>
        <w:rPr>
          <w:rStyle w:val="1089"/>
        </w:rPr>
        <w:tab/>
      </w:r>
      <w:bookmarkEnd w:id="0"/>
      <w:r>
        <w:rPr>
          <w:rStyle w:val="1089"/>
        </w:rPr>
        <w:fldChar w:fldCharType="begin"/>
      </w:r>
      <w:r>
        <w:rPr>
          <w:rStyle w:val="1089"/>
        </w:rPr>
        <w:instrText xml:space="preserve"> PAGEREF _Toc496201059 \h </w:instrText>
      </w:r>
      <w:r>
        <w:rPr>
          <w:rStyle w:val="1089"/>
        </w:rPr>
        <w:fldChar w:fldCharType="separate"/>
      </w:r>
      <w:r>
        <w:rPr>
          <w:rStyle w:val="1089"/>
        </w:rPr>
        <w:t xml:space="preserve">18</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"_Toc496201060"</w:instrText>
      </w:r>
      <w:r>
        <w:rPr>
          <w:rStyle w:val="1089"/>
        </w:rPr>
        <w:instrText xml:space="preserve"> </w:instrText>
      </w:r>
      <w:r>
        <w:rPr>
          <w:rStyle w:val="1089"/>
        </w:rPr>
        <w:fldChar w:fldCharType="separate"/>
      </w:r>
      <w:r>
        <w:rPr>
          <w:rStyle w:val="1089"/>
        </w:rPr>
        <w:t xml:space="preserve">5. Документарные операции</w:t>
      </w:r>
      <w:r>
        <w:rPr>
          <w:rStyle w:val="1089"/>
        </w:rPr>
        <w:tab/>
      </w:r>
      <w:bookmarkStart w:id="1" w:name="_Hlt36117052"/>
      <w:r/>
      <w:bookmarkStart w:id="2" w:name="_Hlt36117053"/>
      <w:r>
        <w:rPr>
          <w:rStyle w:val="1089"/>
        </w:rPr>
        <w:fldChar w:fldCharType="begin"/>
      </w:r>
      <w:r>
        <w:rPr>
          <w:rStyle w:val="1089"/>
        </w:rPr>
        <w:instrText xml:space="preserve"> PAGEREF _Toc496201060 \h </w:instrText>
      </w:r>
      <w:r>
        <w:rPr>
          <w:rStyle w:val="1089"/>
        </w:rPr>
        <w:fldChar w:fldCharType="separate"/>
      </w:r>
      <w:r>
        <w:rPr>
          <w:rStyle w:val="1089"/>
        </w:rPr>
        <w:t xml:space="preserve">19</w:t>
      </w:r>
      <w:r>
        <w:rPr>
          <w:rStyle w:val="1089"/>
        </w:rPr>
        <w:fldChar w:fldCharType="end"/>
      </w:r>
      <w:bookmarkEnd w:id="1"/>
      <w:r/>
      <w:bookmarkEnd w:id="2"/>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"_Toc496201061"</w:instrText>
      </w:r>
      <w:r>
        <w:rPr>
          <w:rStyle w:val="1089"/>
        </w:rPr>
        <w:instrText xml:space="preserve"> </w:instrText>
      </w:r>
      <w:r>
        <w:rPr>
          <w:rStyle w:val="1089"/>
        </w:rPr>
        <w:fldChar w:fldCharType="separate"/>
      </w:r>
      <w:r>
        <w:rPr>
          <w:rStyle w:val="1089"/>
        </w:rPr>
        <w:t xml:space="preserve">6. Гарантийные операции</w:t>
      </w:r>
      <w:r>
        <w:rPr>
          <w:rStyle w:val="1089"/>
        </w:rPr>
        <w:tab/>
      </w:r>
      <w:r>
        <w:rPr>
          <w:rStyle w:val="1089"/>
        </w:rPr>
        <w:fldChar w:fldCharType="begin"/>
      </w:r>
      <w:r>
        <w:rPr>
          <w:rStyle w:val="1089"/>
        </w:rPr>
        <w:instrText xml:space="preserve"> PAGEREF _Toc496201061 \h </w:instrText>
      </w:r>
      <w:r>
        <w:rPr>
          <w:rStyle w:val="1089"/>
        </w:rPr>
        <w:fldChar w:fldCharType="separate"/>
      </w:r>
      <w:r>
        <w:rPr>
          <w:rStyle w:val="1089"/>
        </w:rPr>
        <w:t xml:space="preserve">23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"_Toc496201062"</w:instrText>
      </w:r>
      <w:r>
        <w:rPr>
          <w:rStyle w:val="1089"/>
        </w:rPr>
        <w:instrText xml:space="preserve"> </w:instrText>
      </w:r>
      <w:r>
        <w:rPr>
          <w:rStyle w:val="1089"/>
        </w:rPr>
        <w:fldChar w:fldCharType="separate"/>
      </w:r>
      <w:r>
        <w:rPr>
          <w:rStyle w:val="1089"/>
        </w:rPr>
        <w:t xml:space="preserve">7. Дистанционное банковское обслуживание (ДБО)</w:t>
      </w:r>
      <w:r>
        <w:rPr>
          <w:rStyle w:val="1089"/>
        </w:rPr>
        <w:tab/>
      </w:r>
      <w:r>
        <w:rPr>
          <w:rStyle w:val="1089"/>
        </w:rPr>
        <w:fldChar w:fldCharType="begin"/>
      </w:r>
      <w:r>
        <w:rPr>
          <w:rStyle w:val="1089"/>
        </w:rPr>
        <w:instrText xml:space="preserve"> PAGEREF _Toc496201062 \h </w:instrText>
      </w:r>
      <w:r>
        <w:rPr>
          <w:rStyle w:val="1089"/>
        </w:rPr>
        <w:fldChar w:fldCharType="separate"/>
      </w:r>
      <w:r>
        <w:rPr>
          <w:rStyle w:val="1089"/>
        </w:rPr>
        <w:t xml:space="preserve">26</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"_Toc496201063"</w:instrText>
      </w:r>
      <w:r>
        <w:rPr>
          <w:rStyle w:val="1089"/>
        </w:rPr>
        <w:instrText xml:space="preserve"> </w:instrText>
      </w:r>
      <w:r>
        <w:rPr>
          <w:rStyle w:val="1089"/>
        </w:rPr>
        <w:fldChar w:fldCharType="separate"/>
      </w:r>
      <w:r>
        <w:rPr>
          <w:rStyle w:val="1089"/>
        </w:rPr>
        <w:t xml:space="preserve">8. Хранение ценностей клиентов в хранилище ценностей Банка</w:t>
      </w:r>
      <w:r>
        <w:rPr>
          <w:rStyle w:val="1089"/>
        </w:rPr>
        <w:tab/>
      </w:r>
      <w:r>
        <w:rPr>
          <w:rStyle w:val="1089"/>
        </w:rPr>
        <w:fldChar w:fldCharType="begin"/>
      </w:r>
      <w:r>
        <w:rPr>
          <w:rStyle w:val="1089"/>
        </w:rPr>
        <w:instrText xml:space="preserve"> PAGEREF _Toc496201063 \h </w:instrText>
      </w:r>
      <w:r>
        <w:rPr>
          <w:rStyle w:val="1089"/>
        </w:rPr>
        <w:fldChar w:fldCharType="separate"/>
      </w:r>
      <w:r>
        <w:rPr>
          <w:rStyle w:val="1089"/>
        </w:rPr>
        <w:t xml:space="preserve">30</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"_Toc496201064"</w:instrText>
      </w:r>
      <w:r>
        <w:rPr>
          <w:rStyle w:val="1089"/>
        </w:rPr>
        <w:instrText xml:space="preserve"> </w:instrText>
      </w:r>
      <w:r>
        <w:rPr>
          <w:rStyle w:val="1089"/>
        </w:rPr>
        <w:fldChar w:fldCharType="separate"/>
      </w:r>
      <w:r>
        <w:rPr>
          <w:rStyle w:val="1089"/>
        </w:rPr>
        <w:t xml:space="preserve">9. Аренда клиентами индивидуальных сейфовых ячеек</w:t>
      </w:r>
      <w:r>
        <w:rPr>
          <w:rStyle w:val="1089"/>
        </w:rPr>
        <w:tab/>
      </w:r>
      <w:r>
        <w:rPr>
          <w:rStyle w:val="1089"/>
        </w:rPr>
        <w:fldChar w:fldCharType="begin"/>
      </w:r>
      <w:r>
        <w:rPr>
          <w:rStyle w:val="1089"/>
        </w:rPr>
        <w:instrText xml:space="preserve"> PAGEREF _Toc496201064 \h </w:instrText>
      </w:r>
      <w:r>
        <w:rPr>
          <w:rStyle w:val="1089"/>
        </w:rPr>
        <w:fldChar w:fldCharType="separate"/>
      </w:r>
      <w:r>
        <w:rPr>
          <w:rStyle w:val="1089"/>
        </w:rPr>
        <w:t xml:space="preserve">30</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"_Toc496201065"</w:instrText>
      </w:r>
      <w:r>
        <w:rPr>
          <w:rStyle w:val="1089"/>
        </w:rPr>
        <w:instrText xml:space="preserve"> </w:instrText>
      </w:r>
      <w:r>
        <w:rPr>
          <w:rStyle w:val="1089"/>
        </w:rPr>
        <w:fldChar w:fldCharType="separate"/>
      </w:r>
      <w:r>
        <w:rPr>
          <w:rStyle w:val="1089"/>
        </w:rPr>
        <w:t xml:space="preserve">10. Услуги инкассации</w:t>
      </w:r>
      <w:r>
        <w:rPr>
          <w:rStyle w:val="1089"/>
        </w:rPr>
        <w:tab/>
      </w:r>
      <w:r>
        <w:rPr>
          <w:rStyle w:val="1089"/>
        </w:rPr>
        <w:fldChar w:fldCharType="begin"/>
      </w:r>
      <w:r>
        <w:rPr>
          <w:rStyle w:val="1089"/>
        </w:rPr>
        <w:instrText xml:space="preserve"> PAGEREF _Toc496201065 \h </w:instrText>
      </w:r>
      <w:r>
        <w:rPr>
          <w:rStyle w:val="1089"/>
        </w:rPr>
        <w:fldChar w:fldCharType="separate"/>
      </w:r>
      <w:r>
        <w:rPr>
          <w:rStyle w:val="1089"/>
        </w:rPr>
        <w:t xml:space="preserve">31</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"_Toc496201066"</w:instrText>
      </w:r>
      <w:r>
        <w:rPr>
          <w:rStyle w:val="1089"/>
        </w:rPr>
        <w:instrText xml:space="preserve"> </w:instrText>
      </w:r>
      <w:r>
        <w:rPr>
          <w:rStyle w:val="1089"/>
        </w:rPr>
        <w:fldChar w:fldCharType="separate"/>
      </w:r>
      <w:r>
        <w:rPr>
          <w:rStyle w:val="1089"/>
        </w:rPr>
        <w:t xml:space="preserve">11. Операции по покупке-продаже иностранной валюты</w:t>
      </w:r>
      <w:r>
        <w:rPr>
          <w:rStyle w:val="1089"/>
        </w:rPr>
        <w:tab/>
      </w:r>
      <w:r>
        <w:rPr>
          <w:rStyle w:val="1089"/>
        </w:rPr>
        <w:fldChar w:fldCharType="begin"/>
      </w:r>
      <w:r>
        <w:rPr>
          <w:rStyle w:val="1089"/>
        </w:rPr>
        <w:instrText xml:space="preserve"> PAGEREF _Toc496201066 \h </w:instrText>
      </w:r>
      <w:r>
        <w:rPr>
          <w:rStyle w:val="1089"/>
        </w:rPr>
        <w:fldChar w:fldCharType="separate"/>
      </w:r>
      <w:r>
        <w:rPr>
          <w:rStyle w:val="1089"/>
        </w:rPr>
        <w:t xml:space="preserve">32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"_Toc496201067"</w:instrText>
      </w:r>
      <w:r>
        <w:rPr>
          <w:rStyle w:val="1089"/>
        </w:rPr>
        <w:instrText xml:space="preserve"> </w:instrText>
      </w:r>
      <w:r>
        <w:rPr>
          <w:rStyle w:val="1089"/>
        </w:rPr>
        <w:fldChar w:fldCharType="separate"/>
      </w:r>
      <w:r>
        <w:rPr>
          <w:rStyle w:val="1089"/>
        </w:rPr>
        <w:t xml:space="preserve">12. Кредитные операции</w:t>
      </w:r>
      <w:r>
        <w:rPr>
          <w:rStyle w:val="1089"/>
        </w:rPr>
        <w:tab/>
      </w:r>
      <w:r>
        <w:rPr>
          <w:rStyle w:val="1089"/>
        </w:rPr>
        <w:fldChar w:fldCharType="end"/>
      </w:r>
      <w:r>
        <w:rPr>
          <w:rStyle w:val="1089"/>
        </w:rPr>
        <w:t xml:space="preserve">3</w:t>
      </w:r>
      <w:r>
        <w:rPr>
          <w:rStyle w:val="1089"/>
        </w:rPr>
        <w:t xml:space="preserve">4</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"_Toc496201068"</w:instrText>
      </w:r>
      <w:r>
        <w:rPr>
          <w:rStyle w:val="1089"/>
        </w:rPr>
        <w:instrText xml:space="preserve"> </w:instrText>
      </w:r>
      <w:r>
        <w:rPr>
          <w:rStyle w:val="1089"/>
        </w:rPr>
        <w:fldChar w:fldCharType="separate"/>
      </w:r>
      <w:r>
        <w:rPr>
          <w:rStyle w:val="1089"/>
        </w:rPr>
        <w:t xml:space="preserve">13. Обслуживание торгово-сервисных предприятий*, принимающих к оплате платежные карты</w:t>
      </w:r>
      <w:r>
        <w:rPr>
          <w:rStyle w:val="1089"/>
        </w:rPr>
        <w:tab/>
      </w:r>
      <w:r>
        <w:rPr>
          <w:rStyle w:val="1089"/>
        </w:rPr>
        <w:fldChar w:fldCharType="begin"/>
      </w:r>
      <w:r>
        <w:rPr>
          <w:rStyle w:val="1089"/>
        </w:rPr>
        <w:instrText xml:space="preserve"> PAGEREF _Toc496201068 \h </w:instrText>
      </w:r>
      <w:r>
        <w:rPr>
          <w:rStyle w:val="1089"/>
        </w:rPr>
        <w:fldChar w:fldCharType="separate"/>
      </w:r>
      <w:r>
        <w:rPr>
          <w:rStyle w:val="1089"/>
        </w:rPr>
        <w:t xml:space="preserve">42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"_Toc496201069"</w:instrText>
      </w:r>
      <w:r>
        <w:rPr>
          <w:rStyle w:val="1089"/>
        </w:rPr>
        <w:instrText xml:space="preserve"> </w:instrText>
      </w:r>
      <w:r>
        <w:rPr>
          <w:rStyle w:val="1089"/>
        </w:rPr>
        <w:fldChar w:fldCharType="separate"/>
      </w:r>
      <w:r>
        <w:rPr>
          <w:rStyle w:val="1089"/>
        </w:rPr>
        <w:t xml:space="preserve">14. Депозитарные услуги*</w:t>
      </w:r>
      <w:r>
        <w:rPr>
          <w:rStyle w:val="1089"/>
        </w:rPr>
        <w:tab/>
      </w:r>
      <w:r>
        <w:rPr>
          <w:rStyle w:val="1089"/>
        </w:rPr>
        <w:fldChar w:fldCharType="begin"/>
      </w:r>
      <w:r>
        <w:rPr>
          <w:rStyle w:val="1089"/>
        </w:rPr>
        <w:instrText xml:space="preserve"> PAGEREF _Toc496201069 \h </w:instrText>
      </w:r>
      <w:r>
        <w:rPr>
          <w:rStyle w:val="1089"/>
        </w:rPr>
        <w:fldChar w:fldCharType="separate"/>
      </w:r>
      <w:r>
        <w:rPr>
          <w:rStyle w:val="1089"/>
        </w:rPr>
        <w:t xml:space="preserve">43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"_Toc496201070"</w:instrText>
      </w:r>
      <w:r>
        <w:rPr>
          <w:rStyle w:val="1089"/>
        </w:rPr>
        <w:instrText xml:space="preserve"> </w:instrText>
      </w:r>
      <w:r>
        <w:rPr>
          <w:rStyle w:val="1089"/>
        </w:rPr>
        <w:fldChar w:fldCharType="separate"/>
      </w:r>
      <w:r>
        <w:rPr>
          <w:rStyle w:val="1089"/>
        </w:rPr>
        <w:t xml:space="preserve">15. Операции с монетами из драгоценных металлов</w:t>
      </w:r>
      <w:r>
        <w:rPr>
          <w:rStyle w:val="1089"/>
        </w:rPr>
        <w:tab/>
      </w:r>
      <w:r>
        <w:rPr>
          <w:rStyle w:val="1089"/>
        </w:rPr>
        <w:fldChar w:fldCharType="end"/>
      </w:r>
      <w:r>
        <w:rPr>
          <w:rStyle w:val="1089"/>
        </w:rPr>
        <w:t xml:space="preserve">4</w:t>
      </w:r>
      <w:r>
        <w:rPr>
          <w:rStyle w:val="1089"/>
        </w:rPr>
        <w:t xml:space="preserve">2</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"_Toc496201071"</w:instrText>
      </w:r>
      <w:r>
        <w:rPr>
          <w:rStyle w:val="1089"/>
        </w:rPr>
        <w:instrText xml:space="preserve"> </w:instrText>
      </w:r>
      <w:r>
        <w:rPr>
          <w:rStyle w:val="1089"/>
        </w:rPr>
        <w:fldChar w:fldCharType="separate"/>
      </w:r>
      <w:r>
        <w:rPr>
          <w:rStyle w:val="1089"/>
        </w:rPr>
        <w:t xml:space="preserve">16. Операции с драгоценными металлами</w:t>
      </w:r>
      <w:r>
        <w:rPr>
          <w:rStyle w:val="1089"/>
        </w:rPr>
        <w:tab/>
      </w:r>
      <w:r>
        <w:rPr>
          <w:rStyle w:val="1089"/>
        </w:rPr>
        <w:t xml:space="preserve">4</w:t>
      </w:r>
      <w:r>
        <w:rPr>
          <w:rStyle w:val="1089"/>
        </w:rPr>
        <w:fldChar w:fldCharType="end"/>
      </w:r>
      <w:r>
        <w:rPr>
          <w:rStyle w:val="1089"/>
        </w:rPr>
        <w:t xml:space="preserve">2</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"_Toc496201071"</w:instrText>
      </w:r>
      <w:r>
        <w:rPr>
          <w:rStyle w:val="1089"/>
        </w:rPr>
        <w:instrText xml:space="preserve"> </w:instrText>
      </w:r>
      <w:r>
        <w:rPr>
          <w:rStyle w:val="1089"/>
        </w:rPr>
        <w:fldChar w:fldCharType="separate"/>
      </w:r>
      <w:r>
        <w:rPr>
          <w:rStyle w:val="1089"/>
        </w:rPr>
        <w:t xml:space="preserve">1</w:t>
      </w:r>
      <w:r>
        <w:rPr>
          <w:rStyle w:val="1089"/>
        </w:rPr>
        <w:t xml:space="preserve">7</w:t>
      </w:r>
      <w:r>
        <w:rPr>
          <w:rStyle w:val="1089"/>
        </w:rPr>
        <w:t xml:space="preserve">. О</w:t>
      </w:r>
      <w:r>
        <w:rPr>
          <w:rStyle w:val="1089"/>
        </w:rPr>
        <w:t xml:space="preserve">обслуживание с использованием Торговой системы РСХБ-Дилинг АО «Россельхозбпнк»</w:t>
      </w:r>
      <w:r>
        <w:rPr>
          <w:rStyle w:val="1089"/>
        </w:rPr>
        <w:tab/>
      </w:r>
      <w:r>
        <w:rPr>
          <w:rStyle w:val="1089"/>
        </w:rPr>
        <w:t xml:space="preserve">4</w:t>
      </w:r>
      <w:r>
        <w:rPr>
          <w:rStyle w:val="1089"/>
        </w:rPr>
        <w:fldChar w:fldCharType="end"/>
      </w:r>
      <w:r>
        <w:rPr>
          <w:rStyle w:val="1089"/>
        </w:rPr>
        <w:t xml:space="preserve">4</w:t>
      </w:r>
      <w:r>
        <w:rPr>
          <w:rStyle w:val="1089"/>
        </w:rPr>
      </w:r>
      <w:r>
        <w:rPr>
          <w:rStyle w:val="1089"/>
        </w:rPr>
      </w:r>
    </w:p>
    <w:p>
      <w:pPr>
        <w:pStyle w:val="1065"/>
        <w:jc w:val="center"/>
        <w:spacing w:after="120"/>
        <w:rPr>
          <w:b/>
          <w:bCs/>
        </w:rPr>
      </w:pPr>
      <w:r>
        <w:rPr>
          <w:rStyle w:val="1089"/>
          <w:sz w:val="22"/>
          <w:szCs w:val="22"/>
        </w:rPr>
        <w:t xml:space="preserve">18. Операции с использованием цифрового рубля</w:t>
      </w:r>
      <w:r>
        <w:rPr>
          <w:rStyle w:val="1089"/>
          <w:sz w:val="22"/>
          <w:szCs w:val="22"/>
        </w:rPr>
        <w:fldChar w:fldCharType="end"/>
      </w:r>
      <w:r>
        <w:rPr>
          <w:rStyle w:val="1089"/>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b/>
                <w:sz w:val="20"/>
                <w:szCs w:val="20"/>
              </w:rPr>
            </w:pPr>
            <w:r>
              <w:rPr>
                <w:b/>
                <w:sz w:val="20"/>
                <w:szCs w:val="20"/>
              </w:rPr>
              <w:t xml:space="preserve">№</w:t>
            </w:r>
            <w:r>
              <w:rPr>
                <w:b/>
                <w:sz w:val="20"/>
                <w:szCs w:val="20"/>
              </w:rPr>
            </w:r>
            <w:r>
              <w:rPr>
                <w:b/>
                <w:sz w:val="20"/>
                <w:szCs w:val="20"/>
              </w:rPr>
            </w:r>
          </w:p>
          <w:p>
            <w:pPr>
              <w:pStyle w:val="106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65"/>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65"/>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65"/>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65"/>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65"/>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65"/>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
              <w:rPr>
                <w:rFonts w:eastAsia="Calibri"/>
                <w:sz w:val="22"/>
                <w:szCs w:val="22"/>
                <w:highlight w:val="none"/>
                <w:lang w:eastAsia="en-US"/>
              </w:rPr>
              <w:t xml:space="preserve">.</w:t>
            </w:r>
            <w:r>
              <w:rPr>
                <w:rFonts w:eastAsia="Calibri"/>
                <w:sz w:val="22"/>
                <w:szCs w:val="22"/>
                <w:highlight w:val="none"/>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65"/>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65"/>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65"/>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65"/>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65"/>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65"/>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65"/>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65"/>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65"/>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65"/>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65"/>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5"/>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65"/>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65"/>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65"/>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
              <w:rPr>
                <w:rFonts w:eastAsia="Calibri"/>
                <w:sz w:val="22"/>
                <w:szCs w:val="22"/>
                <w:highlight w:val="none"/>
                <w:lang w:eastAsia="en-US"/>
              </w:rPr>
              <w:t xml:space="preserve">.</w:t>
            </w:r>
            <w:r>
              <w:rPr>
                <w:rFonts w:eastAsia="Calibri"/>
                <w:sz w:val="22"/>
                <w:szCs w:val="22"/>
                <w:highlight w:val="none"/>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
              <w:rPr>
                <w:rFonts w:eastAsia="Calibri"/>
                <w:sz w:val="22"/>
                <w:szCs w:val="22"/>
                <w:highlight w:val="none"/>
                <w:lang w:eastAsia="en-US"/>
              </w:rPr>
              <w:t xml:space="preserve">.</w:t>
            </w:r>
            <w:r>
              <w:rPr>
                <w:rFonts w:eastAsia="Calibri"/>
                <w:sz w:val="22"/>
                <w:szCs w:val="22"/>
                <w:highlight w:val="none"/>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
              <w:rPr>
                <w:rFonts w:eastAsia="Calibri"/>
                <w:sz w:val="22"/>
                <w:szCs w:val="22"/>
                <w:highlight w:val="none"/>
                <w:lang w:eastAsia="en-US"/>
              </w:rPr>
              <w:t xml:space="preserve">.</w:t>
            </w:r>
            <w:r>
              <w:rPr>
                <w:rFonts w:eastAsia="Calibri"/>
                <w:sz w:val="22"/>
                <w:szCs w:val="22"/>
                <w:highlight w:val="none"/>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
              <w:rPr>
                <w:rFonts w:eastAsia="Calibri"/>
                <w:sz w:val="22"/>
                <w:szCs w:val="22"/>
                <w:highlight w:val="none"/>
                <w:lang w:eastAsia="en-US"/>
              </w:rPr>
            </w:r>
            <w:r>
              <w:rPr>
                <w:rFonts w:eastAsia="Calibri"/>
                <w:sz w:val="22"/>
                <w:szCs w:val="22"/>
                <w:highlight w:val="none"/>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5"/>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65"/>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65"/>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65"/>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5"/>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65"/>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65"/>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65"/>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65"/>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65"/>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65"/>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65"/>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65"/>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65"/>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65"/>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6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65"/>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6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65"/>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b/>
                <w:bCs/>
                <w:sz w:val="20"/>
                <w:szCs w:val="20"/>
              </w:rPr>
            </w:pPr>
            <w:r>
              <w:rPr>
                <w:b/>
                <w:bCs/>
                <w:sz w:val="20"/>
                <w:szCs w:val="20"/>
              </w:rPr>
              <w:t xml:space="preserve">№</w:t>
            </w:r>
            <w:r>
              <w:rPr>
                <w:b/>
                <w:bCs/>
                <w:sz w:val="20"/>
                <w:szCs w:val="20"/>
              </w:rPr>
            </w:r>
            <w:r>
              <w:rPr>
                <w:b/>
                <w:bCs/>
                <w:sz w:val="20"/>
                <w:szCs w:val="20"/>
              </w:rPr>
            </w:r>
          </w:p>
          <w:p>
            <w:pPr>
              <w:pStyle w:val="1065"/>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65"/>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65"/>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65"/>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65"/>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5"/>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0,5% от суммы,</w:t>
            </w:r>
            <w:r>
              <w:rPr>
                <w:bCs/>
                <w:sz w:val="22"/>
                <w:szCs w:val="22"/>
              </w:rPr>
            </w:r>
            <w:r>
              <w:rPr>
                <w:bCs/>
                <w:sz w:val="22"/>
                <w:szCs w:val="22"/>
              </w:rPr>
            </w:r>
          </w:p>
          <w:p>
            <w:pPr>
              <w:pStyle w:val="1065"/>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2,5% от суммы,</w:t>
            </w:r>
            <w:r>
              <w:rPr>
                <w:bCs/>
                <w:sz w:val="22"/>
                <w:szCs w:val="22"/>
              </w:rPr>
            </w:r>
            <w:r>
              <w:rPr>
                <w:bCs/>
                <w:sz w:val="22"/>
                <w:szCs w:val="22"/>
              </w:rPr>
            </w:r>
          </w:p>
          <w:p>
            <w:pPr>
              <w:pStyle w:val="1065"/>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65"/>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65"/>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65"/>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65"/>
        <w:rPr>
          <w:bCs/>
          <w:sz w:val="20"/>
          <w:szCs w:val="20"/>
          <w:u w:val="single"/>
        </w:rPr>
      </w:pPr>
      <w:r>
        <w:rPr>
          <w:bCs/>
          <w:sz w:val="20"/>
          <w:szCs w:val="20"/>
          <w:u w:val="single"/>
        </w:rPr>
      </w:r>
      <w:r>
        <w:rPr>
          <w:bCs/>
          <w:sz w:val="20"/>
          <w:szCs w:val="20"/>
          <w:u w:val="single"/>
        </w:rPr>
      </w:r>
      <w:r>
        <w:rPr>
          <w:bCs/>
          <w:sz w:val="20"/>
          <w:szCs w:val="20"/>
          <w:u w:val="single"/>
        </w:rPr>
      </w:r>
    </w:p>
    <w:p>
      <w:pPr>
        <w:pStyle w:val="1065"/>
        <w:rPr>
          <w:bCs/>
          <w:sz w:val="20"/>
          <w:szCs w:val="20"/>
          <w:u w:val="single"/>
        </w:rPr>
      </w:pPr>
      <w:r>
        <w:rPr>
          <w:bCs/>
          <w:sz w:val="20"/>
          <w:szCs w:val="20"/>
          <w:u w:val="single"/>
        </w:rPr>
      </w:r>
      <w:r>
        <w:rPr>
          <w:bCs/>
          <w:sz w:val="20"/>
          <w:szCs w:val="20"/>
          <w:u w:val="single"/>
        </w:rPr>
      </w:r>
      <w:r>
        <w:rPr>
          <w:bCs/>
          <w:sz w:val="20"/>
          <w:szCs w:val="20"/>
          <w:u w:val="single"/>
        </w:rPr>
      </w:r>
    </w:p>
    <w:p>
      <w:pPr>
        <w:pStyle w:val="1065"/>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65"/>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65"/>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65"/>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65"/>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65"/>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65"/>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65"/>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65"/>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65"/>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65"/>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65"/>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65"/>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65"/>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65"/>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65"/>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65"/>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65"/>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65"/>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65"/>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65"/>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65"/>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65"/>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65"/>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65"/>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65"/>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65"/>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65"/>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65"/>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65"/>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65"/>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65"/>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65"/>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65"/>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65"/>
              <w:jc w:val="center"/>
              <w:spacing w:before="40"/>
              <w:rPr>
                <w:b/>
                <w:bCs/>
                <w:sz w:val="20"/>
                <w:szCs w:val="20"/>
              </w:rPr>
            </w:pPr>
            <w:r>
              <w:rPr>
                <w:b/>
                <w:bCs/>
                <w:sz w:val="20"/>
                <w:szCs w:val="20"/>
              </w:rPr>
              <w:t xml:space="preserve">№</w:t>
            </w:r>
            <w:r>
              <w:rPr>
                <w:b/>
                <w:bCs/>
                <w:sz w:val="20"/>
                <w:szCs w:val="20"/>
              </w:rPr>
            </w:r>
            <w:r>
              <w:rPr>
                <w:b/>
                <w:bCs/>
                <w:sz w:val="20"/>
                <w:szCs w:val="20"/>
              </w:rPr>
            </w:r>
          </w:p>
          <w:p>
            <w:pPr>
              <w:pStyle w:val="1065"/>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5"/>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65"/>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65"/>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65"/>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65"/>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65"/>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65"/>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65"/>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65"/>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65"/>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65"/>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5"/>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65"/>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65"/>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65"/>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65"/>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65"/>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65"/>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65"/>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65"/>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65"/>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65"/>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65"/>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65"/>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65"/>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65"/>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65"/>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65"/>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65"/>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65"/>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65"/>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65"/>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65"/>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65"/>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65"/>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65"/>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65"/>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65"/>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65"/>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65"/>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65"/>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65"/>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65"/>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65"/>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65"/>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65"/>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65"/>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65"/>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65"/>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65"/>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65"/>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65"/>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65"/>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65"/>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65"/>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65"/>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65"/>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65"/>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65"/>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65"/>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65"/>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65"/>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65"/>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65"/>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65"/>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2 000 руб. </w:t>
            </w:r>
            <w:r>
              <w:rPr>
                <w:bCs/>
                <w:sz w:val="22"/>
                <w:szCs w:val="22"/>
              </w:rPr>
            </w:r>
            <w:r>
              <w:rPr>
                <w:bCs/>
                <w:sz w:val="22"/>
                <w:szCs w:val="22"/>
              </w:rPr>
            </w:r>
          </w:p>
          <w:p>
            <w:pPr>
              <w:pStyle w:val="1065"/>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65"/>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65"/>
              <w:jc w:val="center"/>
              <w:spacing w:after="40"/>
              <w:rPr>
                <w:bCs/>
              </w:rPr>
            </w:pPr>
            <w:r>
              <w:rPr>
                <w:bCs/>
              </w:rPr>
              <w:t xml:space="preserve">2 000 руб. в месяц</w:t>
            </w:r>
            <w:r>
              <w:rPr>
                <w:bCs/>
              </w:rPr>
            </w:r>
            <w:r>
              <w:rPr>
                <w:bCs/>
              </w:rPr>
            </w:r>
          </w:p>
          <w:p>
            <w:pPr>
              <w:pStyle w:val="1065"/>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65"/>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65"/>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65"/>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65"/>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6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65"/>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65"/>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65"/>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65"/>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65"/>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65"/>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65"/>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65"/>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65"/>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65"/>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65"/>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65"/>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65"/>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65"/>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65"/>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65"/>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65"/>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65"/>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65"/>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65"/>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65"/>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65"/>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65"/>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65"/>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65"/>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bl>
    <w:p>
      <w:pPr>
        <w:pStyle w:val="1065"/>
        <w:jc w:val="both"/>
        <w:rPr>
          <w:sz w:val="20"/>
          <w:szCs w:val="20"/>
          <w:lang w:val="en-US"/>
        </w:rPr>
      </w:pPr>
      <w:r>
        <w:rPr>
          <w:sz w:val="20"/>
          <w:szCs w:val="20"/>
          <w:lang w:val="en-US"/>
        </w:rPr>
      </w:r>
      <w:r>
        <w:rPr>
          <w:sz w:val="20"/>
          <w:szCs w:val="20"/>
          <w:lang w:val="en-US"/>
        </w:rPr>
      </w:r>
      <w:r>
        <w:rPr>
          <w:sz w:val="20"/>
          <w:szCs w:val="20"/>
          <w:lang w:val="en-US"/>
        </w:rPr>
      </w:r>
    </w:p>
    <w:p>
      <w:pPr>
        <w:pStyle w:val="1065"/>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65"/>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065"/>
        <w:jc w:val="both"/>
        <w:rPr>
          <w:bCs/>
          <w:iCs/>
          <w:sz w:val="20"/>
          <w:szCs w:val="20"/>
        </w:rPr>
      </w:pPr>
      <w:r>
        <w:rPr>
          <w:bCs/>
          <w:iCs/>
          <w:sz w:val="20"/>
          <w:szCs w:val="20"/>
        </w:rPr>
      </w:r>
      <w:r>
        <w:rPr>
          <w:bCs/>
          <w:iCs/>
          <w:sz w:val="20"/>
          <w:szCs w:val="20"/>
        </w:rPr>
      </w:r>
      <w:r>
        <w:rPr>
          <w:bCs/>
          <w:iCs/>
          <w:sz w:val="20"/>
          <w:szCs w:val="20"/>
        </w:rPr>
      </w:r>
    </w:p>
    <w:p>
      <w:pPr>
        <w:pStyle w:val="106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65"/>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65"/>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65"/>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65"/>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65"/>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65"/>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065"/>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65"/>
        <w:ind w:left="1440" w:right="198" w:hanging="720"/>
        <w:jc w:val="center"/>
        <w:rPr>
          <w:b/>
          <w:bCs/>
        </w:rPr>
      </w:pPr>
      <w:r>
        <w:rPr>
          <w:b/>
          <w:bCs/>
        </w:rPr>
        <w:br w:type="page" w:clear="all"/>
      </w:r>
      <w:r>
        <w:rPr>
          <w:b/>
          <w:bCs/>
        </w:rPr>
      </w:r>
      <w:r>
        <w:rPr>
          <w:b/>
          <w:bCs/>
        </w:rPr>
      </w:r>
    </w:p>
    <w:p>
      <w:pPr>
        <w:pStyle w:val="1065"/>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65"/>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5"/>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65"/>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65"/>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65"/>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65"/>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65"/>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65"/>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65"/>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sz w:val="20"/>
                <w:szCs w:val="20"/>
              </w:rPr>
            </w:pPr>
            <w:r>
              <w:rPr>
                <w:sz w:val="20"/>
                <w:szCs w:val="20"/>
              </w:rPr>
              <w:t xml:space="preserve">Услуга не предоставляется</w:t>
            </w:r>
            <w:r>
              <w:rPr>
                <w:sz w:val="20"/>
                <w:szCs w:val="20"/>
              </w:rPr>
            </w:r>
            <w:r>
              <w:rPr>
                <w:sz w:val="20"/>
                <w:szCs w:val="20"/>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6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sz w:val="20"/>
                <w:szCs w:val="20"/>
              </w:rPr>
            </w:pPr>
            <w:r>
              <w:rPr>
                <w:sz w:val="20"/>
                <w:szCs w:val="20"/>
              </w:rPr>
              <w:t xml:space="preserve">Услуга не предоставляется</w:t>
            </w:r>
            <w:r>
              <w:rPr>
                <w:sz w:val="20"/>
                <w:szCs w:val="20"/>
              </w:rPr>
            </w:r>
            <w:r>
              <w:rPr>
                <w:sz w:val="20"/>
                <w:szCs w:val="20"/>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6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65"/>
        <w:rPr>
          <w:rFonts w:eastAsia="Calibri"/>
          <w:lang w:eastAsia="en-US"/>
        </w:rPr>
      </w:pPr>
      <w:r>
        <w:rPr>
          <w:rFonts w:eastAsia="Calibri"/>
          <w:lang w:eastAsia="en-US"/>
        </w:rPr>
      </w:r>
      <w:r>
        <w:rPr>
          <w:rFonts w:eastAsia="Calibri"/>
          <w:lang w:eastAsia="en-US"/>
        </w:rPr>
      </w:r>
      <w:r>
        <w:rPr>
          <w:rFonts w:eastAsia="Calibri"/>
          <w:lang w:eastAsia="en-US"/>
        </w:rPr>
      </w:r>
    </w:p>
    <w:p>
      <w:pPr>
        <w:pStyle w:val="1065"/>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5"/>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120" w:after="120"/>
              <w:rPr>
                <w:rFonts w:eastAsia="Calibri"/>
                <w:bCs/>
                <w:lang w:eastAsia="en-US"/>
              </w:rPr>
            </w:pPr>
            <w:r>
              <w:rPr>
                <w:rFonts w:eastAsia="Calibri"/>
                <w:bCs/>
                <w:sz w:val="22"/>
                <w:szCs w:val="22"/>
                <w:lang w:eastAsia="en-US"/>
              </w:rPr>
              <w:t xml:space="preserve">10.1.</w:t>
            </w:r>
            <w:r>
              <w:rPr>
                <w:rFonts w:eastAsia="Calibri"/>
                <w:bCs/>
                <w:lang w:eastAsia="en-US"/>
              </w:rPr>
            </w:r>
            <w:r>
              <w:rPr>
                <w:rFonts w:eastAsia="Calibri"/>
                <w:bCs/>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ind w:left="-52" w:firstLine="52"/>
              <w:jc w:val="both"/>
              <w:spacing w:before="120" w:after="120"/>
              <w:rPr>
                <w:rFonts w:eastAsia="Calibri"/>
                <w:bCs/>
                <w:lang w:eastAsia="en-US"/>
              </w:rPr>
            </w:pPr>
            <w:r>
              <w:rPr>
                <w:rFonts w:eastAsia="Calibri"/>
                <w:bCs/>
                <w:sz w:val="22"/>
                <w:szCs w:val="22"/>
                <w:lang w:eastAsia="en-US"/>
              </w:rPr>
              <w:t xml:space="preserve">Инкассация по договору с АО «Россельхозбанк»</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rPr>
                <w:rFonts w:eastAsia="Calibri"/>
                <w:bCs/>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51" w:firstLine="51"/>
              <w:rPr>
                <w:rFonts w:eastAsia="Calibri"/>
                <w:bCs/>
                <w:sz w:val="22"/>
                <w:szCs w:val="22"/>
                <w:lang w:eastAsia="en-US"/>
              </w:rPr>
            </w:pPr>
            <w:r>
              <w:rPr>
                <w:rFonts w:eastAsia="Calibri"/>
                <w:bCs/>
                <w:sz w:val="22"/>
                <w:szCs w:val="22"/>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2"/>
                <w:szCs w:val="22"/>
                <w:lang w:eastAsia="en-US"/>
              </w:rPr>
            </w:r>
            <w:r>
              <w:rPr>
                <w:rFonts w:eastAsia="Calibri"/>
                <w:bCs/>
                <w:sz w:val="22"/>
                <w:szCs w:val="22"/>
                <w:lang w:eastAsia="en-US"/>
              </w:rPr>
            </w:r>
          </w:p>
          <w:p>
            <w:pPr>
              <w:pStyle w:val="1065"/>
              <w:ind w:left="176"/>
              <w:rPr>
                <w:rFonts w:eastAsia="Calibri"/>
                <w:bCs/>
                <w:sz w:val="22"/>
                <w:szCs w:val="22"/>
                <w:lang w:eastAsia="en-US"/>
              </w:rPr>
            </w:pPr>
            <w:r>
              <w:rPr>
                <w:rFonts w:eastAsia="Calibri"/>
                <w:bCs/>
                <w:sz w:val="22"/>
                <w:szCs w:val="22"/>
                <w:lang w:eastAsia="en-US"/>
              </w:rPr>
              <w:t xml:space="preserve">- с доставкой в подразделение Банка*;</w:t>
            </w:r>
            <w:r>
              <w:rPr>
                <w:rFonts w:eastAsia="Calibri"/>
                <w:bCs/>
                <w:sz w:val="22"/>
                <w:szCs w:val="22"/>
                <w:lang w:eastAsia="en-US"/>
              </w:rPr>
            </w:r>
            <w:r>
              <w:rPr>
                <w:rFonts w:eastAsia="Calibri"/>
                <w:bCs/>
                <w:sz w:val="22"/>
                <w:szCs w:val="22"/>
                <w:lang w:eastAsia="en-US"/>
              </w:rPr>
            </w:r>
          </w:p>
          <w:p>
            <w:pPr>
              <w:pStyle w:val="1065"/>
              <w:ind w:left="34" w:hanging="34"/>
              <w:rPr>
                <w:rFonts w:eastAsia="Calibri"/>
                <w:bCs/>
                <w:sz w:val="22"/>
                <w:szCs w:val="22"/>
                <w:lang w:eastAsia="en-US"/>
              </w:rPr>
            </w:pPr>
            <w:r>
              <w:rPr>
                <w:rFonts w:eastAsia="Calibri"/>
                <w:bCs/>
                <w:sz w:val="22"/>
                <w:szCs w:val="22"/>
                <w:lang w:eastAsia="en-US"/>
              </w:rPr>
              <w:t xml:space="preserve">- с доставкой в другую кредитную организацию</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rPr>
                <w:rFonts w:eastAsia="Calibri"/>
                <w:sz w:val="22"/>
                <w:szCs w:val="22"/>
                <w:lang w:eastAsia="en-US"/>
              </w:rPr>
            </w:pPr>
            <w:r>
              <w:rPr>
                <w:rFonts w:eastAsia="Calibri"/>
                <w:sz w:val="22"/>
                <w:szCs w:val="22"/>
                <w:lang w:eastAsia="en-US"/>
              </w:rPr>
              <w:t xml:space="preserve">Не менее 0,15% </w:t>
              <w:br w:type="textWrapping" w:clear="all"/>
              <w:t xml:space="preserve">от суммы </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до 600 000,00** руб. (включительно),</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минимум 360 руб.;</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не менее 0,10% </w:t>
              <w:br w:type="textWrapping" w:clear="all"/>
              <w:t xml:space="preserve">от суммы </w:t>
              <w:br w:type="textWrapping" w:clear="all"/>
              <w:t xml:space="preserve">с 600 000,01** руб. до 5 000 000,00* руб. (включительно); </w:t>
            </w:r>
            <w:r>
              <w:rPr>
                <w:rFonts w:eastAsia="Calibri"/>
                <w:sz w:val="22"/>
                <w:szCs w:val="22"/>
                <w:lang w:eastAsia="en-US"/>
              </w:rPr>
            </w:r>
            <w:r>
              <w:rPr>
                <w:rFonts w:eastAsia="Calibri"/>
                <w:sz w:val="22"/>
                <w:szCs w:val="22"/>
                <w:lang w:eastAsia="en-US"/>
              </w:rPr>
            </w:r>
          </w:p>
          <w:p>
            <w:pPr>
              <w:pStyle w:val="1065"/>
              <w:ind w:left="-51" w:firstLine="51"/>
              <w:jc w:val="center"/>
              <w:rPr>
                <w:rFonts w:eastAsia="Calibri"/>
                <w:bCs/>
                <w:sz w:val="22"/>
                <w:szCs w:val="22"/>
                <w:lang w:eastAsia="en-US"/>
              </w:rPr>
            </w:pPr>
            <w:r>
              <w:rPr>
                <w:rFonts w:eastAsia="Calibri"/>
                <w:sz w:val="22"/>
                <w:szCs w:val="22"/>
                <w:lang w:eastAsia="en-US"/>
              </w:rPr>
              <w:t xml:space="preserve">не менее 0,05% </w:t>
              <w:br w:type="textWrapping" w:clear="all"/>
              <w:t xml:space="preserve">от суммы с 5 000 000,01** руб. и выше»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200"/>
              <w:rPr>
                <w:rFonts w:eastAsia="Calibri"/>
                <w:bCs/>
                <w:lang w:eastAsia="en-US"/>
              </w:rPr>
            </w:pPr>
            <w:r>
              <w:rPr>
                <w:rFonts w:eastAsia="Calibri"/>
                <w:bCs/>
                <w:sz w:val="22"/>
                <w:szCs w:val="22"/>
                <w:lang w:eastAsia="en-US"/>
              </w:rPr>
              <w:t xml:space="preserve">Комиссия взимается от суммы перевозимой денежной наличности за один заезд*** в один объект инкассации****. </w:t>
            </w:r>
            <w:r>
              <w:rPr>
                <w:rFonts w:eastAsia="Calibri"/>
                <w:bCs/>
                <w:lang w:eastAsia="en-US"/>
              </w:rPr>
            </w:r>
            <w:r>
              <w:rPr>
                <w:rFonts w:eastAsia="Calibri"/>
                <w:bCs/>
                <w:lang w:eastAsia="en-US"/>
              </w:rPr>
            </w:r>
          </w:p>
          <w:p>
            <w:pPr>
              <w:pStyle w:val="1065"/>
              <w:jc w:val="both"/>
              <w:spacing w:before="40" w:after="200"/>
              <w:rPr>
                <w:rFonts w:eastAsia="Calibri"/>
                <w:bCs/>
                <w:sz w:val="22"/>
                <w:szCs w:val="22"/>
                <w:lang w:val="en-US" w:eastAsia="en-US"/>
              </w:rPr>
            </w:pPr>
            <w:r>
              <w:rPr>
                <w:rFonts w:eastAsia="Calibri"/>
                <w:bCs/>
                <w:sz w:val="22"/>
                <w:szCs w:val="22"/>
                <w:lang w:eastAsia="en-US"/>
              </w:rPr>
              <w:t xml:space="preserve">Комиссия включает НДС.</w:t>
            </w:r>
            <w:r>
              <w:rPr>
                <w:rFonts w:eastAsia="Calibri"/>
                <w:bCs/>
                <w:sz w:val="22"/>
                <w:szCs w:val="22"/>
                <w:lang w:val="en-US" w:eastAsia="en-US"/>
              </w:rPr>
            </w:r>
            <w:r>
              <w:rPr>
                <w:rFonts w:eastAsia="Calibri"/>
                <w:bCs/>
                <w:sz w:val="22"/>
                <w:szCs w:val="22"/>
                <w:lang w:val="en-US" w:eastAsia="en-US"/>
              </w:rPr>
            </w:r>
          </w:p>
          <w:p>
            <w:pPr>
              <w:pStyle w:val="1065"/>
              <w:ind w:left="-52"/>
              <w:jc w:val="both"/>
              <w:spacing w:before="40" w:after="200"/>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10.1.2.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34"/>
              <w:spacing w:before="40" w:after="40"/>
              <w:rPr>
                <w:rFonts w:eastAsia="Calibri"/>
                <w:bCs/>
                <w:lang w:eastAsia="en-US"/>
              </w:rPr>
            </w:pPr>
            <w:r>
              <w:rPr>
                <w:rFonts w:eastAsia="Calibri"/>
                <w:bCs/>
                <w:sz w:val="22"/>
                <w:szCs w:val="20"/>
                <w:lang w:eastAsia="en-US"/>
              </w:rPr>
              <w:t xml:space="preserve">Прием, пересчет дене</w:t>
            </w:r>
            <w:r>
              <w:rPr>
                <w:rFonts w:eastAsia="Calibri"/>
                <w:bCs/>
                <w:sz w:val="22"/>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0,2% </w:t>
              <w:br w:type="textWrapping" w:clear="all"/>
              <w:t xml:space="preserve">от суммы, </w:t>
              <w:br w:type="textWrapping" w:clear="all"/>
              <w:t xml:space="preserve">минимум 150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ind w:left="34"/>
              <w:jc w:val="both"/>
              <w:spacing w:before="40" w:after="40"/>
              <w:rPr>
                <w:rFonts w:eastAsia="Calibri"/>
                <w:bCs/>
                <w:lang w:eastAsia="en-US"/>
              </w:rPr>
            </w:pPr>
            <w:r>
              <w:rPr>
                <w:rFonts w:eastAsia="Calibri"/>
                <w:bCs/>
                <w:sz w:val="22"/>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34" w:hanging="34"/>
              <w:spacing w:before="40" w:after="40"/>
              <w:rPr>
                <w:rFonts w:eastAsia="Calibri"/>
                <w:bCs/>
                <w:lang w:eastAsia="en-US"/>
              </w:rPr>
            </w:pPr>
            <w:r>
              <w:rPr>
                <w:rFonts w:eastAsia="Calibri"/>
                <w:bCs/>
                <w:sz w:val="22"/>
                <w:szCs w:val="22"/>
                <w:lang w:eastAsia="en-US"/>
              </w:rPr>
              <w:t xml:space="preserve">Доставка денежной наличности Банка России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65"/>
              <w:ind w:left="-52" w:firstLine="52"/>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10.3.</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spacing w:before="40" w:after="40"/>
              <w:rPr>
                <w:rFonts w:eastAsia="Calibri"/>
                <w:bCs/>
                <w:lang w:eastAsia="en-US"/>
              </w:rPr>
            </w:pPr>
            <w:r>
              <w:rPr>
                <w:rFonts w:eastAsia="Calibri"/>
                <w:bCs/>
                <w:sz w:val="22"/>
                <w:szCs w:val="22"/>
                <w:lang w:eastAsia="en-US"/>
              </w:rPr>
              <w:t xml:space="preserve">Доставка монеты/ банкнот Банка России в обмен на банкноты/монеты Банка России другого номинала</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65"/>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bl>
    <w:p>
      <w:pPr>
        <w:pStyle w:val="1065"/>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65"/>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65"/>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65"/>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65"/>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65"/>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rPr>
          <w:b/>
          <w:bCs/>
        </w:rPr>
      </w:pPr>
      <w:r>
        <w:rPr>
          <w:rFonts w:eastAsia="Calibri"/>
          <w:sz w:val="22"/>
          <w:szCs w:val="22"/>
          <w:lang w:eastAsia="en-US"/>
        </w:rPr>
        <w:br w:type="page" w:clear="all"/>
      </w:r>
      <w:r>
        <w:rPr>
          <w:b/>
          <w:bCs/>
        </w:rPr>
      </w:r>
      <w:r>
        <w:rPr>
          <w:b/>
          <w:bCs/>
        </w:rPr>
      </w:r>
    </w:p>
    <w:p>
      <w:pPr>
        <w:pStyle w:val="1065"/>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65"/>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6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65"/>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65"/>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65"/>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65"/>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65"/>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65"/>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5"/>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65"/>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65"/>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65"/>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5"/>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65"/>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5"/>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65"/>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65"/>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65"/>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5"/>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65"/>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65"/>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65"/>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5"/>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65"/>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65"/>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65"/>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5"/>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65"/>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5"/>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65"/>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65"/>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5"/>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65"/>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65"/>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65"/>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65"/>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65"/>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65"/>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65"/>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65"/>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6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65"/>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5"/>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65"/>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65"/>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65"/>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65"/>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65"/>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65"/>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65"/>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65"/>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65"/>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65"/>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rPr>
                <w:sz w:val="22"/>
                <w:szCs w:val="22"/>
              </w:rPr>
            </w:pPr>
            <w:r>
              <w:rPr>
                <w:sz w:val="22"/>
                <w:szCs w:val="22"/>
              </w:rPr>
              <w:t xml:space="preserve">При изменении:</w:t>
            </w:r>
            <w:r>
              <w:rPr>
                <w:sz w:val="22"/>
                <w:szCs w:val="22"/>
              </w:rPr>
            </w:r>
            <w:r>
              <w:rPr>
                <w:sz w:val="22"/>
                <w:szCs w:val="22"/>
              </w:rPr>
            </w:r>
          </w:p>
          <w:p>
            <w:pPr>
              <w:pStyle w:val="1065"/>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65"/>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65"/>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65"/>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65"/>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65"/>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65"/>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65"/>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65"/>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65"/>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65"/>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65"/>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65"/>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65"/>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65"/>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65"/>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65"/>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65"/>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65"/>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65"/>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65"/>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65"/>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65"/>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65"/>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65"/>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65"/>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65"/>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65"/>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65"/>
        <w:ind w:left="284"/>
        <w:jc w:val="both"/>
        <w:rPr>
          <w:bCs/>
          <w:sz w:val="20"/>
          <w:szCs w:val="20"/>
        </w:rPr>
      </w:pPr>
      <w:r>
        <w:rPr>
          <w:bCs/>
          <w:sz w:val="20"/>
          <w:szCs w:val="20"/>
        </w:rPr>
      </w:r>
      <w:r>
        <w:rPr>
          <w:bCs/>
          <w:sz w:val="20"/>
          <w:szCs w:val="20"/>
        </w:rPr>
      </w:r>
      <w:r>
        <w:rPr>
          <w:bCs/>
          <w:sz w:val="20"/>
          <w:szCs w:val="20"/>
        </w:rPr>
      </w:r>
    </w:p>
    <w:p>
      <w:pPr>
        <w:pStyle w:val="1065"/>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65"/>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65"/>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65"/>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65"/>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65"/>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65"/>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65"/>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65"/>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65"/>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highlight w:val="none"/>
          <w:lang w:eastAsia="en-US"/>
        </w:rPr>
      </w:r>
      <w:r>
        <w:rPr>
          <w:rFonts w:eastAsia="Calibri"/>
          <w:sz w:val="20"/>
          <w:szCs w:val="20"/>
          <w:lang w:eastAsia="en-US"/>
        </w:rPr>
      </w:r>
    </w:p>
    <w:p>
      <w:pPr>
        <w:pStyle w:val="1065"/>
        <w:ind w:firstLine="540"/>
        <w:jc w:val="both"/>
        <w:spacing w:before="40"/>
        <w:rPr>
          <w:b/>
          <w:bCs/>
          <w:sz w:val="2"/>
          <w:szCs w:val="2"/>
        </w:rPr>
      </w:pPr>
      <w:r>
        <w:rPr>
          <w:b/>
          <w:bCs/>
          <w:sz w:val="2"/>
          <w:szCs w:val="2"/>
        </w:rPr>
      </w:r>
      <w:r>
        <w:rPr>
          <w:b/>
          <w:bCs/>
          <w:sz w:val="2"/>
          <w:szCs w:val="2"/>
        </w:rPr>
      </w:r>
      <w:r>
        <w:rPr>
          <w:b/>
          <w:bCs/>
          <w:sz w:val="2"/>
          <w:szCs w:val="2"/>
        </w:rPr>
      </w:r>
    </w:p>
    <w:p>
      <w:pPr>
        <w:pStyle w:val="1065"/>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65"/>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65"/>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65"/>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65"/>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65"/>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65"/>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65"/>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65"/>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65"/>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65"/>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65"/>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65"/>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65"/>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65"/>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65"/>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65"/>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65"/>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6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65"/>
              <w:jc w:val="center"/>
              <w:spacing w:before="40" w:after="40"/>
              <w:rPr>
                <w:b/>
              </w:rPr>
            </w:pPr>
            <w:r>
              <w:rPr>
                <w:b/>
              </w:rPr>
            </w:r>
            <w:r>
              <w:rPr>
                <w:b/>
              </w:rPr>
            </w:r>
            <w:r>
              <w:rPr>
                <w:b/>
              </w:rPr>
            </w:r>
          </w:p>
        </w:tc>
      </w:tr>
    </w:tbl>
    <w:p>
      <w:pPr>
        <w:pStyle w:val="1065"/>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65"/>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65"/>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65"/>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46" w:type="pct"/>
            <w:vAlign w:val="center"/>
            <w:textDirection w:val="lrTb"/>
            <w:noWrap w:val="false"/>
          </w:tcPr>
          <w:p>
            <w:pPr>
              <w:pStyle w:val="1065"/>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1505" w:type="pct"/>
            <w:vAlign w:val="center"/>
            <w:textDirection w:val="lrTb"/>
            <w:noWrap w:val="false"/>
          </w:tcPr>
          <w:p>
            <w:pPr>
              <w:pStyle w:val="1065"/>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1312" w:type="pct"/>
            <w:vAlign w:val="center"/>
            <w:textDirection w:val="lrTb"/>
            <w:noWrap w:val="false"/>
          </w:tcPr>
          <w:p>
            <w:pPr>
              <w:pStyle w:val="1065"/>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4463" w:type="pct"/>
            <w:vAlign w:val="top"/>
            <w:textDirection w:val="lrTb"/>
            <w:noWrap w:val="false"/>
          </w:tcPr>
          <w:p>
            <w:pPr>
              <w:pStyle w:val="1065"/>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65"/>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rPr>
                <w:sz w:val="22"/>
                <w:szCs w:val="22"/>
              </w:rPr>
            </w:pPr>
            <w:r>
              <w:rPr>
                <w:sz w:val="22"/>
                <w:szCs w:val="22"/>
              </w:rPr>
              <w:t xml:space="preserve">1 000 руб. </w:t>
            </w:r>
            <w:r>
              <w:rPr>
                <w:sz w:val="22"/>
                <w:szCs w:val="22"/>
              </w:rPr>
            </w:r>
            <w:r>
              <w:rPr>
                <w:sz w:val="22"/>
                <w:szCs w:val="22"/>
              </w:rPr>
            </w:r>
          </w:p>
          <w:p>
            <w:pPr>
              <w:pStyle w:val="1065"/>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1065"/>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4463" w:type="pct"/>
            <w:vAlign w:val="top"/>
            <w:textDirection w:val="lrTb"/>
            <w:noWrap w:val="false"/>
          </w:tcPr>
          <w:p>
            <w:pPr>
              <w:pStyle w:val="1065"/>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65"/>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1646" w:type="pct"/>
            <w:vAlign w:val="top"/>
            <w:textDirection w:val="lrTb"/>
            <w:noWrap w:val="false"/>
          </w:tcPr>
          <w:p>
            <w:pPr>
              <w:pStyle w:val="1065"/>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505"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65"/>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2817"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65"/>
              <w:spacing w:before="40" w:after="40"/>
              <w:rPr>
                <w:bCs/>
                <w:sz w:val="22"/>
                <w:szCs w:val="22"/>
              </w:rPr>
            </w:pPr>
            <w:r>
              <w:rPr>
                <w:bCs/>
                <w:sz w:val="22"/>
                <w:szCs w:val="22"/>
              </w:rPr>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1646"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150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4463" w:type="pct"/>
            <w:vAlign w:val="top"/>
            <w:textDirection w:val="lrTb"/>
            <w:noWrap w:val="false"/>
          </w:tcPr>
          <w:p>
            <w:pPr>
              <w:pStyle w:val="1065"/>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1065"/>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1065"/>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65"/>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1065"/>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1312" w:type="pct"/>
            <w:vAlign w:val="center"/>
            <w:vMerge w:val="restart"/>
            <w:textDirection w:val="lrTb"/>
            <w:noWrap w:val="false"/>
          </w:tcPr>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1493" w:type="pct"/>
            <w:vAlign w:val="top"/>
            <w:vMerge w:val="restart"/>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1065"/>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65"/>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65"/>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65"/>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1312" w:type="pct"/>
            <w:vAlign w:val="top"/>
            <w:textDirection w:val="lrTb"/>
            <w:noWrap w:val="false"/>
          </w:tcPr>
          <w:p>
            <w:pPr>
              <w:pStyle w:val="1065"/>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65"/>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65"/>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1065"/>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1312" w:type="pct"/>
            <w:vAlign w:val="top"/>
            <w:textDirection w:val="lrTb"/>
            <w:noWrap w:val="false"/>
          </w:tcPr>
          <w:p>
            <w:pPr>
              <w:pStyle w:val="1065"/>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600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700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1312" w:type="pct"/>
            <w:vAlign w:val="top"/>
            <w:textDirection w:val="lrTb"/>
            <w:noWrap w:val="false"/>
          </w:tcPr>
          <w:p>
            <w:pPr>
              <w:pStyle w:val="1065"/>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1065"/>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65"/>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100 руб.</w:t>
            </w:r>
            <w:r>
              <w:rPr>
                <w:sz w:val="22"/>
                <w:szCs w:val="22"/>
              </w:rPr>
            </w:r>
            <w:r>
              <w:rPr>
                <w:sz w:val="22"/>
                <w:szCs w:val="22"/>
              </w:rPr>
            </w:r>
          </w:p>
          <w:p>
            <w:pPr>
              <w:pStyle w:val="1065"/>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t xml:space="preserve">0,1% от суммы сделки, </w:t>
            </w:r>
            <w:r>
              <w:rPr>
                <w:sz w:val="22"/>
                <w:szCs w:val="22"/>
              </w:rPr>
            </w:r>
            <w:r>
              <w:rPr>
                <w:sz w:val="22"/>
                <w:szCs w:val="22"/>
              </w:rPr>
            </w:r>
          </w:p>
          <w:p>
            <w:pPr>
              <w:pStyle w:val="1065"/>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1312" w:type="pct"/>
            <w:vAlign w:val="top"/>
            <w:textDirection w:val="lrTb"/>
            <w:noWrap w:val="false"/>
          </w:tcPr>
          <w:p>
            <w:pPr>
              <w:pStyle w:val="1065"/>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1065"/>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1 500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10 000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500 руб.</w:t>
            </w:r>
            <w:r>
              <w:rPr>
                <w:sz w:val="22"/>
                <w:szCs w:val="22"/>
              </w:rPr>
            </w:r>
            <w:r>
              <w:rPr>
                <w:sz w:val="22"/>
                <w:szCs w:val="22"/>
              </w:rPr>
            </w:r>
          </w:p>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1 000 руб.</w:t>
            </w:r>
            <w:r>
              <w:rPr>
                <w:sz w:val="22"/>
                <w:szCs w:val="22"/>
              </w:rPr>
            </w:r>
            <w:r>
              <w:rPr>
                <w:sz w:val="22"/>
                <w:szCs w:val="22"/>
              </w:rPr>
            </w:r>
          </w:p>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rPr>
              <w:t xml:space="preserve">- в рублях</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350 руб.</w:t>
            </w:r>
            <w:r>
              <w:rPr>
                <w:sz w:val="22"/>
                <w:szCs w:val="22"/>
              </w:rPr>
            </w:r>
            <w:r>
              <w:rPr>
                <w:sz w:val="22"/>
                <w:szCs w:val="22"/>
              </w:rPr>
            </w:r>
          </w:p>
        </w:tc>
        <w:tc>
          <w:tcPr>
            <w:tcW w:w="1312" w:type="pct"/>
            <w:vAlign w:val="top"/>
            <w:textDirection w:val="lrTb"/>
            <w:noWrap w:val="false"/>
          </w:tcPr>
          <w:p>
            <w:pPr>
              <w:pStyle w:val="1065"/>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1505" w:type="pct"/>
            <w:vAlign w:val="top"/>
            <w:textDirection w:val="lrTb"/>
            <w:noWrap w:val="false"/>
          </w:tcPr>
          <w:p>
            <w:pPr>
              <w:pStyle w:val="1065"/>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1065"/>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5 000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1646" w:type="pct"/>
            <w:vAlign w:val="top"/>
            <w:textDirection w:val="lrTb"/>
            <w:noWrap w:val="false"/>
          </w:tcPr>
          <w:p>
            <w:pPr>
              <w:pStyle w:val="1065"/>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1065"/>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065"/>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65"/>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65"/>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65"/>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65"/>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65"/>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65"/>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65"/>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65"/>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65"/>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65"/>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65"/>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65"/>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65"/>
        <w:jc w:val="both"/>
      </w:pPr>
      <w:r/>
      <w:r/>
    </w:p>
    <w:p>
      <w:pPr>
        <w:pStyle w:val="1065"/>
        <w:jc w:val="both"/>
      </w:pPr>
      <w:r/>
      <w:r/>
    </w:p>
    <w:p>
      <w:pPr>
        <w:pStyle w:val="1065"/>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65"/>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65"/>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65"/>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65"/>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65"/>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65"/>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65"/>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65"/>
        <w:jc w:val="both"/>
      </w:pPr>
      <w:r/>
      <w:r/>
    </w:p>
    <w:p>
      <w:pPr>
        <w:pStyle w:val="1065"/>
        <w:ind w:left="-425"/>
        <w:jc w:val="center"/>
        <w:keepNext/>
        <w:rPr>
          <w:b/>
          <w:bCs/>
          <w:sz w:val="2"/>
          <w:szCs w:val="2"/>
        </w:rPr>
        <w:outlineLvl w:val="3"/>
      </w:pPr>
      <w:r>
        <w:br w:type="page" w:clear="all"/>
      </w:r>
      <w:r>
        <w:rPr>
          <w:b/>
          <w:bCs/>
          <w:sz w:val="2"/>
          <w:szCs w:val="2"/>
        </w:rPr>
      </w:r>
      <w:r>
        <w:rPr>
          <w:b/>
          <w:bCs/>
          <w:sz w:val="2"/>
          <w:szCs w:val="2"/>
        </w:rPr>
      </w:r>
    </w:p>
    <w:p>
      <w:pPr>
        <w:pStyle w:val="1065"/>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65"/>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6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6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6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65"/>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65"/>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65"/>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65"/>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65"/>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65"/>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65"/>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65"/>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65"/>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5"/>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65"/>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65"/>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5"/>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65"/>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65"/>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65"/>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65"/>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65"/>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p>
            <w:pPr>
              <w:pStyle w:val="1065"/>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bl>
    <w:p>
      <w:pPr>
        <w:pStyle w:val="1065"/>
        <w:jc w:val="both"/>
        <w:rPr>
          <w:bCs/>
          <w:iCs/>
        </w:rPr>
      </w:pPr>
      <w:r>
        <w:rPr>
          <w:bCs/>
          <w:iCs/>
        </w:rPr>
      </w:r>
      <w:r>
        <w:rPr>
          <w:bCs/>
          <w:iCs/>
        </w:rPr>
      </w:r>
      <w:r>
        <w:rPr>
          <w:bCs/>
          <w:iCs/>
        </w:rPr>
      </w:r>
    </w:p>
    <w:p>
      <w:pPr>
        <w:pStyle w:val="106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6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65"/>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65"/>
        <w:ind w:firstLine="540"/>
        <w:jc w:val="both"/>
        <w:spacing w:before="40"/>
        <w:rPr>
          <w:b/>
          <w:bCs/>
          <w:sz w:val="2"/>
          <w:szCs w:val="2"/>
        </w:rPr>
      </w:pPr>
      <w:r>
        <w:rPr>
          <w:b/>
          <w:bCs/>
          <w:sz w:val="2"/>
          <w:szCs w:val="2"/>
        </w:rPr>
      </w:r>
      <w:r>
        <w:rPr>
          <w:b/>
          <w:bCs/>
          <w:sz w:val="2"/>
          <w:szCs w:val="2"/>
        </w:rPr>
      </w:r>
      <w:r>
        <w:rPr>
          <w:b/>
          <w:bCs/>
          <w:sz w:val="2"/>
          <w:szCs w:val="2"/>
        </w:rPr>
      </w:r>
    </w:p>
    <w:p>
      <w:pPr>
        <w:pStyle w:val="1065"/>
        <w:jc w:val="both"/>
        <w:rPr>
          <w:bCs/>
          <w:iCs/>
        </w:rPr>
      </w:pPr>
      <w:r>
        <w:rPr>
          <w:bCs/>
          <w:iCs/>
        </w:rPr>
      </w:r>
      <w:r>
        <w:rPr>
          <w:bCs/>
          <w:iCs/>
        </w:rPr>
      </w:r>
      <w:r>
        <w:rPr>
          <w:bCs/>
          <w:iCs/>
        </w:rPr>
      </w:r>
    </w:p>
    <w:p>
      <w:pPr>
        <w:pStyle w:val="1065"/>
        <w:jc w:val="both"/>
        <w:rPr>
          <w:bCs/>
          <w:iCs/>
        </w:rPr>
      </w:pPr>
      <w:r>
        <w:rPr>
          <w:bCs/>
          <w:iCs/>
        </w:rPr>
      </w:r>
      <w:r>
        <w:rPr>
          <w:bCs/>
          <w:iCs/>
        </w:rPr>
      </w:r>
      <w:r>
        <w:rPr>
          <w:bCs/>
          <w:iCs/>
        </w:rPr>
      </w:r>
    </w:p>
    <w:p>
      <w:pPr>
        <w:pStyle w:val="1065"/>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65"/>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65"/>
              <w:jc w:val="center"/>
              <w:rPr>
                <w:b/>
                <w:sz w:val="22"/>
                <w:szCs w:val="22"/>
              </w:rPr>
            </w:pPr>
            <w:r>
              <w:rPr>
                <w:b/>
                <w:sz w:val="22"/>
                <w:szCs w:val="22"/>
              </w:rPr>
              <w:t xml:space="preserve">№</w:t>
            </w:r>
            <w:r>
              <w:rPr>
                <w:b/>
                <w:sz w:val="22"/>
                <w:szCs w:val="22"/>
              </w:rPr>
            </w:r>
            <w:r>
              <w:rPr>
                <w:b/>
                <w:sz w:val="22"/>
                <w:szCs w:val="22"/>
              </w:rPr>
            </w:r>
          </w:p>
          <w:p>
            <w:pPr>
              <w:pStyle w:val="1065"/>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65"/>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65"/>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6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65"/>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65"/>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6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65"/>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6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65"/>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4"/>
        <w:jc w:val="both"/>
      </w:pPr>
      <w:r>
        <w:rPr>
          <w:rStyle w:val="1107"/>
        </w:rPr>
        <w:footnoteRef/>
      </w:r>
      <w:r>
        <w:rPr>
          <w:rStyle w:val="110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84"/>
        <w:jc w:val="both"/>
        <w:rPr>
          <w:sz w:val="18"/>
          <w:szCs w:val="18"/>
        </w:rPr>
      </w:pPr>
      <w:r>
        <w:rPr>
          <w:rStyle w:val="1107"/>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84"/>
        <w:jc w:val="both"/>
        <w:rPr>
          <w:sz w:val="18"/>
          <w:szCs w:val="18"/>
        </w:rPr>
      </w:pPr>
      <w:r>
        <w:rPr>
          <w:rStyle w:val="1107"/>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84"/>
        <w:jc w:val="both"/>
        <w:rPr>
          <w:sz w:val="18"/>
          <w:szCs w:val="18"/>
        </w:rPr>
      </w:pPr>
      <w:r>
        <w:rPr>
          <w:rStyle w:val="1107"/>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84"/>
        <w:rPr>
          <w:sz w:val="18"/>
          <w:szCs w:val="18"/>
        </w:rPr>
      </w:pPr>
      <w:r>
        <w:rPr>
          <w:rStyle w:val="1107"/>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1"/>
        <w:ind w:left="0"/>
        <w:jc w:val="both"/>
        <w:tabs>
          <w:tab w:val="left" w:pos="426" w:leader="none"/>
        </w:tabs>
      </w:pPr>
      <w:r>
        <w:rPr>
          <w:rStyle w:val="1107"/>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84"/>
        <w:jc w:val="both"/>
      </w:pPr>
      <w:r>
        <w:rPr>
          <w:rStyle w:val="110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65"/>
        <w:ind w:right="-17"/>
        <w:jc w:val="both"/>
        <w:tabs>
          <w:tab w:val="left" w:pos="4464" w:leader="none"/>
          <w:tab w:val="left" w:pos="5760" w:leader="none"/>
        </w:tabs>
        <w:rPr>
          <w:sz w:val="20"/>
          <w:szCs w:val="20"/>
        </w:rPr>
      </w:pPr>
      <w:r>
        <w:rPr>
          <w:rStyle w:val="1107"/>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084"/>
        <w:rPr>
          <w:sz w:val="18"/>
          <w:szCs w:val="18"/>
        </w:rPr>
      </w:pPr>
      <w:r>
        <w:rPr>
          <w:rStyle w:val="110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84"/>
        <w:jc w:val="both"/>
        <w:rPr>
          <w:sz w:val="18"/>
          <w:szCs w:val="18"/>
        </w:rPr>
      </w:pPr>
      <w:r>
        <w:rPr>
          <w:rStyle w:val="1107"/>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084"/>
        <w:jc w:val="both"/>
        <w:rPr>
          <w:sz w:val="18"/>
          <w:szCs w:val="18"/>
        </w:rPr>
      </w:pPr>
      <w:r>
        <w:rPr>
          <w:rStyle w:val="1107"/>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65"/>
        <w:jc w:val="both"/>
        <w:rPr>
          <w:bCs/>
          <w:sz w:val="20"/>
          <w:szCs w:val="20"/>
        </w:rPr>
      </w:pPr>
      <w:r>
        <w:rPr>
          <w:rStyle w:val="1107"/>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4">
    <w:p>
      <w:pPr>
        <w:pStyle w:val="1065"/>
        <w:jc w:val="both"/>
        <w:rPr>
          <w:sz w:val="20"/>
          <w:szCs w:val="20"/>
        </w:rPr>
      </w:pPr>
      <w:r>
        <w:rPr>
          <w:rStyle w:val="1107"/>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rStyle w:val="1087"/>
        <w:sz w:val="20"/>
      </w:rPr>
      <w:framePr w:wrap="around" w:vAnchor="text" w:hAnchor="margin" w:xAlign="center" w:y="1"/>
    </w:pPr>
    <w:r>
      <w:rPr>
        <w:rStyle w:val="1087"/>
        <w:sz w:val="20"/>
      </w:rPr>
      <w:fldChar w:fldCharType="begin"/>
    </w:r>
    <w:r>
      <w:rPr>
        <w:rStyle w:val="1087"/>
        <w:sz w:val="20"/>
      </w:rPr>
      <w:instrText xml:space="preserve">PAGE  </w:instrText>
    </w:r>
    <w:r>
      <w:rPr>
        <w:rStyle w:val="1087"/>
        <w:sz w:val="20"/>
      </w:rPr>
      <w:fldChar w:fldCharType="separate"/>
    </w:r>
    <w:r>
      <w:rPr>
        <w:rStyle w:val="1087"/>
        <w:sz w:val="20"/>
      </w:rPr>
      <w:t xml:space="preserve">78</w:t>
    </w:r>
    <w:r>
      <w:rPr>
        <w:rStyle w:val="1087"/>
        <w:sz w:val="20"/>
      </w:rPr>
      <w:fldChar w:fldCharType="end"/>
    </w:r>
    <w:r>
      <w:rPr>
        <w:rStyle w:val="1087"/>
        <w:sz w:val="20"/>
      </w:rPr>
    </w:r>
    <w:r>
      <w:rPr>
        <w:rStyle w:val="1087"/>
        <w:sz w:val="20"/>
      </w:rPr>
    </w:r>
  </w:p>
  <w:p>
    <w:pPr>
      <w:pStyle w:val="108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rStyle w:val="1087"/>
      </w:rPr>
      <w:framePr w:wrap="around" w:vAnchor="text" w:hAnchor="margin" w:xAlign="center" w:y="1"/>
    </w:pPr>
    <w:r>
      <w:rPr>
        <w:rStyle w:val="1087"/>
      </w:rPr>
      <w:fldChar w:fldCharType="begin"/>
    </w:r>
    <w:r>
      <w:rPr>
        <w:rStyle w:val="1087"/>
      </w:rPr>
      <w:instrText xml:space="preserve">PAGE  </w:instrText>
    </w:r>
    <w:r>
      <w:rPr>
        <w:rStyle w:val="1087"/>
      </w:rPr>
      <w:fldChar w:fldCharType="end"/>
    </w:r>
    <w:r>
      <w:rPr>
        <w:rStyle w:val="1087"/>
      </w:rPr>
    </w:r>
    <w:r>
      <w:rPr>
        <w:rStyle w:val="1087"/>
      </w:rPr>
    </w:r>
  </w:p>
  <w:p>
    <w:pPr>
      <w:pStyle w:val="108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7">
    <w:name w:val="Heading 1"/>
    <w:basedOn w:val="1065"/>
    <w:next w:val="1065"/>
    <w:link w:val="888"/>
    <w:uiPriority w:val="9"/>
    <w:qFormat/>
    <w:pPr>
      <w:keepLines/>
      <w:keepNext/>
      <w:spacing w:before="480" w:after="200"/>
      <w:outlineLvl w:val="0"/>
    </w:pPr>
    <w:rPr>
      <w:rFonts w:ascii="Arial" w:hAnsi="Arial" w:eastAsia="Arial" w:cs="Arial"/>
      <w:sz w:val="40"/>
      <w:szCs w:val="40"/>
    </w:rPr>
  </w:style>
  <w:style w:type="character" w:styleId="888">
    <w:name w:val="Heading 1 Char"/>
    <w:link w:val="887"/>
    <w:uiPriority w:val="9"/>
    <w:rPr>
      <w:rFonts w:ascii="Arial" w:hAnsi="Arial" w:eastAsia="Arial" w:cs="Arial"/>
      <w:sz w:val="40"/>
      <w:szCs w:val="40"/>
    </w:rPr>
  </w:style>
  <w:style w:type="paragraph" w:styleId="889">
    <w:name w:val="Heading 2"/>
    <w:basedOn w:val="1065"/>
    <w:next w:val="1065"/>
    <w:link w:val="890"/>
    <w:uiPriority w:val="9"/>
    <w:unhideWhenUsed/>
    <w:qFormat/>
    <w:pPr>
      <w:keepLines/>
      <w:keepNext/>
      <w:spacing w:before="360" w:after="200"/>
      <w:outlineLvl w:val="1"/>
    </w:pPr>
    <w:rPr>
      <w:rFonts w:ascii="Arial" w:hAnsi="Arial" w:eastAsia="Arial" w:cs="Arial"/>
      <w:sz w:val="34"/>
    </w:rPr>
  </w:style>
  <w:style w:type="character" w:styleId="890">
    <w:name w:val="Heading 2 Char"/>
    <w:link w:val="889"/>
    <w:uiPriority w:val="9"/>
    <w:rPr>
      <w:rFonts w:ascii="Arial" w:hAnsi="Arial" w:eastAsia="Arial" w:cs="Arial"/>
      <w:sz w:val="34"/>
    </w:rPr>
  </w:style>
  <w:style w:type="paragraph" w:styleId="891">
    <w:name w:val="Heading 3"/>
    <w:basedOn w:val="1065"/>
    <w:next w:val="1065"/>
    <w:link w:val="892"/>
    <w:uiPriority w:val="9"/>
    <w:unhideWhenUsed/>
    <w:qFormat/>
    <w:pPr>
      <w:keepLines/>
      <w:keepNext/>
      <w:spacing w:before="320" w:after="200"/>
      <w:outlineLvl w:val="2"/>
    </w:pPr>
    <w:rPr>
      <w:rFonts w:ascii="Arial" w:hAnsi="Arial" w:eastAsia="Arial" w:cs="Arial"/>
      <w:sz w:val="30"/>
      <w:szCs w:val="30"/>
    </w:rPr>
  </w:style>
  <w:style w:type="character" w:styleId="892">
    <w:name w:val="Heading 3 Char"/>
    <w:link w:val="891"/>
    <w:uiPriority w:val="9"/>
    <w:rPr>
      <w:rFonts w:ascii="Arial" w:hAnsi="Arial" w:eastAsia="Arial" w:cs="Arial"/>
      <w:sz w:val="30"/>
      <w:szCs w:val="30"/>
    </w:rPr>
  </w:style>
  <w:style w:type="paragraph" w:styleId="893">
    <w:name w:val="Heading 4"/>
    <w:basedOn w:val="1065"/>
    <w:next w:val="1065"/>
    <w:link w:val="894"/>
    <w:uiPriority w:val="9"/>
    <w:unhideWhenUsed/>
    <w:qFormat/>
    <w:pPr>
      <w:keepLines/>
      <w:keepNext/>
      <w:spacing w:before="320" w:after="200"/>
      <w:outlineLvl w:val="3"/>
    </w:pPr>
    <w:rPr>
      <w:rFonts w:ascii="Arial" w:hAnsi="Arial" w:eastAsia="Arial" w:cs="Arial"/>
      <w:b/>
      <w:bCs/>
      <w:sz w:val="26"/>
      <w:szCs w:val="26"/>
    </w:rPr>
  </w:style>
  <w:style w:type="character" w:styleId="894">
    <w:name w:val="Heading 4 Char"/>
    <w:link w:val="893"/>
    <w:uiPriority w:val="9"/>
    <w:rPr>
      <w:rFonts w:ascii="Arial" w:hAnsi="Arial" w:eastAsia="Arial" w:cs="Arial"/>
      <w:b/>
      <w:bCs/>
      <w:sz w:val="26"/>
      <w:szCs w:val="26"/>
    </w:rPr>
  </w:style>
  <w:style w:type="paragraph" w:styleId="895">
    <w:name w:val="Heading 5"/>
    <w:basedOn w:val="1065"/>
    <w:next w:val="1065"/>
    <w:link w:val="896"/>
    <w:uiPriority w:val="9"/>
    <w:unhideWhenUsed/>
    <w:qFormat/>
    <w:pPr>
      <w:keepLines/>
      <w:keepNext/>
      <w:spacing w:before="320" w:after="200"/>
      <w:outlineLvl w:val="4"/>
    </w:pPr>
    <w:rPr>
      <w:rFonts w:ascii="Arial" w:hAnsi="Arial" w:eastAsia="Arial" w:cs="Arial"/>
      <w:b/>
      <w:bCs/>
      <w:sz w:val="24"/>
      <w:szCs w:val="24"/>
    </w:rPr>
  </w:style>
  <w:style w:type="character" w:styleId="896">
    <w:name w:val="Heading 5 Char"/>
    <w:link w:val="895"/>
    <w:uiPriority w:val="9"/>
    <w:rPr>
      <w:rFonts w:ascii="Arial" w:hAnsi="Arial" w:eastAsia="Arial" w:cs="Arial"/>
      <w:b/>
      <w:bCs/>
      <w:sz w:val="24"/>
      <w:szCs w:val="24"/>
    </w:rPr>
  </w:style>
  <w:style w:type="paragraph" w:styleId="897">
    <w:name w:val="Heading 6"/>
    <w:basedOn w:val="1065"/>
    <w:next w:val="1065"/>
    <w:link w:val="898"/>
    <w:uiPriority w:val="9"/>
    <w:unhideWhenUsed/>
    <w:qFormat/>
    <w:pPr>
      <w:keepLines/>
      <w:keepNext/>
      <w:spacing w:before="320" w:after="200"/>
      <w:outlineLvl w:val="5"/>
    </w:pPr>
    <w:rPr>
      <w:rFonts w:ascii="Arial" w:hAnsi="Arial" w:eastAsia="Arial" w:cs="Arial"/>
      <w:b/>
      <w:bCs/>
      <w:sz w:val="22"/>
      <w:szCs w:val="22"/>
    </w:rPr>
  </w:style>
  <w:style w:type="character" w:styleId="898">
    <w:name w:val="Heading 6 Char"/>
    <w:link w:val="897"/>
    <w:uiPriority w:val="9"/>
    <w:rPr>
      <w:rFonts w:ascii="Arial" w:hAnsi="Arial" w:eastAsia="Arial" w:cs="Arial"/>
      <w:b/>
      <w:bCs/>
      <w:sz w:val="22"/>
      <w:szCs w:val="22"/>
    </w:rPr>
  </w:style>
  <w:style w:type="paragraph" w:styleId="899">
    <w:name w:val="Heading 7"/>
    <w:basedOn w:val="1065"/>
    <w:next w:val="1065"/>
    <w:link w:val="900"/>
    <w:uiPriority w:val="9"/>
    <w:unhideWhenUsed/>
    <w:qFormat/>
    <w:pPr>
      <w:keepLines/>
      <w:keepNext/>
      <w:spacing w:before="320" w:after="200"/>
      <w:outlineLvl w:val="6"/>
    </w:pPr>
    <w:rPr>
      <w:rFonts w:ascii="Arial" w:hAnsi="Arial" w:eastAsia="Arial" w:cs="Arial"/>
      <w:b/>
      <w:bCs/>
      <w:i/>
      <w:iCs/>
      <w:sz w:val="22"/>
      <w:szCs w:val="22"/>
    </w:rPr>
  </w:style>
  <w:style w:type="character" w:styleId="900">
    <w:name w:val="Heading 7 Char"/>
    <w:link w:val="899"/>
    <w:uiPriority w:val="9"/>
    <w:rPr>
      <w:rFonts w:ascii="Arial" w:hAnsi="Arial" w:eastAsia="Arial" w:cs="Arial"/>
      <w:b/>
      <w:bCs/>
      <w:i/>
      <w:iCs/>
      <w:sz w:val="22"/>
      <w:szCs w:val="22"/>
    </w:rPr>
  </w:style>
  <w:style w:type="paragraph" w:styleId="901">
    <w:name w:val="Heading 8"/>
    <w:basedOn w:val="1065"/>
    <w:next w:val="1065"/>
    <w:link w:val="902"/>
    <w:uiPriority w:val="9"/>
    <w:unhideWhenUsed/>
    <w:qFormat/>
    <w:pPr>
      <w:keepLines/>
      <w:keepNext/>
      <w:spacing w:before="320" w:after="200"/>
      <w:outlineLvl w:val="7"/>
    </w:pPr>
    <w:rPr>
      <w:rFonts w:ascii="Arial" w:hAnsi="Arial" w:eastAsia="Arial" w:cs="Arial"/>
      <w:i/>
      <w:iCs/>
      <w:sz w:val="22"/>
      <w:szCs w:val="22"/>
    </w:rPr>
  </w:style>
  <w:style w:type="character" w:styleId="902">
    <w:name w:val="Heading 8 Char"/>
    <w:link w:val="901"/>
    <w:uiPriority w:val="9"/>
    <w:rPr>
      <w:rFonts w:ascii="Arial" w:hAnsi="Arial" w:eastAsia="Arial" w:cs="Arial"/>
      <w:i/>
      <w:iCs/>
      <w:sz w:val="22"/>
      <w:szCs w:val="22"/>
    </w:rPr>
  </w:style>
  <w:style w:type="paragraph" w:styleId="903">
    <w:name w:val="Heading 9"/>
    <w:basedOn w:val="1065"/>
    <w:next w:val="1065"/>
    <w:link w:val="904"/>
    <w:uiPriority w:val="9"/>
    <w:unhideWhenUsed/>
    <w:qFormat/>
    <w:pPr>
      <w:keepLines/>
      <w:keepNext/>
      <w:spacing w:before="320" w:after="200"/>
      <w:outlineLvl w:val="8"/>
    </w:pPr>
    <w:rPr>
      <w:rFonts w:ascii="Arial" w:hAnsi="Arial" w:eastAsia="Arial" w:cs="Arial"/>
      <w:i/>
      <w:iCs/>
      <w:sz w:val="21"/>
      <w:szCs w:val="21"/>
    </w:rPr>
  </w:style>
  <w:style w:type="character" w:styleId="904">
    <w:name w:val="Heading 9 Char"/>
    <w:link w:val="903"/>
    <w:uiPriority w:val="9"/>
    <w:rPr>
      <w:rFonts w:ascii="Arial" w:hAnsi="Arial" w:eastAsia="Arial" w:cs="Arial"/>
      <w:i/>
      <w:iCs/>
      <w:sz w:val="21"/>
      <w:szCs w:val="21"/>
    </w:rPr>
  </w:style>
  <w:style w:type="paragraph" w:styleId="905">
    <w:name w:val="List Paragraph"/>
    <w:basedOn w:val="1065"/>
    <w:uiPriority w:val="34"/>
    <w:qFormat/>
    <w:pPr>
      <w:contextualSpacing/>
      <w:ind w:left="720"/>
    </w:pPr>
  </w:style>
  <w:style w:type="paragraph" w:styleId="906">
    <w:name w:val="No Spacing"/>
    <w:uiPriority w:val="1"/>
    <w:qFormat/>
    <w:pPr>
      <w:spacing w:before="0" w:after="0" w:line="240" w:lineRule="auto"/>
    </w:pPr>
  </w:style>
  <w:style w:type="paragraph" w:styleId="907">
    <w:name w:val="Title"/>
    <w:basedOn w:val="1065"/>
    <w:next w:val="1065"/>
    <w:link w:val="908"/>
    <w:uiPriority w:val="10"/>
    <w:qFormat/>
    <w:pPr>
      <w:contextualSpacing/>
      <w:spacing w:before="300" w:after="200"/>
    </w:pPr>
    <w:rPr>
      <w:sz w:val="48"/>
      <w:szCs w:val="48"/>
    </w:rPr>
  </w:style>
  <w:style w:type="character" w:styleId="908">
    <w:name w:val="Title Char"/>
    <w:link w:val="907"/>
    <w:uiPriority w:val="10"/>
    <w:rPr>
      <w:sz w:val="48"/>
      <w:szCs w:val="48"/>
    </w:rPr>
  </w:style>
  <w:style w:type="paragraph" w:styleId="909">
    <w:name w:val="Subtitle"/>
    <w:basedOn w:val="1065"/>
    <w:next w:val="1065"/>
    <w:link w:val="910"/>
    <w:uiPriority w:val="11"/>
    <w:qFormat/>
    <w:pPr>
      <w:spacing w:before="200" w:after="200"/>
    </w:pPr>
    <w:rPr>
      <w:sz w:val="24"/>
      <w:szCs w:val="24"/>
    </w:rPr>
  </w:style>
  <w:style w:type="character" w:styleId="910">
    <w:name w:val="Subtitle Char"/>
    <w:link w:val="909"/>
    <w:uiPriority w:val="11"/>
    <w:rPr>
      <w:sz w:val="24"/>
      <w:szCs w:val="24"/>
    </w:rPr>
  </w:style>
  <w:style w:type="paragraph" w:styleId="911">
    <w:name w:val="Quote"/>
    <w:basedOn w:val="1065"/>
    <w:next w:val="1065"/>
    <w:link w:val="912"/>
    <w:uiPriority w:val="29"/>
    <w:qFormat/>
    <w:pPr>
      <w:ind w:left="720" w:right="720"/>
    </w:pPr>
    <w:rPr>
      <w:i/>
    </w:rPr>
  </w:style>
  <w:style w:type="character" w:styleId="912">
    <w:name w:val="Quote Char"/>
    <w:link w:val="911"/>
    <w:uiPriority w:val="29"/>
    <w:rPr>
      <w:i/>
    </w:rPr>
  </w:style>
  <w:style w:type="paragraph" w:styleId="913">
    <w:name w:val="Intense Quote"/>
    <w:basedOn w:val="1065"/>
    <w:next w:val="1065"/>
    <w:link w:val="9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14">
    <w:name w:val="Intense Quote Char"/>
    <w:link w:val="913"/>
    <w:uiPriority w:val="30"/>
    <w:rPr>
      <w:i/>
    </w:rPr>
  </w:style>
  <w:style w:type="paragraph" w:styleId="915">
    <w:name w:val="Header"/>
    <w:basedOn w:val="1065"/>
    <w:link w:val="916"/>
    <w:uiPriority w:val="99"/>
    <w:unhideWhenUsed/>
    <w:pPr>
      <w:spacing w:after="0" w:line="240" w:lineRule="auto"/>
      <w:tabs>
        <w:tab w:val="center" w:pos="7143" w:leader="none"/>
        <w:tab w:val="right" w:pos="14287" w:leader="none"/>
      </w:tabs>
    </w:pPr>
  </w:style>
  <w:style w:type="character" w:styleId="916">
    <w:name w:val="Header Char"/>
    <w:link w:val="915"/>
    <w:uiPriority w:val="99"/>
  </w:style>
  <w:style w:type="paragraph" w:styleId="917">
    <w:name w:val="Footer"/>
    <w:basedOn w:val="1065"/>
    <w:link w:val="920"/>
    <w:uiPriority w:val="99"/>
    <w:unhideWhenUsed/>
    <w:pPr>
      <w:spacing w:after="0" w:line="240" w:lineRule="auto"/>
      <w:tabs>
        <w:tab w:val="center" w:pos="7143" w:leader="none"/>
        <w:tab w:val="right" w:pos="14287" w:leader="none"/>
      </w:tabs>
    </w:pPr>
  </w:style>
  <w:style w:type="character" w:styleId="918">
    <w:name w:val="Footer Char"/>
    <w:link w:val="917"/>
    <w:uiPriority w:val="99"/>
  </w:style>
  <w:style w:type="paragraph" w:styleId="919">
    <w:name w:val="Caption"/>
    <w:basedOn w:val="1065"/>
    <w:next w:val="1065"/>
    <w:uiPriority w:val="35"/>
    <w:semiHidden/>
    <w:unhideWhenUsed/>
    <w:qFormat/>
    <w:pPr>
      <w:spacing w:line="276" w:lineRule="auto"/>
    </w:pPr>
    <w:rPr>
      <w:b/>
      <w:bCs/>
      <w:color w:val="4f81bd" w:themeColor="accent1"/>
      <w:sz w:val="18"/>
      <w:szCs w:val="18"/>
    </w:rPr>
  </w:style>
  <w:style w:type="character" w:styleId="920">
    <w:name w:val="Caption Char"/>
    <w:basedOn w:val="919"/>
    <w:link w:val="917"/>
    <w:uiPriority w:val="99"/>
  </w:style>
  <w:style w:type="table" w:styleId="92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2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2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2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2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2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2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3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3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3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3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3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3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5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5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5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5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5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5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6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6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6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6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7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7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7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7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7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7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8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8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8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8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8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9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9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9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9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9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0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0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1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1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1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1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1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1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2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2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2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2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2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2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4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4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4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47">
    <w:name w:val="Hyperlink"/>
    <w:uiPriority w:val="99"/>
    <w:unhideWhenUsed/>
    <w:rPr>
      <w:color w:val="0000ff" w:themeColor="hyperlink"/>
      <w:u w:val="single"/>
    </w:rPr>
  </w:style>
  <w:style w:type="paragraph" w:styleId="1048">
    <w:name w:val="footnote text"/>
    <w:basedOn w:val="1065"/>
    <w:link w:val="1049"/>
    <w:uiPriority w:val="99"/>
    <w:semiHidden/>
    <w:unhideWhenUsed/>
    <w:pPr>
      <w:spacing w:after="40" w:line="240" w:lineRule="auto"/>
    </w:pPr>
    <w:rPr>
      <w:sz w:val="18"/>
    </w:rPr>
  </w:style>
  <w:style w:type="character" w:styleId="1049">
    <w:name w:val="Footnote Text Char"/>
    <w:link w:val="1048"/>
    <w:uiPriority w:val="99"/>
    <w:rPr>
      <w:sz w:val="18"/>
    </w:rPr>
  </w:style>
  <w:style w:type="character" w:styleId="1050">
    <w:name w:val="footnote reference"/>
    <w:uiPriority w:val="99"/>
    <w:unhideWhenUsed/>
    <w:rPr>
      <w:vertAlign w:val="superscript"/>
    </w:rPr>
  </w:style>
  <w:style w:type="paragraph" w:styleId="1051">
    <w:name w:val="endnote text"/>
    <w:basedOn w:val="1065"/>
    <w:link w:val="1052"/>
    <w:uiPriority w:val="99"/>
    <w:semiHidden/>
    <w:unhideWhenUsed/>
    <w:pPr>
      <w:spacing w:after="0" w:line="240" w:lineRule="auto"/>
    </w:pPr>
    <w:rPr>
      <w:sz w:val="20"/>
    </w:rPr>
  </w:style>
  <w:style w:type="character" w:styleId="1052">
    <w:name w:val="Endnote Text Char"/>
    <w:link w:val="1051"/>
    <w:uiPriority w:val="99"/>
    <w:rPr>
      <w:sz w:val="20"/>
    </w:rPr>
  </w:style>
  <w:style w:type="character" w:styleId="1053">
    <w:name w:val="endnote reference"/>
    <w:uiPriority w:val="99"/>
    <w:semiHidden/>
    <w:unhideWhenUsed/>
    <w:rPr>
      <w:vertAlign w:val="superscript"/>
    </w:rPr>
  </w:style>
  <w:style w:type="paragraph" w:styleId="1054">
    <w:name w:val="toc 1"/>
    <w:basedOn w:val="1065"/>
    <w:next w:val="1065"/>
    <w:uiPriority w:val="39"/>
    <w:unhideWhenUsed/>
    <w:pPr>
      <w:ind w:left="0" w:right="0" w:firstLine="0"/>
      <w:spacing w:after="57"/>
    </w:pPr>
  </w:style>
  <w:style w:type="paragraph" w:styleId="1055">
    <w:name w:val="toc 2"/>
    <w:basedOn w:val="1065"/>
    <w:next w:val="1065"/>
    <w:uiPriority w:val="39"/>
    <w:unhideWhenUsed/>
    <w:pPr>
      <w:ind w:left="283" w:right="0" w:firstLine="0"/>
      <w:spacing w:after="57"/>
    </w:pPr>
  </w:style>
  <w:style w:type="paragraph" w:styleId="1056">
    <w:name w:val="toc 3"/>
    <w:basedOn w:val="1065"/>
    <w:next w:val="1065"/>
    <w:uiPriority w:val="39"/>
    <w:unhideWhenUsed/>
    <w:pPr>
      <w:ind w:left="567" w:right="0" w:firstLine="0"/>
      <w:spacing w:after="57"/>
    </w:pPr>
  </w:style>
  <w:style w:type="paragraph" w:styleId="1057">
    <w:name w:val="toc 4"/>
    <w:basedOn w:val="1065"/>
    <w:next w:val="1065"/>
    <w:uiPriority w:val="39"/>
    <w:unhideWhenUsed/>
    <w:pPr>
      <w:ind w:left="850" w:right="0" w:firstLine="0"/>
      <w:spacing w:after="57"/>
    </w:pPr>
  </w:style>
  <w:style w:type="paragraph" w:styleId="1058">
    <w:name w:val="toc 5"/>
    <w:basedOn w:val="1065"/>
    <w:next w:val="1065"/>
    <w:uiPriority w:val="39"/>
    <w:unhideWhenUsed/>
    <w:pPr>
      <w:ind w:left="1134" w:right="0" w:firstLine="0"/>
      <w:spacing w:after="57"/>
    </w:pPr>
  </w:style>
  <w:style w:type="paragraph" w:styleId="1059">
    <w:name w:val="toc 6"/>
    <w:basedOn w:val="1065"/>
    <w:next w:val="1065"/>
    <w:uiPriority w:val="39"/>
    <w:unhideWhenUsed/>
    <w:pPr>
      <w:ind w:left="1417" w:right="0" w:firstLine="0"/>
      <w:spacing w:after="57"/>
    </w:pPr>
  </w:style>
  <w:style w:type="paragraph" w:styleId="1060">
    <w:name w:val="toc 7"/>
    <w:basedOn w:val="1065"/>
    <w:next w:val="1065"/>
    <w:uiPriority w:val="39"/>
    <w:unhideWhenUsed/>
    <w:pPr>
      <w:ind w:left="1701" w:right="0" w:firstLine="0"/>
      <w:spacing w:after="57"/>
    </w:pPr>
  </w:style>
  <w:style w:type="paragraph" w:styleId="1061">
    <w:name w:val="toc 8"/>
    <w:basedOn w:val="1065"/>
    <w:next w:val="1065"/>
    <w:uiPriority w:val="39"/>
    <w:unhideWhenUsed/>
    <w:pPr>
      <w:ind w:left="1984" w:right="0" w:firstLine="0"/>
      <w:spacing w:after="57"/>
    </w:pPr>
  </w:style>
  <w:style w:type="paragraph" w:styleId="1062">
    <w:name w:val="toc 9"/>
    <w:basedOn w:val="1065"/>
    <w:next w:val="1065"/>
    <w:uiPriority w:val="39"/>
    <w:unhideWhenUsed/>
    <w:pPr>
      <w:ind w:left="2268" w:right="0" w:firstLine="0"/>
      <w:spacing w:after="57"/>
    </w:pPr>
  </w:style>
  <w:style w:type="paragraph" w:styleId="1063">
    <w:name w:val="TOC Heading"/>
    <w:uiPriority w:val="39"/>
    <w:unhideWhenUsed/>
  </w:style>
  <w:style w:type="paragraph" w:styleId="1064">
    <w:name w:val="table of figures"/>
    <w:basedOn w:val="1065"/>
    <w:next w:val="1065"/>
    <w:uiPriority w:val="99"/>
    <w:unhideWhenUsed/>
    <w:pPr>
      <w:spacing w:after="0" w:afterAutospacing="0"/>
    </w:pPr>
  </w:style>
  <w:style w:type="paragraph" w:styleId="1065" w:default="1">
    <w:name w:val="Normal"/>
    <w:next w:val="1065"/>
    <w:link w:val="1065"/>
    <w:qFormat/>
    <w:rPr>
      <w:sz w:val="24"/>
      <w:szCs w:val="24"/>
      <w:lang w:val="ru-RU" w:eastAsia="ru-RU" w:bidi="ar-SA"/>
    </w:rPr>
  </w:style>
  <w:style w:type="paragraph" w:styleId="1066">
    <w:name w:val="Заголовок 1"/>
    <w:basedOn w:val="1065"/>
    <w:next w:val="1065"/>
    <w:link w:val="1065"/>
    <w:qFormat/>
    <w:pPr>
      <w:jc w:val="center"/>
      <w:keepNext/>
      <w:outlineLvl w:val="0"/>
    </w:pPr>
    <w:rPr>
      <w:b/>
      <w:sz w:val="22"/>
      <w:szCs w:val="22"/>
    </w:rPr>
  </w:style>
  <w:style w:type="paragraph" w:styleId="1067">
    <w:name w:val="Заголовок 2"/>
    <w:basedOn w:val="1065"/>
    <w:next w:val="1065"/>
    <w:link w:val="1065"/>
    <w:qFormat/>
    <w:pPr>
      <w:ind w:firstLine="709"/>
      <w:jc w:val="both"/>
      <w:keepNext/>
      <w:spacing w:before="240" w:after="60"/>
      <w:outlineLvl w:val="1"/>
    </w:pPr>
    <w:rPr>
      <w:b/>
      <w:bCs/>
      <w:i/>
      <w:iCs/>
    </w:rPr>
  </w:style>
  <w:style w:type="paragraph" w:styleId="1068">
    <w:name w:val="Заголовок 3"/>
    <w:basedOn w:val="1065"/>
    <w:next w:val="1065"/>
    <w:link w:val="1065"/>
    <w:qFormat/>
    <w:pPr>
      <w:jc w:val="center"/>
      <w:keepNext/>
      <w:outlineLvl w:val="2"/>
    </w:pPr>
    <w:rPr>
      <w:b/>
      <w:bCs/>
    </w:rPr>
  </w:style>
  <w:style w:type="paragraph" w:styleId="1069">
    <w:name w:val="Заголовок 4"/>
    <w:basedOn w:val="1065"/>
    <w:next w:val="1065"/>
    <w:link w:val="1095"/>
    <w:qFormat/>
    <w:pPr>
      <w:jc w:val="center"/>
      <w:keepNext/>
      <w:outlineLvl w:val="3"/>
    </w:pPr>
    <w:rPr>
      <w:b/>
      <w:bCs/>
      <w:sz w:val="22"/>
      <w:szCs w:val="28"/>
      <w:lang w:val="en-US" w:eastAsia="en-US"/>
    </w:rPr>
  </w:style>
  <w:style w:type="paragraph" w:styleId="1070">
    <w:name w:val="Заголовок 5"/>
    <w:basedOn w:val="1065"/>
    <w:next w:val="1065"/>
    <w:link w:val="1065"/>
    <w:qFormat/>
    <w:pPr>
      <w:keepNext/>
      <w:outlineLvl w:val="4"/>
    </w:pPr>
    <w:rPr>
      <w:b/>
      <w:bCs/>
      <w:sz w:val="28"/>
      <w:szCs w:val="28"/>
    </w:rPr>
  </w:style>
  <w:style w:type="paragraph" w:styleId="1071">
    <w:name w:val="Заголовок 6"/>
    <w:basedOn w:val="1065"/>
    <w:next w:val="1065"/>
    <w:link w:val="1065"/>
    <w:qFormat/>
    <w:pPr>
      <w:jc w:val="center"/>
      <w:keepNext/>
      <w:outlineLvl w:val="5"/>
    </w:pPr>
    <w:rPr>
      <w:b/>
      <w:sz w:val="28"/>
      <w:szCs w:val="20"/>
    </w:rPr>
  </w:style>
  <w:style w:type="paragraph" w:styleId="1072">
    <w:name w:val="Заголовок 8"/>
    <w:basedOn w:val="1065"/>
    <w:next w:val="1065"/>
    <w:link w:val="1065"/>
    <w:qFormat/>
    <w:pPr>
      <w:keepNext/>
      <w:outlineLvl w:val="7"/>
    </w:pPr>
    <w:rPr>
      <w:b/>
      <w:bCs/>
    </w:rPr>
  </w:style>
  <w:style w:type="character" w:styleId="1073">
    <w:name w:val="Основной шрифт абзаца"/>
    <w:next w:val="1073"/>
    <w:link w:val="1065"/>
    <w:semiHidden/>
  </w:style>
  <w:style w:type="table" w:styleId="1074">
    <w:name w:val="Обычная таблица"/>
    <w:next w:val="1074"/>
    <w:link w:val="1065"/>
    <w:semiHidden/>
    <w:tblPr/>
  </w:style>
  <w:style w:type="numbering" w:styleId="1075">
    <w:name w:val="Нет списка"/>
    <w:next w:val="1075"/>
    <w:link w:val="1065"/>
    <w:semiHidden/>
  </w:style>
  <w:style w:type="paragraph" w:styleId="1076">
    <w:name w:val="Основной текст,Основной текст_отчет,bt"/>
    <w:basedOn w:val="1065"/>
    <w:next w:val="1076"/>
    <w:link w:val="1096"/>
    <w:rPr>
      <w:szCs w:val="20"/>
      <w:lang w:val="en-US" w:eastAsia="en-US"/>
    </w:rPr>
  </w:style>
  <w:style w:type="paragraph" w:styleId="1077">
    <w:name w:val="Название"/>
    <w:basedOn w:val="1065"/>
    <w:next w:val="1077"/>
    <w:link w:val="1065"/>
    <w:qFormat/>
    <w:pPr>
      <w:jc w:val="center"/>
    </w:pPr>
    <w:rPr>
      <w:b/>
      <w:sz w:val="28"/>
      <w:szCs w:val="20"/>
    </w:rPr>
  </w:style>
  <w:style w:type="paragraph" w:styleId="1078">
    <w:name w:val="Основной текст 3"/>
    <w:basedOn w:val="1065"/>
    <w:next w:val="1078"/>
    <w:link w:val="1065"/>
    <w:pPr>
      <w:jc w:val="center"/>
    </w:pPr>
    <w:rPr>
      <w:b/>
      <w:szCs w:val="20"/>
    </w:rPr>
  </w:style>
  <w:style w:type="paragraph" w:styleId="107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65"/>
    <w:next w:val="1079"/>
    <w:link w:val="1097"/>
    <w:pPr>
      <w:ind w:firstLine="708"/>
      <w:jc w:val="both"/>
    </w:pPr>
    <w:rPr>
      <w:lang w:val="en-US" w:eastAsia="en-US"/>
    </w:rPr>
  </w:style>
  <w:style w:type="paragraph" w:styleId="1080">
    <w:name w:val="Основной текст с отступом 2"/>
    <w:basedOn w:val="1065"/>
    <w:next w:val="1080"/>
    <w:link w:val="1065"/>
    <w:pPr>
      <w:ind w:firstLine="720"/>
      <w:jc w:val="both"/>
    </w:pPr>
  </w:style>
  <w:style w:type="paragraph" w:styleId="1081">
    <w:name w:val="Основной текст 2"/>
    <w:basedOn w:val="1065"/>
    <w:next w:val="1081"/>
    <w:link w:val="1065"/>
    <w:rPr>
      <w:b/>
      <w:bCs/>
      <w:sz w:val="22"/>
      <w:szCs w:val="22"/>
    </w:rPr>
  </w:style>
  <w:style w:type="paragraph" w:styleId="1082">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65"/>
    <w:next w:val="1082"/>
    <w:link w:val="1098"/>
    <w:uiPriority w:val="99"/>
    <w:pPr>
      <w:tabs>
        <w:tab w:val="center" w:pos="4677" w:leader="none"/>
        <w:tab w:val="right" w:pos="9355" w:leader="none"/>
      </w:tabs>
    </w:pPr>
    <w:rPr>
      <w:lang w:val="en-US" w:eastAsia="en-US"/>
    </w:rPr>
  </w:style>
  <w:style w:type="paragraph" w:styleId="1083">
    <w:name w:val="Нижний колонтитул"/>
    <w:basedOn w:val="1065"/>
    <w:next w:val="1083"/>
    <w:link w:val="1113"/>
    <w:uiPriority w:val="99"/>
    <w:pPr>
      <w:tabs>
        <w:tab w:val="center" w:pos="4677" w:leader="none"/>
        <w:tab w:val="right" w:pos="9355" w:leader="none"/>
      </w:tabs>
    </w:pPr>
  </w:style>
  <w:style w:type="paragraph" w:styleId="108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65"/>
    <w:next w:val="1084"/>
    <w:link w:val="1108"/>
    <w:qFormat/>
    <w:rPr>
      <w:sz w:val="20"/>
      <w:szCs w:val="20"/>
    </w:rPr>
  </w:style>
  <w:style w:type="paragraph" w:styleId="1085">
    <w:name w:val="Нормальный"/>
    <w:next w:val="1085"/>
    <w:link w:val="1065"/>
    <w:rPr>
      <w:rFonts w:ascii="TimesET" w:hAnsi="TimesET"/>
      <w:sz w:val="24"/>
      <w:szCs w:val="24"/>
      <w:lang w:val="ru-RU" w:eastAsia="ru-RU" w:bidi="ar-SA"/>
    </w:rPr>
  </w:style>
  <w:style w:type="table" w:styleId="1086">
    <w:name w:val="Сетка таблицы"/>
    <w:basedOn w:val="1074"/>
    <w:next w:val="1086"/>
    <w:link w:val="1065"/>
    <w:tblPr/>
  </w:style>
  <w:style w:type="character" w:styleId="1087">
    <w:name w:val="Номер страницы"/>
    <w:basedOn w:val="1073"/>
    <w:next w:val="1087"/>
    <w:link w:val="1065"/>
  </w:style>
  <w:style w:type="paragraph" w:styleId="1088">
    <w:name w:val="Цитата"/>
    <w:basedOn w:val="1065"/>
    <w:next w:val="1088"/>
    <w:link w:val="1065"/>
    <w:pPr>
      <w:ind w:left="1440" w:right="201" w:hanging="720"/>
      <w:jc w:val="both"/>
    </w:pPr>
    <w:rPr>
      <w:i/>
      <w:iCs/>
      <w:sz w:val="20"/>
      <w:szCs w:val="20"/>
    </w:rPr>
  </w:style>
  <w:style w:type="character" w:styleId="1089">
    <w:name w:val="Гиперссылка"/>
    <w:next w:val="1089"/>
    <w:link w:val="1065"/>
    <w:unhideWhenUsed/>
    <w:rPr>
      <w:color w:val="0000ff"/>
      <w:u w:val="single"/>
    </w:rPr>
  </w:style>
  <w:style w:type="paragraph" w:styleId="1090">
    <w:name w:val="Без интервала"/>
    <w:next w:val="1090"/>
    <w:link w:val="1091"/>
    <w:uiPriority w:val="1"/>
    <w:qFormat/>
    <w:rPr>
      <w:rFonts w:ascii="Calibri" w:hAnsi="Calibri"/>
      <w:sz w:val="22"/>
      <w:szCs w:val="22"/>
      <w:lang w:val="ru-RU" w:eastAsia="en-US" w:bidi="ar-SA"/>
    </w:rPr>
  </w:style>
  <w:style w:type="character" w:styleId="1091">
    <w:name w:val="Без интервала Знак"/>
    <w:next w:val="1091"/>
    <w:link w:val="1090"/>
    <w:rPr>
      <w:rFonts w:ascii="Calibri" w:hAnsi="Calibri"/>
      <w:sz w:val="22"/>
      <w:szCs w:val="22"/>
      <w:lang w:val="ru-RU" w:eastAsia="en-US" w:bidi="ar-SA"/>
    </w:rPr>
  </w:style>
  <w:style w:type="paragraph" w:styleId="1092">
    <w:name w:val="Оглавление 1"/>
    <w:basedOn w:val="1065"/>
    <w:next w:val="1065"/>
    <w:link w:val="1065"/>
    <w:uiPriority w:val="39"/>
    <w:pPr>
      <w:spacing w:line="360" w:lineRule="auto"/>
      <w:tabs>
        <w:tab w:val="right" w:pos="10065" w:leader="dot"/>
      </w:tabs>
    </w:pPr>
    <w:rPr>
      <w:sz w:val="22"/>
      <w:szCs w:val="22"/>
    </w:rPr>
  </w:style>
  <w:style w:type="paragraph" w:styleId="1093">
    <w:name w:val="Оглавление 2"/>
    <w:basedOn w:val="1065"/>
    <w:next w:val="1065"/>
    <w:link w:val="1065"/>
    <w:semiHidden/>
    <w:pPr>
      <w:ind w:left="240"/>
    </w:pPr>
  </w:style>
  <w:style w:type="paragraph" w:styleId="1094">
    <w:name w:val="Оглавление 3"/>
    <w:basedOn w:val="1065"/>
    <w:next w:val="1065"/>
    <w:link w:val="1065"/>
    <w:uiPriority w:val="39"/>
    <w:pPr>
      <w:ind w:left="480"/>
    </w:pPr>
  </w:style>
  <w:style w:type="character" w:styleId="1095">
    <w:name w:val="Заголовок 4 Знак"/>
    <w:next w:val="1095"/>
    <w:link w:val="1069"/>
    <w:rPr>
      <w:rFonts w:eastAsia="Times New Roman" w:cs="Times New Roman"/>
      <w:b/>
      <w:bCs/>
      <w:sz w:val="22"/>
      <w:szCs w:val="28"/>
    </w:rPr>
  </w:style>
  <w:style w:type="character" w:styleId="1096">
    <w:name w:val="Основной текст Знак,Основной текст_отчет Знак,bt Знак"/>
    <w:next w:val="1096"/>
    <w:link w:val="1076"/>
    <w:rPr>
      <w:sz w:val="24"/>
    </w:rPr>
  </w:style>
  <w:style w:type="character" w:styleId="109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097"/>
    <w:link w:val="1079"/>
    <w:rPr>
      <w:sz w:val="24"/>
      <w:szCs w:val="24"/>
    </w:rPr>
  </w:style>
  <w:style w:type="character" w:styleId="1098">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098"/>
    <w:link w:val="1082"/>
    <w:uiPriority w:val="99"/>
    <w:rPr>
      <w:sz w:val="24"/>
      <w:szCs w:val="24"/>
    </w:rPr>
  </w:style>
  <w:style w:type="character" w:styleId="1099">
    <w:name w:val="Знак примечания"/>
    <w:next w:val="1099"/>
    <w:link w:val="1065"/>
    <w:uiPriority w:val="99"/>
    <w:rPr>
      <w:sz w:val="16"/>
      <w:szCs w:val="16"/>
    </w:rPr>
  </w:style>
  <w:style w:type="paragraph" w:styleId="1100">
    <w:name w:val="Текст примечания"/>
    <w:basedOn w:val="1065"/>
    <w:next w:val="1100"/>
    <w:link w:val="1101"/>
    <w:uiPriority w:val="99"/>
    <w:rPr>
      <w:sz w:val="20"/>
      <w:szCs w:val="20"/>
    </w:rPr>
  </w:style>
  <w:style w:type="character" w:styleId="1101">
    <w:name w:val="Текст примечания Знак"/>
    <w:basedOn w:val="1073"/>
    <w:next w:val="1101"/>
    <w:link w:val="1100"/>
    <w:uiPriority w:val="99"/>
  </w:style>
  <w:style w:type="paragraph" w:styleId="1102">
    <w:name w:val="Тема примечания"/>
    <w:basedOn w:val="1100"/>
    <w:next w:val="1100"/>
    <w:link w:val="1103"/>
    <w:uiPriority w:val="99"/>
    <w:rPr>
      <w:b/>
      <w:bCs/>
      <w:lang w:val="en-US" w:eastAsia="en-US"/>
    </w:rPr>
  </w:style>
  <w:style w:type="character" w:styleId="1103">
    <w:name w:val="Тема примечания Знак"/>
    <w:next w:val="1103"/>
    <w:link w:val="1102"/>
    <w:uiPriority w:val="99"/>
    <w:rPr>
      <w:b/>
      <w:bCs/>
    </w:rPr>
  </w:style>
  <w:style w:type="paragraph" w:styleId="1104">
    <w:name w:val="Текст выноски"/>
    <w:basedOn w:val="1065"/>
    <w:next w:val="1104"/>
    <w:link w:val="1105"/>
    <w:uiPriority w:val="99"/>
    <w:rPr>
      <w:rFonts w:ascii="Tahoma" w:hAnsi="Tahoma"/>
      <w:sz w:val="16"/>
      <w:szCs w:val="16"/>
      <w:lang w:val="en-US" w:eastAsia="en-US"/>
    </w:rPr>
  </w:style>
  <w:style w:type="character" w:styleId="1105">
    <w:name w:val="Текст выноски Знак"/>
    <w:next w:val="1105"/>
    <w:link w:val="1104"/>
    <w:uiPriority w:val="99"/>
    <w:rPr>
      <w:rFonts w:ascii="Tahoma" w:hAnsi="Tahoma" w:cs="Tahoma"/>
      <w:sz w:val="16"/>
      <w:szCs w:val="16"/>
    </w:rPr>
  </w:style>
  <w:style w:type="paragraph" w:styleId="1106">
    <w:name w:val="Заголовок оглавления"/>
    <w:basedOn w:val="1066"/>
    <w:next w:val="1065"/>
    <w:link w:val="1065"/>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0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7"/>
    <w:link w:val="1065"/>
    <w:qFormat/>
    <w:rPr>
      <w:vertAlign w:val="superscript"/>
    </w:rPr>
  </w:style>
  <w:style w:type="character" w:styleId="110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8"/>
    <w:link w:val="1084"/>
  </w:style>
  <w:style w:type="paragraph" w:styleId="1109">
    <w:name w:val="Default"/>
    <w:next w:val="1109"/>
    <w:link w:val="1065"/>
    <w:rPr>
      <w:rFonts w:eastAsia="Calibri"/>
      <w:color w:val="000000"/>
      <w:sz w:val="24"/>
      <w:szCs w:val="24"/>
      <w:lang w:val="ru-RU" w:eastAsia="ru-RU" w:bidi="ar-SA"/>
    </w:rPr>
  </w:style>
  <w:style w:type="paragraph" w:styleId="1110">
    <w:name w:val="ConsNormal"/>
    <w:next w:val="1110"/>
    <w:link w:val="1065"/>
    <w:pPr>
      <w:ind w:firstLine="720"/>
      <w:widowControl w:val="off"/>
    </w:pPr>
    <w:rPr>
      <w:rFonts w:ascii="Arial" w:hAnsi="Arial" w:cs="Arial"/>
      <w:lang w:val="ru-RU" w:eastAsia="ru-RU" w:bidi="ar-SA"/>
    </w:rPr>
  </w:style>
  <w:style w:type="paragraph" w:styleId="1111">
    <w:name w:val="Абзац списка"/>
    <w:basedOn w:val="1065"/>
    <w:next w:val="1111"/>
    <w:link w:val="1065"/>
    <w:uiPriority w:val="34"/>
    <w:qFormat/>
    <w:pPr>
      <w:ind w:left="708"/>
    </w:pPr>
  </w:style>
  <w:style w:type="numbering" w:styleId="1112">
    <w:name w:val="Нет списка1"/>
    <w:next w:val="1075"/>
    <w:link w:val="1065"/>
    <w:uiPriority w:val="99"/>
    <w:semiHidden/>
    <w:unhideWhenUsed/>
  </w:style>
  <w:style w:type="character" w:styleId="1113">
    <w:name w:val="Нижний колонтитул Знак"/>
    <w:next w:val="1113"/>
    <w:link w:val="1083"/>
    <w:uiPriority w:val="99"/>
    <w:rPr>
      <w:sz w:val="24"/>
      <w:szCs w:val="24"/>
    </w:rPr>
  </w:style>
  <w:style w:type="table" w:styleId="1114">
    <w:name w:val="Сетка таблицы1"/>
    <w:basedOn w:val="1074"/>
    <w:next w:val="1086"/>
    <w:link w:val="1065"/>
    <w:uiPriority w:val="59"/>
    <w:rPr>
      <w:rFonts w:ascii="Calibri" w:hAnsi="Calibri" w:eastAsia="Calibri"/>
    </w:rPr>
    <w:tblPr/>
  </w:style>
  <w:style w:type="paragraph" w:styleId="1115">
    <w:name w:val="Рецензия"/>
    <w:next w:val="1115"/>
    <w:link w:val="1065"/>
    <w:hidden/>
    <w:uiPriority w:val="99"/>
    <w:semiHidden/>
    <w:rPr>
      <w:rFonts w:ascii="Calibri" w:hAnsi="Calibri" w:eastAsia="Calibri"/>
      <w:sz w:val="22"/>
      <w:szCs w:val="22"/>
      <w:lang w:val="ru-RU" w:eastAsia="en-US" w:bidi="ar-SA"/>
    </w:rPr>
  </w:style>
  <w:style w:type="character" w:styleId="1116" w:default="1">
    <w:name w:val="Default Paragraph Font"/>
    <w:uiPriority w:val="1"/>
    <w:semiHidden/>
    <w:unhideWhenUsed/>
  </w:style>
  <w:style w:type="numbering" w:styleId="1117" w:default="1">
    <w:name w:val="No List"/>
    <w:uiPriority w:val="99"/>
    <w:semiHidden/>
    <w:unhideWhenUsed/>
  </w:style>
  <w:style w:type="table" w:styleId="11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5</cp:revision>
  <dcterms:created xsi:type="dcterms:W3CDTF">2024-12-20T13:11:00Z</dcterms:created>
  <dcterms:modified xsi:type="dcterms:W3CDTF">2025-07-07T08:01:21Z</dcterms:modified>
  <cp:version>1048576</cp:version>
</cp:coreProperties>
</file>