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3E9C4" w14:textId="25EF3DC2" w:rsidR="00107B37" w:rsidRPr="00C83B08" w:rsidRDefault="00C83B08" w:rsidP="00C83B08">
      <w:pPr>
        <w:spacing w:after="0" w:line="240" w:lineRule="auto"/>
        <w:ind w:left="4678" w:right="-142"/>
        <w:jc w:val="right"/>
        <w:rPr>
          <w:rFonts w:ascii="Times New Roman" w:hAnsi="Times New Roman" w:cs="Times New Roman"/>
          <w:sz w:val="24"/>
          <w:szCs w:val="24"/>
        </w:rPr>
      </w:pPr>
      <w:r w:rsidRPr="00C83B08">
        <w:rPr>
          <w:rFonts w:ascii="Times New Roman" w:hAnsi="Times New Roman" w:cs="Times New Roman"/>
          <w:sz w:val="24"/>
          <w:szCs w:val="24"/>
        </w:rPr>
        <w:t>Действует с 02.07.2024</w:t>
      </w:r>
    </w:p>
    <w:p w14:paraId="3BABAF83" w14:textId="77777777" w:rsidR="003446ED" w:rsidRDefault="0070030F" w:rsidP="00A1199A">
      <w:pPr>
        <w:spacing w:after="0" w:line="240" w:lineRule="auto"/>
        <w:ind w:left="1985" w:hanging="1985"/>
        <w:jc w:val="both"/>
        <w:rPr>
          <w:rFonts w:ascii="Times New Roman" w:hAnsi="Times New Roman" w:cs="Times New Roman"/>
          <w:sz w:val="20"/>
          <w:szCs w:val="20"/>
        </w:rPr>
      </w:pPr>
      <w:r>
        <w:object w:dxaOrig="15797" w:dyaOrig="11984" w14:anchorId="2003F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20pt" o:ole="">
            <v:imagedata r:id="rId8" o:title=""/>
          </v:shape>
          <o:OLEObject Type="Embed" ProgID="PBrush" ShapeID="_x0000_i1025" DrawAspect="Content" ObjectID="_1781455364" r:id="rId9"/>
        </w:object>
      </w:r>
      <w:r w:rsidR="003446ED" w:rsidRPr="003446ED">
        <w:rPr>
          <w:rFonts w:ascii="Times New Roman" w:hAnsi="Times New Roman" w:cs="Times New Roman"/>
          <w:sz w:val="20"/>
          <w:szCs w:val="20"/>
        </w:rPr>
        <w:t xml:space="preserve"> </w:t>
      </w:r>
    </w:p>
    <w:p w14:paraId="3EC72B7A" w14:textId="77777777" w:rsidR="001C4F5A" w:rsidRDefault="001C4F5A" w:rsidP="003446ED">
      <w:pPr>
        <w:spacing w:after="0" w:line="240" w:lineRule="auto"/>
        <w:ind w:left="1985" w:hanging="1985"/>
        <w:jc w:val="center"/>
        <w:rPr>
          <w:rFonts w:ascii="Times New Roman" w:hAnsi="Times New Roman" w:cs="Times New Roman"/>
          <w:b/>
          <w:sz w:val="24"/>
          <w:szCs w:val="20"/>
        </w:rPr>
      </w:pPr>
    </w:p>
    <w:p w14:paraId="44790DFB" w14:textId="054EE581" w:rsidR="00A1199A" w:rsidRDefault="003446ED" w:rsidP="003446ED">
      <w:pPr>
        <w:spacing w:after="0" w:line="240" w:lineRule="auto"/>
        <w:ind w:left="1985" w:hanging="1985"/>
        <w:jc w:val="center"/>
        <w:rPr>
          <w:rFonts w:ascii="Times New Roman" w:hAnsi="Times New Roman" w:cs="Times New Roman"/>
          <w:b/>
          <w:sz w:val="24"/>
          <w:szCs w:val="20"/>
        </w:rPr>
      </w:pPr>
      <w:r w:rsidRPr="006F3D47">
        <w:rPr>
          <w:rFonts w:ascii="Times New Roman" w:hAnsi="Times New Roman" w:cs="Times New Roman"/>
          <w:b/>
          <w:sz w:val="24"/>
          <w:szCs w:val="20"/>
        </w:rPr>
        <w:t xml:space="preserve">Паспорт продукта </w:t>
      </w:r>
      <w:r w:rsidR="004A13E7">
        <w:rPr>
          <w:rFonts w:ascii="Times New Roman" w:hAnsi="Times New Roman" w:cs="Times New Roman"/>
          <w:b/>
          <w:sz w:val="24"/>
          <w:szCs w:val="20"/>
        </w:rPr>
        <w:t>«</w:t>
      </w:r>
      <w:r w:rsidR="00C57D08">
        <w:rPr>
          <w:rFonts w:ascii="Times New Roman" w:hAnsi="Times New Roman" w:cs="Times New Roman"/>
          <w:b/>
          <w:sz w:val="24"/>
          <w:szCs w:val="20"/>
        </w:rPr>
        <w:t>Аренда индивидуальной сейфовой ячейки</w:t>
      </w:r>
      <w:r w:rsidR="004A13E7">
        <w:rPr>
          <w:rFonts w:ascii="Times New Roman" w:hAnsi="Times New Roman" w:cs="Times New Roman"/>
          <w:b/>
          <w:sz w:val="24"/>
          <w:szCs w:val="20"/>
        </w:rPr>
        <w:t xml:space="preserve">» </w:t>
      </w:r>
    </w:p>
    <w:p w14:paraId="731A2468" w14:textId="77777777" w:rsidR="007565CA" w:rsidRDefault="007565CA" w:rsidP="007565CA">
      <w:pPr>
        <w:spacing w:after="0" w:line="240" w:lineRule="auto"/>
        <w:ind w:left="1985" w:hanging="1985"/>
        <w:jc w:val="center"/>
        <w:rPr>
          <w:rFonts w:ascii="Times New Roman" w:hAnsi="Times New Roman" w:cs="Times New Roman"/>
          <w:b/>
          <w:sz w:val="24"/>
          <w:szCs w:val="20"/>
        </w:rPr>
      </w:pPr>
      <w:r w:rsidRPr="007565CA">
        <w:rPr>
          <w:rFonts w:ascii="Times New Roman" w:hAnsi="Times New Roman" w:cs="Times New Roman"/>
          <w:b/>
          <w:sz w:val="24"/>
          <w:szCs w:val="20"/>
        </w:rPr>
        <w:t>_______________________________________________</w:t>
      </w:r>
    </w:p>
    <w:p w14:paraId="640D05AC" w14:textId="77777777" w:rsidR="00592DEF" w:rsidRDefault="00592DEF" w:rsidP="006D703C">
      <w:pPr>
        <w:spacing w:after="0" w:line="240" w:lineRule="auto"/>
        <w:ind w:left="3119"/>
        <w:jc w:val="both"/>
        <w:rPr>
          <w:rFonts w:ascii="Times New Roman" w:hAnsi="Times New Roman" w:cs="Times New Roman"/>
          <w:sz w:val="20"/>
          <w:szCs w:val="20"/>
        </w:rPr>
      </w:pPr>
    </w:p>
    <w:p w14:paraId="38B0929C" w14:textId="51B33BE1" w:rsidR="003446ED" w:rsidRDefault="003446ED" w:rsidP="006D703C">
      <w:pPr>
        <w:spacing w:after="0" w:line="240" w:lineRule="auto"/>
        <w:ind w:left="3119"/>
        <w:jc w:val="both"/>
        <w:rPr>
          <w:rFonts w:ascii="Times New Roman" w:hAnsi="Times New Roman" w:cs="Times New Roman"/>
          <w:sz w:val="20"/>
          <w:szCs w:val="20"/>
        </w:rPr>
      </w:pPr>
      <w:r w:rsidRPr="003446ED">
        <w:rPr>
          <w:rFonts w:ascii="Times New Roman" w:hAnsi="Times New Roman" w:cs="Times New Roman"/>
          <w:sz w:val="20"/>
          <w:szCs w:val="20"/>
        </w:rPr>
        <w:t>В документе представлено краткое изложение ключевой информации, которая относится к стандар</w:t>
      </w:r>
      <w:r>
        <w:rPr>
          <w:rFonts w:ascii="Times New Roman" w:hAnsi="Times New Roman" w:cs="Times New Roman"/>
          <w:sz w:val="20"/>
          <w:szCs w:val="20"/>
        </w:rPr>
        <w:t>тным условиям данного продукта.</w:t>
      </w:r>
      <w:r w:rsidRPr="003446ED">
        <w:rPr>
          <w:rFonts w:ascii="Times New Roman" w:hAnsi="Times New Roman" w:cs="Times New Roman"/>
          <w:sz w:val="20"/>
          <w:szCs w:val="20"/>
        </w:rPr>
        <w:t xml:space="preserve"> </w:t>
      </w:r>
    </w:p>
    <w:p w14:paraId="68F52C28" w14:textId="77777777" w:rsidR="003446ED" w:rsidRDefault="003446ED" w:rsidP="006D703C">
      <w:pPr>
        <w:spacing w:after="0" w:line="240" w:lineRule="auto"/>
        <w:ind w:left="3119"/>
        <w:jc w:val="both"/>
        <w:rPr>
          <w:rFonts w:ascii="Times New Roman" w:hAnsi="Times New Roman" w:cs="Times New Roman"/>
          <w:sz w:val="20"/>
          <w:szCs w:val="20"/>
        </w:rPr>
      </w:pPr>
      <w:r w:rsidRPr="003446ED">
        <w:rPr>
          <w:rFonts w:ascii="Times New Roman" w:hAnsi="Times New Roman" w:cs="Times New Roman"/>
          <w:sz w:val="20"/>
          <w:szCs w:val="20"/>
        </w:rPr>
        <w:t>Информация, указанная в документе, не является рекламой и носит исключительно справочный характер.</w:t>
      </w:r>
    </w:p>
    <w:tbl>
      <w:tblPr>
        <w:tblStyle w:val="a3"/>
        <w:tblW w:w="9639" w:type="dxa"/>
        <w:tblInd w:w="-5" w:type="dxa"/>
        <w:tblBorders>
          <w:top w:val="none" w:sz="0" w:space="0" w:color="auto"/>
          <w:insideH w:val="none" w:sz="0" w:space="0" w:color="auto"/>
          <w:insideV w:val="none" w:sz="0" w:space="0" w:color="auto"/>
        </w:tblBorders>
        <w:tblLook w:val="04A0" w:firstRow="1" w:lastRow="0" w:firstColumn="1" w:lastColumn="0" w:noHBand="0" w:noVBand="1"/>
      </w:tblPr>
      <w:tblGrid>
        <w:gridCol w:w="9639"/>
      </w:tblGrid>
      <w:tr w:rsidR="009D5F9A" w14:paraId="6C951842" w14:textId="77777777" w:rsidTr="00592DEF">
        <w:trPr>
          <w:trHeight w:val="80"/>
        </w:trPr>
        <w:tc>
          <w:tcPr>
            <w:tcW w:w="9639" w:type="dxa"/>
            <w:tcBorders>
              <w:left w:val="nil"/>
              <w:bottom w:val="single" w:sz="4" w:space="0" w:color="auto"/>
              <w:right w:val="nil"/>
            </w:tcBorders>
          </w:tcPr>
          <w:p w14:paraId="05BE4BBE" w14:textId="77777777" w:rsidR="00592DEF" w:rsidRDefault="00592DEF" w:rsidP="009D5F9A">
            <w:pPr>
              <w:tabs>
                <w:tab w:val="left" w:pos="172"/>
              </w:tabs>
              <w:ind w:left="-1814"/>
              <w:jc w:val="center"/>
              <w:rPr>
                <w:rFonts w:ascii="Times New Roman" w:hAnsi="Times New Roman" w:cs="Times New Roman"/>
                <w:szCs w:val="24"/>
              </w:rPr>
            </w:pPr>
          </w:p>
          <w:p w14:paraId="7F54A043" w14:textId="12C76019" w:rsidR="009D5F9A" w:rsidRDefault="009D5F9A" w:rsidP="009D5F9A">
            <w:pPr>
              <w:tabs>
                <w:tab w:val="left" w:pos="172"/>
              </w:tabs>
              <w:ind w:left="-1814"/>
              <w:jc w:val="center"/>
              <w:rPr>
                <w:rFonts w:ascii="Times New Roman" w:hAnsi="Times New Roman" w:cs="Times New Roman"/>
                <w:sz w:val="24"/>
                <w:szCs w:val="24"/>
              </w:rPr>
            </w:pPr>
            <w:r w:rsidRPr="003E494A">
              <w:rPr>
                <w:rFonts w:ascii="Times New Roman" w:hAnsi="Times New Roman" w:cs="Times New Roman"/>
                <w:szCs w:val="24"/>
              </w:rPr>
              <w:t>АО «Россельхозбанк»</w:t>
            </w:r>
          </w:p>
        </w:tc>
      </w:tr>
    </w:tbl>
    <w:p w14:paraId="2ED087CD" w14:textId="2845F664" w:rsidR="006F3D47" w:rsidRPr="006F3D47" w:rsidRDefault="006F3D47" w:rsidP="006F3D47">
      <w:pPr>
        <w:spacing w:after="0" w:line="240" w:lineRule="auto"/>
        <w:rPr>
          <w:rFonts w:ascii="Times New Roman" w:hAnsi="Times New Roman" w:cs="Times New Roman"/>
          <w:sz w:val="20"/>
          <w:szCs w:val="20"/>
        </w:rPr>
      </w:pPr>
      <w:r w:rsidRPr="006F3D47">
        <w:rPr>
          <w:rFonts w:ascii="Times New Roman" w:hAnsi="Times New Roman" w:cs="Times New Roman"/>
          <w:sz w:val="20"/>
          <w:szCs w:val="20"/>
        </w:rPr>
        <w:t>Кредитная организация:</w:t>
      </w:r>
      <w:r>
        <w:rPr>
          <w:rFonts w:ascii="Times New Roman" w:hAnsi="Times New Roman" w:cs="Times New Roman"/>
          <w:sz w:val="20"/>
          <w:szCs w:val="20"/>
        </w:rPr>
        <w:t xml:space="preserve"> </w:t>
      </w:r>
      <w:r w:rsidRPr="006F3D47">
        <w:rPr>
          <w:rFonts w:ascii="Times New Roman" w:hAnsi="Times New Roman" w:cs="Times New Roman"/>
          <w:sz w:val="20"/>
          <w:szCs w:val="20"/>
        </w:rPr>
        <w:t>АО «Россельхозбанк» (ИНН: 7725114488, ОГРН: 1027700342890)</w:t>
      </w:r>
    </w:p>
    <w:p w14:paraId="10F685A3" w14:textId="77777777" w:rsidR="00455A7D" w:rsidRDefault="006F3D47" w:rsidP="006F3D47">
      <w:pPr>
        <w:spacing w:after="0" w:line="240" w:lineRule="auto"/>
        <w:jc w:val="both"/>
        <w:rPr>
          <w:rFonts w:ascii="Times New Roman" w:hAnsi="Times New Roman" w:cs="Times New Roman"/>
          <w:sz w:val="20"/>
          <w:szCs w:val="20"/>
        </w:rPr>
      </w:pPr>
      <w:r w:rsidRPr="006F3D47">
        <w:rPr>
          <w:rFonts w:ascii="Times New Roman" w:hAnsi="Times New Roman" w:cs="Times New Roman"/>
          <w:sz w:val="20"/>
          <w:szCs w:val="20"/>
        </w:rPr>
        <w:t>Контактная информация: 119034, Москва, Гагаринский переулок, д. 3, контактный телефон: для звонков по</w:t>
      </w:r>
      <w:r>
        <w:rPr>
          <w:rFonts w:ascii="Times New Roman" w:hAnsi="Times New Roman" w:cs="Times New Roman"/>
          <w:sz w:val="20"/>
          <w:szCs w:val="20"/>
        </w:rPr>
        <w:t xml:space="preserve"> России </w:t>
      </w:r>
      <w:r w:rsidRPr="006F3D47">
        <w:rPr>
          <w:rFonts w:ascii="Times New Roman" w:hAnsi="Times New Roman" w:cs="Times New Roman"/>
          <w:sz w:val="20"/>
          <w:szCs w:val="20"/>
        </w:rPr>
        <w:t>8 (800) 100-01-00, официальный сайт</w:t>
      </w:r>
      <w:bookmarkStart w:id="0" w:name="_GoBack"/>
      <w:bookmarkEnd w:id="0"/>
      <w:r w:rsidRPr="006F3D47">
        <w:rPr>
          <w:rFonts w:ascii="Times New Roman" w:hAnsi="Times New Roman" w:cs="Times New Roman"/>
          <w:sz w:val="20"/>
          <w:szCs w:val="20"/>
        </w:rPr>
        <w:t>: https://www.rshb.ru.</w:t>
      </w:r>
    </w:p>
    <w:tbl>
      <w:tblPr>
        <w:tblStyle w:val="a3"/>
        <w:tblW w:w="0" w:type="auto"/>
        <w:tblLook w:val="04A0" w:firstRow="1" w:lastRow="0" w:firstColumn="1" w:lastColumn="0" w:noHBand="0" w:noVBand="1"/>
      </w:tblPr>
      <w:tblGrid>
        <w:gridCol w:w="562"/>
        <w:gridCol w:w="3515"/>
        <w:gridCol w:w="34"/>
        <w:gridCol w:w="5516"/>
      </w:tblGrid>
      <w:tr w:rsidR="003446ED" w:rsidRPr="003E4080" w14:paraId="295D5145" w14:textId="77777777" w:rsidTr="00201220">
        <w:tc>
          <w:tcPr>
            <w:tcW w:w="9627" w:type="dxa"/>
            <w:gridSpan w:val="4"/>
          </w:tcPr>
          <w:p w14:paraId="095F6B3E" w14:textId="64F68E8D" w:rsidR="00DA1792" w:rsidRDefault="006F3D47" w:rsidP="006F3D47">
            <w:pPr>
              <w:rPr>
                <w:rFonts w:ascii="Times New Roman" w:hAnsi="Times New Roman" w:cs="Times New Roman"/>
                <w:sz w:val="20"/>
                <w:szCs w:val="20"/>
              </w:rPr>
            </w:pPr>
            <w:r w:rsidRPr="006F3D47">
              <w:rPr>
                <w:rFonts w:ascii="Times New Roman" w:hAnsi="Times New Roman" w:cs="Times New Roman"/>
                <w:sz w:val="20"/>
                <w:szCs w:val="20"/>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w:t>
            </w:r>
          </w:p>
          <w:p w14:paraId="2CA1CE17" w14:textId="77777777" w:rsidR="00C57D08" w:rsidRPr="00C57D08" w:rsidRDefault="00C57D08" w:rsidP="00C57D08">
            <w:pPr>
              <w:ind w:right="62"/>
              <w:jc w:val="both"/>
              <w:rPr>
                <w:rFonts w:ascii="Times New Roman" w:eastAsia="Times New Roman" w:hAnsi="Times New Roman" w:cs="Times New Roman"/>
                <w:sz w:val="20"/>
                <w:szCs w:val="20"/>
              </w:rPr>
            </w:pPr>
            <w:r w:rsidRPr="00C57D08">
              <w:rPr>
                <w:rFonts w:ascii="Times New Roman" w:eastAsia="Times New Roman" w:hAnsi="Times New Roman" w:cs="Times New Roman"/>
                <w:sz w:val="20"/>
                <w:szCs w:val="20"/>
              </w:rPr>
              <w:t>- Правила аренды индивидуальных сейфовых ячеек в АО «Россельхозбанк» (далее - Правила);</w:t>
            </w:r>
          </w:p>
          <w:p w14:paraId="566C1468" w14:textId="77777777" w:rsidR="00C57D08" w:rsidRPr="00C57D08" w:rsidRDefault="00C57D08" w:rsidP="00C57D08">
            <w:pPr>
              <w:ind w:right="62"/>
              <w:jc w:val="both"/>
              <w:rPr>
                <w:rFonts w:ascii="Times New Roman" w:eastAsia="Times New Roman" w:hAnsi="Times New Roman" w:cs="Times New Roman"/>
                <w:sz w:val="20"/>
                <w:szCs w:val="20"/>
              </w:rPr>
            </w:pPr>
            <w:r w:rsidRPr="00C57D08">
              <w:rPr>
                <w:rFonts w:ascii="Times New Roman" w:eastAsia="Times New Roman" w:hAnsi="Times New Roman" w:cs="Times New Roman"/>
                <w:sz w:val="20"/>
                <w:szCs w:val="20"/>
              </w:rPr>
              <w:t>- Договор аренды индивидуальной сейфовой ячейки физическим лицом;</w:t>
            </w:r>
          </w:p>
          <w:p w14:paraId="0B57C1A3" w14:textId="77777777" w:rsidR="00C57D08" w:rsidRPr="00C57D08" w:rsidRDefault="00C57D08" w:rsidP="00C57D08">
            <w:pPr>
              <w:ind w:right="62"/>
              <w:jc w:val="both"/>
              <w:rPr>
                <w:rFonts w:ascii="Times New Roman" w:eastAsia="Times New Roman" w:hAnsi="Times New Roman" w:cs="Times New Roman"/>
                <w:sz w:val="20"/>
                <w:szCs w:val="20"/>
              </w:rPr>
            </w:pPr>
            <w:r w:rsidRPr="00C57D08">
              <w:rPr>
                <w:rFonts w:ascii="Times New Roman" w:eastAsia="Times New Roman" w:hAnsi="Times New Roman" w:cs="Times New Roman"/>
                <w:sz w:val="20"/>
                <w:szCs w:val="20"/>
              </w:rPr>
              <w:t>- Тарифы комиссионного вознаграждения на услуги АО «Россельхозбанк» физическим лицам (далее – Тарифы);</w:t>
            </w:r>
          </w:p>
          <w:p w14:paraId="40AC3440" w14:textId="77777777" w:rsidR="003446ED" w:rsidRPr="00B159BC" w:rsidRDefault="006F3D47" w:rsidP="00C915A0">
            <w:pPr>
              <w:rPr>
                <w:rFonts w:ascii="Times New Roman" w:hAnsi="Times New Roman" w:cs="Times New Roman"/>
                <w:sz w:val="20"/>
                <w:szCs w:val="20"/>
              </w:rPr>
            </w:pPr>
            <w:r w:rsidRPr="006F3D47">
              <w:rPr>
                <w:rFonts w:ascii="Times New Roman" w:hAnsi="Times New Roman" w:cs="Times New Roman"/>
                <w:sz w:val="20"/>
                <w:szCs w:val="20"/>
              </w:rPr>
              <w:t xml:space="preserve">Указанные документы размещены на официальном сайте Банка в сети Интернет по адресу </w:t>
            </w:r>
            <w:hyperlink r:id="rId10" w:history="1">
              <w:r w:rsidR="00114B64" w:rsidRPr="00114B64">
                <w:rPr>
                  <w:rStyle w:val="a6"/>
                  <w:rFonts w:ascii="Times New Roman" w:hAnsi="Times New Roman" w:cs="Times New Roman"/>
                  <w:sz w:val="20"/>
                  <w:szCs w:val="20"/>
                </w:rPr>
                <w:t>https://www.rshb.ru/natural/cells</w:t>
              </w:r>
            </w:hyperlink>
            <w:r w:rsidR="00114B64">
              <w:t xml:space="preserve"> </w:t>
            </w:r>
            <w:r w:rsidR="006437A1">
              <w:rPr>
                <w:rFonts w:ascii="Times New Roman" w:hAnsi="Times New Roman" w:cs="Times New Roman"/>
                <w:sz w:val="20"/>
                <w:szCs w:val="20"/>
              </w:rPr>
              <w:t xml:space="preserve"> </w:t>
            </w:r>
            <w:r w:rsidRPr="006F3D47">
              <w:rPr>
                <w:rFonts w:ascii="Times New Roman" w:hAnsi="Times New Roman" w:cs="Times New Roman"/>
                <w:sz w:val="20"/>
                <w:szCs w:val="20"/>
              </w:rPr>
              <w:t>в разделе «</w:t>
            </w:r>
            <w:r w:rsidR="00C915A0">
              <w:rPr>
                <w:rFonts w:ascii="Times New Roman" w:hAnsi="Times New Roman" w:cs="Times New Roman"/>
                <w:sz w:val="20"/>
                <w:szCs w:val="20"/>
              </w:rPr>
              <w:t>Тарифы и д</w:t>
            </w:r>
            <w:r w:rsidRPr="006F3D47">
              <w:rPr>
                <w:rFonts w:ascii="Times New Roman" w:hAnsi="Times New Roman" w:cs="Times New Roman"/>
                <w:sz w:val="20"/>
                <w:szCs w:val="20"/>
              </w:rPr>
              <w:t xml:space="preserve">окументы».        </w:t>
            </w:r>
          </w:p>
        </w:tc>
      </w:tr>
      <w:tr w:rsidR="006F3D47" w:rsidRPr="003E4080" w14:paraId="2F103E83" w14:textId="77777777" w:rsidTr="00201220">
        <w:tc>
          <w:tcPr>
            <w:tcW w:w="9627" w:type="dxa"/>
            <w:gridSpan w:val="4"/>
          </w:tcPr>
          <w:p w14:paraId="7C038B9F" w14:textId="0DC0AB32" w:rsidR="006F3D47" w:rsidRPr="006F3D47" w:rsidRDefault="006F3D47" w:rsidP="00592DEF">
            <w:pPr>
              <w:jc w:val="center"/>
              <w:rPr>
                <w:rFonts w:ascii="Times New Roman" w:hAnsi="Times New Roman" w:cs="Times New Roman"/>
                <w:b/>
                <w:sz w:val="20"/>
                <w:szCs w:val="20"/>
              </w:rPr>
            </w:pPr>
            <w:r w:rsidRPr="006F3D47">
              <w:rPr>
                <w:rFonts w:ascii="Times New Roman" w:hAnsi="Times New Roman" w:cs="Times New Roman"/>
                <w:b/>
                <w:sz w:val="20"/>
                <w:szCs w:val="20"/>
              </w:rPr>
              <w:t>ОСНОВНЫЕ УСЛОВИЯ</w:t>
            </w:r>
          </w:p>
        </w:tc>
      </w:tr>
      <w:tr w:rsidR="00C31641" w:rsidRPr="003E4080" w14:paraId="157C6019" w14:textId="77777777" w:rsidTr="00201220">
        <w:tc>
          <w:tcPr>
            <w:tcW w:w="562" w:type="dxa"/>
            <w:vAlign w:val="center"/>
          </w:tcPr>
          <w:p w14:paraId="1D3AE2DC" w14:textId="77777777" w:rsidR="00C31641" w:rsidRPr="00B159BC" w:rsidRDefault="00C31641" w:rsidP="00C22359">
            <w:pPr>
              <w:jc w:val="center"/>
              <w:rPr>
                <w:rFonts w:ascii="Times New Roman" w:hAnsi="Times New Roman" w:cs="Times New Roman"/>
                <w:sz w:val="20"/>
                <w:szCs w:val="20"/>
              </w:rPr>
            </w:pPr>
            <w:r w:rsidRPr="00B159BC">
              <w:rPr>
                <w:rFonts w:ascii="Times New Roman" w:hAnsi="Times New Roman" w:cs="Times New Roman"/>
                <w:sz w:val="20"/>
                <w:szCs w:val="20"/>
              </w:rPr>
              <w:t>1</w:t>
            </w:r>
          </w:p>
        </w:tc>
        <w:tc>
          <w:tcPr>
            <w:tcW w:w="3515" w:type="dxa"/>
            <w:tcBorders>
              <w:top w:val="single" w:sz="4" w:space="0" w:color="auto"/>
              <w:left w:val="single" w:sz="8" w:space="0" w:color="auto"/>
              <w:bottom w:val="single" w:sz="4" w:space="0" w:color="000000"/>
              <w:right w:val="single" w:sz="4" w:space="0" w:color="auto"/>
            </w:tcBorders>
            <w:shd w:val="clear" w:color="000000" w:fill="FFFFFF"/>
            <w:vAlign w:val="center"/>
          </w:tcPr>
          <w:p w14:paraId="771DDF65" w14:textId="77777777" w:rsidR="00C31641" w:rsidRPr="003E494A" w:rsidRDefault="00F0317C" w:rsidP="00C31641">
            <w:pPr>
              <w:rPr>
                <w:rFonts w:ascii="Times New Roman" w:hAnsi="Times New Roman" w:cs="Times New Roman"/>
                <w:sz w:val="20"/>
                <w:szCs w:val="20"/>
              </w:rPr>
            </w:pPr>
            <w:r>
              <w:rPr>
                <w:rFonts w:ascii="Times New Roman" w:hAnsi="Times New Roman" w:cs="Times New Roman"/>
                <w:sz w:val="20"/>
                <w:szCs w:val="20"/>
              </w:rPr>
              <w:t>Что можно хранить</w:t>
            </w:r>
          </w:p>
        </w:tc>
        <w:tc>
          <w:tcPr>
            <w:tcW w:w="5550" w:type="dxa"/>
            <w:gridSpan w:val="2"/>
          </w:tcPr>
          <w:p w14:paraId="2246F08A" w14:textId="77777777" w:rsidR="00C83B08" w:rsidRPr="00C83B08" w:rsidRDefault="00C83B08" w:rsidP="00C83B08">
            <w:pPr>
              <w:jc w:val="both"/>
              <w:rPr>
                <w:rFonts w:ascii="Times New Roman" w:eastAsia="Times New Roman" w:hAnsi="Times New Roman" w:cs="Times New Roman"/>
                <w:i/>
                <w:sz w:val="20"/>
                <w:szCs w:val="20"/>
              </w:rPr>
            </w:pPr>
            <w:r w:rsidRPr="00C83B08">
              <w:rPr>
                <w:rFonts w:ascii="Times New Roman" w:eastAsia="Times New Roman" w:hAnsi="Times New Roman" w:cs="Times New Roman"/>
                <w:i/>
                <w:sz w:val="20"/>
                <w:szCs w:val="20"/>
              </w:rPr>
              <w:t xml:space="preserve">Документы, денежные средства, ценные бумаги, драгоценности и другое имущество.  </w:t>
            </w:r>
          </w:p>
          <w:p w14:paraId="50101EDA" w14:textId="1686AC49" w:rsidR="00C31641" w:rsidRPr="00F0317C" w:rsidRDefault="00C83B08" w:rsidP="00C83B08">
            <w:pPr>
              <w:jc w:val="both"/>
              <w:rPr>
                <w:rFonts w:ascii="Times New Roman" w:hAnsi="Times New Roman" w:cs="Times New Roman"/>
                <w:i/>
                <w:sz w:val="20"/>
                <w:szCs w:val="20"/>
              </w:rPr>
            </w:pPr>
            <w:r w:rsidRPr="00C83B08">
              <w:rPr>
                <w:rFonts w:ascii="Times New Roman" w:eastAsia="Times New Roman" w:hAnsi="Times New Roman" w:cs="Times New Roman"/>
                <w:i/>
                <w:sz w:val="20"/>
                <w:szCs w:val="20"/>
              </w:rPr>
              <w:t>Не допускается хранение в ячейке опасных, быстровоспламеняющихся предметов, наркотических средств, огнестрельного оружия, взрывчатых, ядовитых, радиоактивных, токсичных и отравляющих веществ, предметов, требующих особых условий хранения (специальный температурный режим, освещенность, влажность), продуктов питания.</w:t>
            </w:r>
          </w:p>
        </w:tc>
      </w:tr>
      <w:tr w:rsidR="00C31641" w:rsidRPr="003E4080" w14:paraId="2FDD7C2C" w14:textId="77777777" w:rsidTr="00201220">
        <w:tc>
          <w:tcPr>
            <w:tcW w:w="562" w:type="dxa"/>
            <w:vAlign w:val="center"/>
          </w:tcPr>
          <w:p w14:paraId="5F7F5CD2" w14:textId="77777777" w:rsidR="00C31641" w:rsidRPr="003E4080" w:rsidRDefault="00C31641" w:rsidP="00C22359">
            <w:pPr>
              <w:jc w:val="center"/>
              <w:rPr>
                <w:rFonts w:ascii="Times New Roman" w:hAnsi="Times New Roman" w:cs="Times New Roman"/>
                <w:sz w:val="20"/>
                <w:szCs w:val="20"/>
              </w:rPr>
            </w:pPr>
            <w:r w:rsidRPr="003E4080">
              <w:rPr>
                <w:rFonts w:ascii="Times New Roman" w:hAnsi="Times New Roman" w:cs="Times New Roman"/>
                <w:sz w:val="20"/>
                <w:szCs w:val="20"/>
              </w:rPr>
              <w:t>2</w:t>
            </w:r>
          </w:p>
        </w:tc>
        <w:tc>
          <w:tcPr>
            <w:tcW w:w="3515" w:type="dxa"/>
            <w:tcBorders>
              <w:top w:val="nil"/>
              <w:left w:val="single" w:sz="8" w:space="0" w:color="auto"/>
              <w:bottom w:val="single" w:sz="4" w:space="0" w:color="auto"/>
              <w:right w:val="single" w:sz="4" w:space="0" w:color="auto"/>
            </w:tcBorders>
            <w:shd w:val="clear" w:color="000000" w:fill="FFFFFF"/>
            <w:vAlign w:val="center"/>
          </w:tcPr>
          <w:p w14:paraId="3418D7E8" w14:textId="77777777" w:rsidR="00C31641" w:rsidRPr="00F0317C" w:rsidRDefault="00F0317C" w:rsidP="00C31641">
            <w:pPr>
              <w:rPr>
                <w:rFonts w:ascii="Times New Roman" w:hAnsi="Times New Roman" w:cs="Times New Roman"/>
                <w:sz w:val="20"/>
                <w:szCs w:val="20"/>
              </w:rPr>
            </w:pPr>
            <w:r w:rsidRPr="00F0317C">
              <w:rPr>
                <w:rFonts w:ascii="Times New Roman" w:eastAsia="Times New Roman" w:hAnsi="Times New Roman" w:cs="Times New Roman"/>
                <w:sz w:val="20"/>
                <w:szCs w:val="20"/>
              </w:rPr>
              <w:t xml:space="preserve">Стоимость аренды  </w:t>
            </w:r>
          </w:p>
        </w:tc>
        <w:tc>
          <w:tcPr>
            <w:tcW w:w="5550" w:type="dxa"/>
            <w:gridSpan w:val="2"/>
          </w:tcPr>
          <w:p w14:paraId="381F9D2C" w14:textId="385EB38E" w:rsidR="00C31641" w:rsidRPr="00F0317C" w:rsidRDefault="00C83B08" w:rsidP="00592DEF">
            <w:pPr>
              <w:jc w:val="both"/>
              <w:rPr>
                <w:rFonts w:ascii="Times New Roman" w:hAnsi="Times New Roman" w:cs="Times New Roman"/>
                <w:i/>
                <w:sz w:val="20"/>
                <w:szCs w:val="20"/>
              </w:rPr>
            </w:pPr>
            <w:r w:rsidRPr="00C83B08">
              <w:rPr>
                <w:rFonts w:ascii="Times New Roman" w:eastAsiaTheme="minorEastAsia" w:hAnsi="Times New Roman" w:cs="Times New Roman"/>
                <w:i/>
                <w:iCs/>
                <w:sz w:val="20"/>
                <w:szCs w:val="20"/>
              </w:rPr>
              <w:t>В соотв</w:t>
            </w:r>
            <w:r w:rsidR="005B4401">
              <w:rPr>
                <w:rFonts w:ascii="Times New Roman" w:eastAsiaTheme="minorEastAsia" w:hAnsi="Times New Roman" w:cs="Times New Roman"/>
                <w:i/>
                <w:iCs/>
                <w:sz w:val="20"/>
                <w:szCs w:val="20"/>
              </w:rPr>
              <w:t>етствии с действующими Тарифами.</w:t>
            </w:r>
          </w:p>
        </w:tc>
      </w:tr>
      <w:tr w:rsidR="00C31641" w:rsidRPr="003E4080" w14:paraId="53BF9EC0" w14:textId="77777777" w:rsidTr="00201220">
        <w:tc>
          <w:tcPr>
            <w:tcW w:w="562" w:type="dxa"/>
            <w:vAlign w:val="center"/>
          </w:tcPr>
          <w:p w14:paraId="5EF17FFF" w14:textId="77777777" w:rsidR="00C31641" w:rsidRPr="003E4080" w:rsidRDefault="00C31641" w:rsidP="00C22359">
            <w:pPr>
              <w:jc w:val="center"/>
              <w:rPr>
                <w:rFonts w:ascii="Times New Roman" w:hAnsi="Times New Roman" w:cs="Times New Roman"/>
                <w:sz w:val="20"/>
                <w:szCs w:val="20"/>
              </w:rPr>
            </w:pPr>
            <w:r w:rsidRPr="003E4080">
              <w:rPr>
                <w:rFonts w:ascii="Times New Roman" w:hAnsi="Times New Roman" w:cs="Times New Roman"/>
                <w:sz w:val="20"/>
                <w:szCs w:val="20"/>
              </w:rPr>
              <w:t>3</w:t>
            </w:r>
          </w:p>
        </w:tc>
        <w:tc>
          <w:tcPr>
            <w:tcW w:w="3515" w:type="dxa"/>
            <w:tcBorders>
              <w:top w:val="nil"/>
              <w:left w:val="single" w:sz="8" w:space="0" w:color="auto"/>
              <w:bottom w:val="single" w:sz="4" w:space="0" w:color="auto"/>
              <w:right w:val="single" w:sz="4" w:space="0" w:color="auto"/>
            </w:tcBorders>
            <w:shd w:val="clear" w:color="000000" w:fill="FFFFFF"/>
            <w:vAlign w:val="center"/>
          </w:tcPr>
          <w:p w14:paraId="71C83592" w14:textId="77777777" w:rsidR="00C31641" w:rsidRPr="003E494A" w:rsidRDefault="00C31641" w:rsidP="008D1EB0">
            <w:pPr>
              <w:rPr>
                <w:rFonts w:ascii="Times New Roman" w:hAnsi="Times New Roman" w:cs="Times New Roman"/>
                <w:sz w:val="20"/>
                <w:szCs w:val="20"/>
              </w:rPr>
            </w:pPr>
            <w:r w:rsidRPr="003E494A">
              <w:rPr>
                <w:rFonts w:ascii="Times New Roman" w:hAnsi="Times New Roman" w:cs="Times New Roman"/>
                <w:sz w:val="20"/>
                <w:szCs w:val="20"/>
              </w:rPr>
              <w:t xml:space="preserve">Срок </w:t>
            </w:r>
            <w:r w:rsidR="008D1EB0">
              <w:rPr>
                <w:rFonts w:ascii="Times New Roman" w:hAnsi="Times New Roman" w:cs="Times New Roman"/>
                <w:sz w:val="20"/>
                <w:szCs w:val="20"/>
              </w:rPr>
              <w:t>аренды</w:t>
            </w:r>
          </w:p>
        </w:tc>
        <w:tc>
          <w:tcPr>
            <w:tcW w:w="5550" w:type="dxa"/>
            <w:gridSpan w:val="2"/>
          </w:tcPr>
          <w:p w14:paraId="28BC1D5F" w14:textId="12350D2C" w:rsidR="00C31641" w:rsidRPr="008D1EB0" w:rsidRDefault="004723F9" w:rsidP="0024293C">
            <w:pPr>
              <w:jc w:val="both"/>
              <w:rPr>
                <w:rFonts w:ascii="Times New Roman" w:hAnsi="Times New Roman" w:cs="Times New Roman"/>
                <w:i/>
                <w:sz w:val="20"/>
                <w:szCs w:val="20"/>
              </w:rPr>
            </w:pPr>
            <w:r w:rsidRPr="004723F9">
              <w:rPr>
                <w:rFonts w:ascii="Times New Roman" w:eastAsia="Times New Roman" w:hAnsi="Times New Roman" w:cs="Times New Roman"/>
                <w:i/>
                <w:sz w:val="20"/>
                <w:szCs w:val="20"/>
              </w:rPr>
              <w:t>От 1 до 365 календарных дней (включительно)</w:t>
            </w:r>
          </w:p>
        </w:tc>
      </w:tr>
      <w:tr w:rsidR="006F3D47" w:rsidRPr="003E4080" w14:paraId="6C1EC217" w14:textId="77777777" w:rsidTr="00201220">
        <w:tc>
          <w:tcPr>
            <w:tcW w:w="562" w:type="dxa"/>
            <w:tcBorders>
              <w:right w:val="single" w:sz="4" w:space="0" w:color="auto"/>
            </w:tcBorders>
            <w:vAlign w:val="center"/>
          </w:tcPr>
          <w:p w14:paraId="793A1266" w14:textId="77777777" w:rsidR="006F3D47" w:rsidRPr="003E4080" w:rsidRDefault="006F3D47" w:rsidP="00C22359">
            <w:pPr>
              <w:jc w:val="center"/>
              <w:rPr>
                <w:rFonts w:ascii="Times New Roman" w:hAnsi="Times New Roman" w:cs="Times New Roman"/>
                <w:sz w:val="20"/>
                <w:szCs w:val="20"/>
              </w:rPr>
            </w:pPr>
            <w:r w:rsidRPr="003E4080">
              <w:rPr>
                <w:rFonts w:ascii="Times New Roman" w:hAnsi="Times New Roman" w:cs="Times New Roman"/>
                <w:sz w:val="20"/>
                <w:szCs w:val="20"/>
              </w:rPr>
              <w:t>4</w:t>
            </w:r>
          </w:p>
        </w:tc>
        <w:tc>
          <w:tcPr>
            <w:tcW w:w="3515" w:type="dxa"/>
            <w:tcBorders>
              <w:top w:val="single" w:sz="4" w:space="0" w:color="auto"/>
              <w:left w:val="single" w:sz="4" w:space="0" w:color="auto"/>
              <w:bottom w:val="single" w:sz="4" w:space="0" w:color="auto"/>
              <w:right w:val="single" w:sz="4" w:space="0" w:color="auto"/>
            </w:tcBorders>
            <w:shd w:val="clear" w:color="000000" w:fill="FFFFFF"/>
            <w:vAlign w:val="center"/>
          </w:tcPr>
          <w:p w14:paraId="43E0CD6A" w14:textId="77777777" w:rsidR="006F3D47" w:rsidRPr="00C31641" w:rsidRDefault="006F3D47" w:rsidP="008D1EB0">
            <w:pPr>
              <w:rPr>
                <w:rFonts w:ascii="Times New Roman" w:hAnsi="Times New Roman" w:cs="Times New Roman"/>
                <w:sz w:val="20"/>
                <w:szCs w:val="20"/>
              </w:rPr>
            </w:pPr>
            <w:r w:rsidRPr="00C31641">
              <w:rPr>
                <w:rFonts w:ascii="Times New Roman" w:hAnsi="Times New Roman" w:cs="Times New Roman"/>
                <w:sz w:val="20"/>
                <w:szCs w:val="20"/>
              </w:rPr>
              <w:t xml:space="preserve">Возможность дистанционного </w:t>
            </w:r>
            <w:r w:rsidR="008D1EB0">
              <w:rPr>
                <w:rFonts w:ascii="Times New Roman" w:hAnsi="Times New Roman" w:cs="Times New Roman"/>
                <w:sz w:val="20"/>
                <w:szCs w:val="20"/>
              </w:rPr>
              <w:t>бронирования</w:t>
            </w:r>
          </w:p>
        </w:tc>
        <w:tc>
          <w:tcPr>
            <w:tcW w:w="5550" w:type="dxa"/>
            <w:gridSpan w:val="2"/>
          </w:tcPr>
          <w:p w14:paraId="223526D0" w14:textId="14834819" w:rsidR="006F3D47" w:rsidRPr="008D1EB0" w:rsidRDefault="00BD2F51" w:rsidP="00BD2F51">
            <w:pPr>
              <w:jc w:val="both"/>
              <w:rPr>
                <w:rFonts w:ascii="Times New Roman" w:hAnsi="Times New Roman" w:cs="Times New Roman"/>
                <w:i/>
                <w:sz w:val="20"/>
                <w:szCs w:val="20"/>
              </w:rPr>
            </w:pPr>
            <w:r>
              <w:rPr>
                <w:rFonts w:ascii="Times New Roman" w:eastAsiaTheme="minorEastAsia" w:hAnsi="Times New Roman" w:cs="Times New Roman"/>
                <w:i/>
                <w:sz w:val="20"/>
                <w:szCs w:val="20"/>
              </w:rPr>
              <w:t>Не применяется</w:t>
            </w:r>
          </w:p>
        </w:tc>
      </w:tr>
      <w:tr w:rsidR="004C7750" w:rsidRPr="003A217B" w14:paraId="376B0714" w14:textId="77777777" w:rsidTr="00201220">
        <w:tc>
          <w:tcPr>
            <w:tcW w:w="9627" w:type="dxa"/>
            <w:gridSpan w:val="4"/>
          </w:tcPr>
          <w:p w14:paraId="7308E5F6" w14:textId="52F8B024" w:rsidR="004C7750" w:rsidRPr="006F3D47" w:rsidRDefault="000D7ACB" w:rsidP="00592DEF">
            <w:pPr>
              <w:jc w:val="center"/>
              <w:rPr>
                <w:rFonts w:ascii="Times New Roman" w:hAnsi="Times New Roman" w:cs="Times New Roman"/>
                <w:b/>
                <w:sz w:val="20"/>
                <w:szCs w:val="20"/>
              </w:rPr>
            </w:pPr>
            <w:r>
              <w:rPr>
                <w:rFonts w:ascii="Times New Roman" w:hAnsi="Times New Roman" w:cs="Times New Roman"/>
                <w:b/>
                <w:sz w:val="20"/>
                <w:szCs w:val="20"/>
              </w:rPr>
              <w:t>ОСОБЕННОСТИ АРЕНДЫ</w:t>
            </w:r>
          </w:p>
        </w:tc>
      </w:tr>
      <w:tr w:rsidR="006F3D47" w:rsidRPr="003A217B" w14:paraId="29502133" w14:textId="77777777" w:rsidTr="00201220">
        <w:tc>
          <w:tcPr>
            <w:tcW w:w="562" w:type="dxa"/>
            <w:vAlign w:val="center"/>
          </w:tcPr>
          <w:p w14:paraId="1FFB55B8" w14:textId="77777777" w:rsidR="006F3D47" w:rsidRPr="00B159BC" w:rsidRDefault="009337C7" w:rsidP="00C22359">
            <w:pPr>
              <w:jc w:val="center"/>
              <w:rPr>
                <w:rFonts w:ascii="Times New Roman" w:hAnsi="Times New Roman" w:cs="Times New Roman"/>
                <w:sz w:val="20"/>
                <w:szCs w:val="20"/>
              </w:rPr>
            </w:pPr>
            <w:r>
              <w:rPr>
                <w:rFonts w:ascii="Times New Roman" w:hAnsi="Times New Roman" w:cs="Times New Roman"/>
                <w:sz w:val="20"/>
                <w:szCs w:val="20"/>
              </w:rPr>
              <w:t>5</w:t>
            </w:r>
          </w:p>
        </w:tc>
        <w:tc>
          <w:tcPr>
            <w:tcW w:w="3549" w:type="dxa"/>
            <w:gridSpan w:val="2"/>
            <w:tcBorders>
              <w:top w:val="single" w:sz="4" w:space="0" w:color="auto"/>
              <w:left w:val="single" w:sz="8" w:space="0" w:color="auto"/>
              <w:bottom w:val="single" w:sz="4" w:space="0" w:color="auto"/>
              <w:right w:val="single" w:sz="4" w:space="0" w:color="auto"/>
            </w:tcBorders>
            <w:shd w:val="clear" w:color="000000" w:fill="FFFFFF"/>
            <w:vAlign w:val="center"/>
          </w:tcPr>
          <w:p w14:paraId="08144A51" w14:textId="71F747FB" w:rsidR="006F3D47" w:rsidRPr="009337C7" w:rsidRDefault="009337C7" w:rsidP="006F3D47">
            <w:pPr>
              <w:rPr>
                <w:rFonts w:ascii="Times New Roman" w:hAnsi="Times New Roman" w:cs="Times New Roman"/>
                <w:sz w:val="20"/>
                <w:szCs w:val="20"/>
              </w:rPr>
            </w:pPr>
            <w:r w:rsidRPr="009337C7">
              <w:rPr>
                <w:rFonts w:ascii="Times New Roman" w:eastAsia="Times New Roman" w:hAnsi="Times New Roman" w:cs="Times New Roman"/>
                <w:sz w:val="20"/>
                <w:szCs w:val="20"/>
              </w:rPr>
              <w:t>Размер сейфовой ячейки (куб</w:t>
            </w:r>
            <w:r w:rsidR="00B75150">
              <w:rPr>
                <w:rFonts w:ascii="Times New Roman" w:eastAsia="Times New Roman" w:hAnsi="Times New Roman" w:cs="Times New Roman"/>
                <w:sz w:val="20"/>
                <w:szCs w:val="20"/>
              </w:rPr>
              <w:t>.</w:t>
            </w:r>
            <w:r w:rsidRPr="009337C7">
              <w:rPr>
                <w:rFonts w:ascii="Times New Roman" w:eastAsia="Times New Roman" w:hAnsi="Times New Roman" w:cs="Times New Roman"/>
                <w:sz w:val="20"/>
                <w:szCs w:val="20"/>
              </w:rPr>
              <w:t xml:space="preserve"> см.)</w:t>
            </w:r>
          </w:p>
        </w:tc>
        <w:tc>
          <w:tcPr>
            <w:tcW w:w="5516" w:type="dxa"/>
          </w:tcPr>
          <w:p w14:paraId="5A438E93" w14:textId="77777777" w:rsidR="00BD2F51" w:rsidRPr="00BD2F51" w:rsidRDefault="00BD2F51" w:rsidP="00BD2F51">
            <w:pPr>
              <w:jc w:val="both"/>
              <w:rPr>
                <w:rFonts w:ascii="Times New Roman" w:eastAsia="Times New Roman" w:hAnsi="Times New Roman" w:cs="Times New Roman"/>
                <w:i/>
                <w:sz w:val="20"/>
                <w:szCs w:val="20"/>
              </w:rPr>
            </w:pPr>
            <w:r w:rsidRPr="00BD2F51">
              <w:rPr>
                <w:rFonts w:ascii="Times New Roman" w:eastAsia="Times New Roman" w:hAnsi="Times New Roman" w:cs="Times New Roman"/>
                <w:i/>
                <w:sz w:val="20"/>
                <w:szCs w:val="20"/>
              </w:rPr>
              <w:t>Малый (до 15 000)</w:t>
            </w:r>
          </w:p>
          <w:p w14:paraId="6CC17FC8" w14:textId="77777777" w:rsidR="00BD2F51" w:rsidRPr="00BD2F51" w:rsidRDefault="00BD2F51" w:rsidP="00BD2F51">
            <w:pPr>
              <w:jc w:val="both"/>
              <w:rPr>
                <w:rFonts w:ascii="Times New Roman" w:eastAsia="Times New Roman" w:hAnsi="Times New Roman" w:cs="Times New Roman"/>
                <w:i/>
                <w:sz w:val="20"/>
                <w:szCs w:val="20"/>
              </w:rPr>
            </w:pPr>
            <w:r w:rsidRPr="00BD2F51">
              <w:rPr>
                <w:rFonts w:ascii="Times New Roman" w:eastAsia="Times New Roman" w:hAnsi="Times New Roman" w:cs="Times New Roman"/>
                <w:i/>
                <w:sz w:val="20"/>
                <w:szCs w:val="20"/>
              </w:rPr>
              <w:t>Средний (от 15 001-30 000)</w:t>
            </w:r>
          </w:p>
          <w:p w14:paraId="0D73AA12" w14:textId="27B6ACBD" w:rsidR="006F3D47" w:rsidRPr="009337C7" w:rsidRDefault="00BD2F51" w:rsidP="00BD2F51">
            <w:pPr>
              <w:jc w:val="both"/>
              <w:rPr>
                <w:rFonts w:ascii="Times New Roman" w:hAnsi="Times New Roman" w:cs="Times New Roman"/>
                <w:i/>
                <w:sz w:val="20"/>
                <w:szCs w:val="20"/>
              </w:rPr>
            </w:pPr>
            <w:r w:rsidRPr="00BD2F51">
              <w:rPr>
                <w:rFonts w:ascii="Times New Roman" w:eastAsia="Times New Roman" w:hAnsi="Times New Roman" w:cs="Times New Roman"/>
                <w:i/>
                <w:sz w:val="20"/>
                <w:szCs w:val="20"/>
              </w:rPr>
              <w:t>Большой (от 30</w:t>
            </w:r>
            <w:r>
              <w:rPr>
                <w:rFonts w:ascii="Times New Roman" w:eastAsia="Times New Roman" w:hAnsi="Times New Roman" w:cs="Times New Roman"/>
                <w:i/>
                <w:sz w:val="20"/>
                <w:szCs w:val="20"/>
              </w:rPr>
              <w:t> </w:t>
            </w:r>
            <w:r w:rsidRPr="00BD2F51">
              <w:rPr>
                <w:rFonts w:ascii="Times New Roman" w:eastAsia="Times New Roman" w:hAnsi="Times New Roman" w:cs="Times New Roman"/>
                <w:i/>
                <w:sz w:val="20"/>
                <w:szCs w:val="20"/>
              </w:rPr>
              <w:t>001)</w:t>
            </w:r>
          </w:p>
        </w:tc>
      </w:tr>
      <w:tr w:rsidR="006F3D47" w:rsidRPr="003A217B" w14:paraId="77C4A084" w14:textId="77777777" w:rsidTr="00201220">
        <w:tc>
          <w:tcPr>
            <w:tcW w:w="562" w:type="dxa"/>
            <w:tcBorders>
              <w:right w:val="single" w:sz="4" w:space="0" w:color="auto"/>
            </w:tcBorders>
            <w:vAlign w:val="center"/>
          </w:tcPr>
          <w:p w14:paraId="02165EE6" w14:textId="77777777" w:rsidR="006F3D47" w:rsidRPr="003E4080" w:rsidRDefault="009337C7" w:rsidP="00B37651">
            <w:pPr>
              <w:jc w:val="center"/>
              <w:rPr>
                <w:rFonts w:ascii="Times New Roman" w:hAnsi="Times New Roman" w:cs="Times New Roman"/>
                <w:sz w:val="20"/>
                <w:szCs w:val="20"/>
              </w:rPr>
            </w:pPr>
            <w:r>
              <w:rPr>
                <w:rFonts w:ascii="Times New Roman" w:hAnsi="Times New Roman" w:cs="Times New Roman"/>
                <w:sz w:val="20"/>
                <w:szCs w:val="20"/>
              </w:rPr>
              <w:t>6</w:t>
            </w:r>
          </w:p>
        </w:tc>
        <w:tc>
          <w:tcPr>
            <w:tcW w:w="354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4347F7" w14:textId="77777777" w:rsidR="006F3D47" w:rsidRPr="009337C7" w:rsidRDefault="009337C7" w:rsidP="006F3D47">
            <w:pPr>
              <w:rPr>
                <w:rFonts w:ascii="Times New Roman" w:hAnsi="Times New Roman" w:cs="Times New Roman"/>
                <w:sz w:val="20"/>
                <w:szCs w:val="20"/>
              </w:rPr>
            </w:pPr>
            <w:r w:rsidRPr="009337C7">
              <w:rPr>
                <w:rFonts w:ascii="Times New Roman" w:eastAsia="Times New Roman" w:hAnsi="Times New Roman" w:cs="Times New Roman"/>
                <w:sz w:val="20"/>
                <w:szCs w:val="20"/>
              </w:rPr>
              <w:t xml:space="preserve">Возможность совместного пользования сейфовой ячейкой  </w:t>
            </w:r>
          </w:p>
        </w:tc>
        <w:tc>
          <w:tcPr>
            <w:tcW w:w="5516" w:type="dxa"/>
          </w:tcPr>
          <w:p w14:paraId="22321E64" w14:textId="2F447C27" w:rsidR="006F3D47" w:rsidRPr="009337C7" w:rsidRDefault="00BD2F51" w:rsidP="00592DEF">
            <w:pPr>
              <w:jc w:val="both"/>
              <w:rPr>
                <w:rFonts w:ascii="Times New Roman" w:hAnsi="Times New Roman" w:cs="Times New Roman"/>
                <w:i/>
                <w:sz w:val="20"/>
                <w:szCs w:val="20"/>
              </w:rPr>
            </w:pPr>
            <w:r w:rsidRPr="00BD2F51">
              <w:rPr>
                <w:rFonts w:ascii="Times New Roman" w:eastAsiaTheme="minorEastAsia" w:hAnsi="Times New Roman" w:cs="Times New Roman"/>
                <w:i/>
                <w:sz w:val="20"/>
                <w:szCs w:val="20"/>
              </w:rPr>
              <w:t>В соответствии с действующими Тарифами</w:t>
            </w:r>
            <w:r>
              <w:rPr>
                <w:rFonts w:ascii="Times New Roman" w:eastAsiaTheme="minorEastAsia" w:hAnsi="Times New Roman" w:cs="Times New Roman"/>
                <w:i/>
                <w:sz w:val="20"/>
                <w:szCs w:val="20"/>
              </w:rPr>
              <w:t xml:space="preserve">, а также при заключении Дополнительного соглашения об особых условиях доступа в рамках </w:t>
            </w:r>
            <w:r w:rsidR="00592DEF">
              <w:rPr>
                <w:rFonts w:ascii="Times New Roman" w:eastAsiaTheme="minorEastAsia" w:hAnsi="Times New Roman" w:cs="Times New Roman"/>
                <w:i/>
                <w:sz w:val="20"/>
                <w:szCs w:val="20"/>
              </w:rPr>
              <w:t>сделок</w:t>
            </w:r>
            <w:r>
              <w:rPr>
                <w:rFonts w:ascii="Times New Roman" w:eastAsiaTheme="minorEastAsia" w:hAnsi="Times New Roman" w:cs="Times New Roman"/>
                <w:i/>
                <w:sz w:val="20"/>
                <w:szCs w:val="20"/>
              </w:rPr>
              <w:t xml:space="preserve"> с недвижимостью.</w:t>
            </w:r>
          </w:p>
        </w:tc>
      </w:tr>
      <w:tr w:rsidR="006F3D47" w:rsidRPr="003A217B" w14:paraId="12F7358A" w14:textId="77777777" w:rsidTr="00201220">
        <w:tc>
          <w:tcPr>
            <w:tcW w:w="562" w:type="dxa"/>
            <w:vAlign w:val="center"/>
          </w:tcPr>
          <w:p w14:paraId="4D4EDF04" w14:textId="77777777" w:rsidR="006F3D47" w:rsidRPr="003E4080" w:rsidRDefault="009337C7" w:rsidP="00C22359">
            <w:pPr>
              <w:jc w:val="center"/>
              <w:rPr>
                <w:rFonts w:ascii="Times New Roman" w:hAnsi="Times New Roman" w:cs="Times New Roman"/>
                <w:sz w:val="20"/>
                <w:szCs w:val="20"/>
              </w:rPr>
            </w:pPr>
            <w:r>
              <w:rPr>
                <w:rFonts w:ascii="Times New Roman" w:hAnsi="Times New Roman" w:cs="Times New Roman"/>
                <w:sz w:val="20"/>
                <w:szCs w:val="20"/>
              </w:rPr>
              <w:t>7</w:t>
            </w:r>
          </w:p>
        </w:tc>
        <w:tc>
          <w:tcPr>
            <w:tcW w:w="3549" w:type="dxa"/>
            <w:gridSpan w:val="2"/>
            <w:tcBorders>
              <w:top w:val="nil"/>
              <w:left w:val="single" w:sz="8" w:space="0" w:color="auto"/>
              <w:bottom w:val="single" w:sz="4" w:space="0" w:color="auto"/>
              <w:right w:val="single" w:sz="4" w:space="0" w:color="auto"/>
            </w:tcBorders>
            <w:shd w:val="clear" w:color="000000" w:fill="FFFFFF"/>
            <w:vAlign w:val="center"/>
          </w:tcPr>
          <w:p w14:paraId="65CE680E" w14:textId="77777777" w:rsidR="006F3D47" w:rsidRPr="009337C7" w:rsidRDefault="009337C7" w:rsidP="006F3D47">
            <w:pPr>
              <w:rPr>
                <w:rFonts w:ascii="Times New Roman" w:hAnsi="Times New Roman" w:cs="Times New Roman"/>
                <w:sz w:val="20"/>
                <w:szCs w:val="20"/>
              </w:rPr>
            </w:pPr>
            <w:r w:rsidRPr="009337C7">
              <w:rPr>
                <w:rFonts w:ascii="Times New Roman" w:eastAsia="Times New Roman" w:hAnsi="Times New Roman" w:cs="Times New Roman"/>
                <w:sz w:val="20"/>
                <w:szCs w:val="20"/>
              </w:rPr>
              <w:t>Залог за ключ (если применимо)</w:t>
            </w:r>
          </w:p>
        </w:tc>
        <w:tc>
          <w:tcPr>
            <w:tcW w:w="5516" w:type="dxa"/>
          </w:tcPr>
          <w:p w14:paraId="3A7AC57E" w14:textId="34211CFD" w:rsidR="006F3D47" w:rsidRPr="009337C7" w:rsidRDefault="009337C7" w:rsidP="006F3D47">
            <w:pPr>
              <w:jc w:val="both"/>
              <w:rPr>
                <w:rFonts w:ascii="Times New Roman" w:hAnsi="Times New Roman" w:cs="Times New Roman"/>
                <w:i/>
                <w:sz w:val="20"/>
                <w:szCs w:val="20"/>
              </w:rPr>
            </w:pPr>
            <w:r w:rsidRPr="009337C7">
              <w:rPr>
                <w:rFonts w:ascii="Times New Roman" w:eastAsia="Times New Roman" w:hAnsi="Times New Roman" w:cs="Times New Roman"/>
                <w:i/>
                <w:sz w:val="20"/>
                <w:szCs w:val="20"/>
              </w:rPr>
              <w:t>Не применимо</w:t>
            </w:r>
            <w:r w:rsidR="00B75150">
              <w:rPr>
                <w:rFonts w:ascii="Times New Roman" w:eastAsia="Times New Roman" w:hAnsi="Times New Roman" w:cs="Times New Roman"/>
                <w:i/>
                <w:sz w:val="20"/>
                <w:szCs w:val="20"/>
              </w:rPr>
              <w:t>.</w:t>
            </w:r>
          </w:p>
        </w:tc>
      </w:tr>
      <w:tr w:rsidR="004C7750" w:rsidRPr="003A217B" w14:paraId="5AFB36D1" w14:textId="77777777" w:rsidTr="00201220">
        <w:tc>
          <w:tcPr>
            <w:tcW w:w="9627" w:type="dxa"/>
            <w:gridSpan w:val="4"/>
          </w:tcPr>
          <w:p w14:paraId="30CD9C8A" w14:textId="65CB27DC" w:rsidR="004C7750" w:rsidRPr="006F3D47" w:rsidRDefault="0030751F" w:rsidP="00592DEF">
            <w:pPr>
              <w:jc w:val="center"/>
              <w:rPr>
                <w:rFonts w:ascii="Times New Roman" w:hAnsi="Times New Roman" w:cs="Times New Roman"/>
                <w:b/>
                <w:sz w:val="20"/>
                <w:szCs w:val="20"/>
              </w:rPr>
            </w:pPr>
            <w:r>
              <w:rPr>
                <w:rFonts w:ascii="Times New Roman" w:hAnsi="Times New Roman" w:cs="Times New Roman"/>
                <w:b/>
                <w:sz w:val="20"/>
                <w:szCs w:val="20"/>
              </w:rPr>
              <w:t>ОСОБЕННОСТИ ДОГОВОРА АРЕНДЫ</w:t>
            </w:r>
          </w:p>
        </w:tc>
      </w:tr>
      <w:tr w:rsidR="00C31641" w:rsidRPr="003A217B" w14:paraId="48D5C3E0" w14:textId="77777777" w:rsidTr="00201220">
        <w:tc>
          <w:tcPr>
            <w:tcW w:w="562" w:type="dxa"/>
            <w:vAlign w:val="center"/>
          </w:tcPr>
          <w:p w14:paraId="7272E436" w14:textId="77777777" w:rsidR="00C31641" w:rsidRPr="00D40F60" w:rsidRDefault="0030751F" w:rsidP="00C22359">
            <w:pPr>
              <w:jc w:val="center"/>
              <w:rPr>
                <w:rFonts w:ascii="Times New Roman" w:hAnsi="Times New Roman" w:cs="Times New Roman"/>
                <w:sz w:val="20"/>
                <w:szCs w:val="20"/>
              </w:rPr>
            </w:pPr>
            <w:r>
              <w:rPr>
                <w:rFonts w:ascii="Times New Roman" w:hAnsi="Times New Roman" w:cs="Times New Roman"/>
                <w:sz w:val="20"/>
                <w:szCs w:val="20"/>
              </w:rPr>
              <w:t>8</w:t>
            </w:r>
          </w:p>
        </w:tc>
        <w:tc>
          <w:tcPr>
            <w:tcW w:w="3549" w:type="dxa"/>
            <w:gridSpan w:val="2"/>
            <w:tcBorders>
              <w:top w:val="single" w:sz="4" w:space="0" w:color="auto"/>
              <w:left w:val="single" w:sz="8" w:space="0" w:color="auto"/>
              <w:bottom w:val="single" w:sz="4" w:space="0" w:color="auto"/>
              <w:right w:val="single" w:sz="4" w:space="0" w:color="auto"/>
            </w:tcBorders>
            <w:shd w:val="clear" w:color="000000" w:fill="FFFFFF"/>
            <w:vAlign w:val="center"/>
          </w:tcPr>
          <w:p w14:paraId="3CA9E839" w14:textId="77777777" w:rsidR="00C31641" w:rsidRPr="0030751F" w:rsidRDefault="0030751F" w:rsidP="00C31641">
            <w:pPr>
              <w:rPr>
                <w:rFonts w:ascii="Times New Roman" w:hAnsi="Times New Roman" w:cs="Times New Roman"/>
                <w:sz w:val="20"/>
                <w:szCs w:val="20"/>
              </w:rPr>
            </w:pPr>
            <w:r w:rsidRPr="0030751F">
              <w:rPr>
                <w:rFonts w:ascii="Times New Roman" w:eastAsia="Times New Roman" w:hAnsi="Times New Roman" w:cs="Times New Roman"/>
                <w:sz w:val="20"/>
                <w:szCs w:val="20"/>
              </w:rPr>
              <w:t>Документы, необходимые для заключения договора</w:t>
            </w:r>
          </w:p>
        </w:tc>
        <w:tc>
          <w:tcPr>
            <w:tcW w:w="5516" w:type="dxa"/>
          </w:tcPr>
          <w:p w14:paraId="58C776B0" w14:textId="77777777" w:rsidR="00BD2F51" w:rsidRPr="00BD2F51" w:rsidRDefault="00BD2F51" w:rsidP="00BD2F51">
            <w:pPr>
              <w:autoSpaceDE w:val="0"/>
              <w:autoSpaceDN w:val="0"/>
              <w:adjustRightInd w:val="0"/>
              <w:jc w:val="both"/>
              <w:rPr>
                <w:rFonts w:ascii="Times New Roman" w:eastAsiaTheme="minorEastAsia" w:hAnsi="Times New Roman" w:cs="Times New Roman"/>
                <w:i/>
                <w:sz w:val="20"/>
                <w:szCs w:val="20"/>
              </w:rPr>
            </w:pPr>
            <w:r w:rsidRPr="00BD2F51">
              <w:rPr>
                <w:rFonts w:ascii="Times New Roman" w:eastAsiaTheme="minorEastAsia" w:hAnsi="Times New Roman" w:cs="Times New Roman"/>
                <w:i/>
                <w:sz w:val="20"/>
                <w:szCs w:val="20"/>
              </w:rPr>
              <w:t>Для физических лиц:</w:t>
            </w:r>
          </w:p>
          <w:p w14:paraId="7721165A" w14:textId="1DEB0232" w:rsidR="00BD2F51" w:rsidRPr="00BD2F51" w:rsidRDefault="00BD2F51" w:rsidP="00BD2F51">
            <w:pPr>
              <w:autoSpaceDE w:val="0"/>
              <w:autoSpaceDN w:val="0"/>
              <w:adjustRightInd w:val="0"/>
              <w:jc w:val="both"/>
              <w:rPr>
                <w:rFonts w:ascii="Times New Roman" w:eastAsiaTheme="minorEastAsia" w:hAnsi="Times New Roman" w:cs="Times New Roman"/>
                <w:i/>
                <w:sz w:val="20"/>
                <w:szCs w:val="20"/>
              </w:rPr>
            </w:pPr>
            <w:r w:rsidRPr="00BD2F51">
              <w:rPr>
                <w:rFonts w:ascii="Times New Roman" w:eastAsiaTheme="minorEastAsia" w:hAnsi="Times New Roman" w:cs="Times New Roman"/>
                <w:i/>
                <w:sz w:val="20"/>
                <w:szCs w:val="20"/>
              </w:rPr>
              <w:t xml:space="preserve">- документ удостоверяющий личность. </w:t>
            </w:r>
          </w:p>
          <w:p w14:paraId="4B63616C" w14:textId="747F1034" w:rsidR="00BD2F51" w:rsidRPr="00BD2F51" w:rsidRDefault="00BD2F51" w:rsidP="00BD2F51">
            <w:pPr>
              <w:autoSpaceDE w:val="0"/>
              <w:autoSpaceDN w:val="0"/>
              <w:adjustRightInd w:val="0"/>
              <w:jc w:val="both"/>
              <w:rPr>
                <w:rFonts w:ascii="Times New Roman" w:eastAsiaTheme="minorEastAsia" w:hAnsi="Times New Roman" w:cs="Times New Roman"/>
                <w:i/>
                <w:sz w:val="20"/>
                <w:szCs w:val="20"/>
              </w:rPr>
            </w:pPr>
            <w:r w:rsidRPr="00BD2F51">
              <w:rPr>
                <w:rFonts w:ascii="Times New Roman" w:eastAsiaTheme="minorEastAsia" w:hAnsi="Times New Roman" w:cs="Times New Roman"/>
                <w:i/>
                <w:sz w:val="20"/>
                <w:szCs w:val="20"/>
              </w:rPr>
              <w:t>Иностранные граждане и лица без гражд</w:t>
            </w:r>
            <w:r w:rsidR="002E153D">
              <w:rPr>
                <w:rFonts w:ascii="Times New Roman" w:eastAsiaTheme="minorEastAsia" w:hAnsi="Times New Roman" w:cs="Times New Roman"/>
                <w:i/>
                <w:sz w:val="20"/>
                <w:szCs w:val="20"/>
              </w:rPr>
              <w:t xml:space="preserve">анства дополнительно к </w:t>
            </w:r>
            <w:r w:rsidR="003C2FAB">
              <w:rPr>
                <w:rFonts w:ascii="Times New Roman" w:eastAsiaTheme="minorEastAsia" w:hAnsi="Times New Roman" w:cs="Times New Roman"/>
                <w:i/>
                <w:sz w:val="20"/>
                <w:szCs w:val="20"/>
              </w:rPr>
              <w:t>документ</w:t>
            </w:r>
            <w:r w:rsidR="002E153D">
              <w:rPr>
                <w:rFonts w:ascii="Times New Roman" w:eastAsiaTheme="minorEastAsia" w:hAnsi="Times New Roman" w:cs="Times New Roman"/>
                <w:i/>
                <w:sz w:val="20"/>
                <w:szCs w:val="20"/>
              </w:rPr>
              <w:t>у</w:t>
            </w:r>
            <w:r w:rsidRPr="00BD2F51">
              <w:rPr>
                <w:rFonts w:ascii="Times New Roman" w:eastAsiaTheme="minorEastAsia" w:hAnsi="Times New Roman" w:cs="Times New Roman"/>
                <w:i/>
                <w:sz w:val="20"/>
                <w:szCs w:val="20"/>
              </w:rPr>
              <w:t>, удостоверяющему личность представляют:</w:t>
            </w:r>
          </w:p>
          <w:p w14:paraId="3E9D4746" w14:textId="77777777" w:rsidR="00BD2F51" w:rsidRPr="00BD2F51" w:rsidRDefault="00BD2F51" w:rsidP="00BD2F51">
            <w:pPr>
              <w:autoSpaceDE w:val="0"/>
              <w:autoSpaceDN w:val="0"/>
              <w:adjustRightInd w:val="0"/>
              <w:jc w:val="both"/>
              <w:rPr>
                <w:rFonts w:ascii="Times New Roman" w:eastAsiaTheme="minorEastAsia" w:hAnsi="Times New Roman" w:cs="Times New Roman"/>
                <w:i/>
                <w:sz w:val="20"/>
                <w:szCs w:val="20"/>
              </w:rPr>
            </w:pPr>
            <w:r w:rsidRPr="00BD2F51">
              <w:rPr>
                <w:rFonts w:ascii="Times New Roman" w:eastAsiaTheme="minorEastAsia" w:hAnsi="Times New Roman" w:cs="Times New Roman"/>
                <w:i/>
                <w:sz w:val="20"/>
                <w:szCs w:val="20"/>
              </w:rPr>
              <w:lastRenderedPageBreak/>
              <w:t>- миграционную карту;</w:t>
            </w:r>
          </w:p>
          <w:p w14:paraId="5D3EAF3E" w14:textId="32C41682" w:rsidR="00C31641" w:rsidRPr="0030751F" w:rsidRDefault="00BD2F51" w:rsidP="00BD2F51">
            <w:pPr>
              <w:autoSpaceDE w:val="0"/>
              <w:autoSpaceDN w:val="0"/>
              <w:adjustRightInd w:val="0"/>
              <w:jc w:val="both"/>
              <w:rPr>
                <w:rFonts w:ascii="Times New Roman" w:hAnsi="Times New Roman" w:cs="Times New Roman"/>
                <w:i/>
                <w:sz w:val="20"/>
                <w:szCs w:val="20"/>
              </w:rPr>
            </w:pPr>
            <w:r w:rsidRPr="00BD2F51">
              <w:rPr>
                <w:rFonts w:ascii="Times New Roman" w:eastAsiaTheme="minorEastAsia" w:hAnsi="Times New Roman" w:cs="Times New Roman"/>
                <w:i/>
                <w:sz w:val="20"/>
                <w:szCs w:val="20"/>
              </w:rPr>
              <w:t>- документ, подтверждающий право пребывания (проживания) в Российской Федерации (виза/разрешение на временное проживание/вид на жительство/ иной документ, подтверждающий право пребывания (проживания) в Российской Федерации).</w:t>
            </w:r>
          </w:p>
        </w:tc>
      </w:tr>
      <w:tr w:rsidR="00C31641" w:rsidRPr="003A217B" w14:paraId="38A1EB3F" w14:textId="77777777" w:rsidTr="00592DEF">
        <w:trPr>
          <w:trHeight w:val="457"/>
        </w:trPr>
        <w:tc>
          <w:tcPr>
            <w:tcW w:w="562" w:type="dxa"/>
            <w:vAlign w:val="center"/>
          </w:tcPr>
          <w:p w14:paraId="4BC846DC" w14:textId="77777777" w:rsidR="00C31641" w:rsidRPr="00D40F60" w:rsidRDefault="0030751F" w:rsidP="00C22359">
            <w:pPr>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3549" w:type="dxa"/>
            <w:gridSpan w:val="2"/>
            <w:tcBorders>
              <w:top w:val="nil"/>
              <w:left w:val="single" w:sz="8" w:space="0" w:color="auto"/>
              <w:bottom w:val="single" w:sz="4" w:space="0" w:color="auto"/>
              <w:right w:val="single" w:sz="4" w:space="0" w:color="auto"/>
            </w:tcBorders>
            <w:shd w:val="clear" w:color="000000" w:fill="FFFFFF"/>
            <w:vAlign w:val="center"/>
          </w:tcPr>
          <w:p w14:paraId="5D5341A2" w14:textId="77777777" w:rsidR="00C31641" w:rsidRPr="0030751F" w:rsidRDefault="0030751F" w:rsidP="00C31641">
            <w:pPr>
              <w:rPr>
                <w:rFonts w:ascii="Times New Roman" w:hAnsi="Times New Roman" w:cs="Times New Roman"/>
                <w:sz w:val="20"/>
                <w:szCs w:val="20"/>
              </w:rPr>
            </w:pPr>
            <w:r w:rsidRPr="0030751F">
              <w:rPr>
                <w:rFonts w:ascii="Times New Roman" w:eastAsia="Times New Roman" w:hAnsi="Times New Roman" w:cs="Times New Roman"/>
                <w:sz w:val="20"/>
                <w:szCs w:val="20"/>
              </w:rPr>
              <w:t>Способ удостоверения права клиента на доступ к сейфовой ячейке и ее содержимому</w:t>
            </w:r>
          </w:p>
        </w:tc>
        <w:tc>
          <w:tcPr>
            <w:tcW w:w="5516" w:type="dxa"/>
          </w:tcPr>
          <w:p w14:paraId="5E09CA47" w14:textId="4F4770B0" w:rsidR="00C31641" w:rsidRPr="0030751F" w:rsidRDefault="00BD2F51" w:rsidP="00BB5215">
            <w:pPr>
              <w:jc w:val="both"/>
              <w:rPr>
                <w:rFonts w:ascii="Times New Roman" w:hAnsi="Times New Roman" w:cs="Times New Roman"/>
                <w:i/>
                <w:sz w:val="20"/>
                <w:szCs w:val="20"/>
                <w:highlight w:val="yellow"/>
              </w:rPr>
            </w:pPr>
            <w:r w:rsidRPr="00BD2F51">
              <w:rPr>
                <w:rFonts w:ascii="Times New Roman" w:eastAsiaTheme="minorEastAsia" w:hAnsi="Times New Roman" w:cs="Times New Roman"/>
                <w:i/>
                <w:sz w:val="20"/>
                <w:szCs w:val="20"/>
              </w:rPr>
              <w:t>Документ удостоверяющий личность и ключ от ячейки</w:t>
            </w:r>
            <w:r w:rsidR="003C2FAB">
              <w:rPr>
                <w:rFonts w:ascii="Times New Roman" w:eastAsiaTheme="minorEastAsia" w:hAnsi="Times New Roman" w:cs="Times New Roman"/>
                <w:i/>
                <w:sz w:val="20"/>
                <w:szCs w:val="20"/>
              </w:rPr>
              <w:t>, доверенность (при наличии)</w:t>
            </w:r>
            <w:r w:rsidR="00B33911">
              <w:rPr>
                <w:rFonts w:ascii="Times New Roman" w:eastAsiaTheme="minorEastAsia" w:hAnsi="Times New Roman" w:cs="Times New Roman"/>
                <w:i/>
                <w:sz w:val="20"/>
                <w:szCs w:val="20"/>
              </w:rPr>
              <w:t xml:space="preserve">, иной документ, подтверждающий право </w:t>
            </w:r>
            <w:r w:rsidR="00BB5215">
              <w:rPr>
                <w:rFonts w:ascii="Times New Roman" w:eastAsiaTheme="minorEastAsia" w:hAnsi="Times New Roman" w:cs="Times New Roman"/>
                <w:i/>
                <w:sz w:val="20"/>
                <w:szCs w:val="20"/>
              </w:rPr>
              <w:t xml:space="preserve">на </w:t>
            </w:r>
            <w:r w:rsidR="00B33911">
              <w:rPr>
                <w:rFonts w:ascii="Times New Roman" w:eastAsiaTheme="minorEastAsia" w:hAnsi="Times New Roman" w:cs="Times New Roman"/>
                <w:i/>
                <w:sz w:val="20"/>
                <w:szCs w:val="20"/>
              </w:rPr>
              <w:t>доступ к сейфовой ячейке.</w:t>
            </w:r>
            <w:r w:rsidR="003C2FAB">
              <w:rPr>
                <w:rFonts w:ascii="Times New Roman" w:eastAsiaTheme="minorEastAsia" w:hAnsi="Times New Roman" w:cs="Times New Roman"/>
                <w:i/>
                <w:sz w:val="20"/>
                <w:szCs w:val="20"/>
              </w:rPr>
              <w:t>.</w:t>
            </w:r>
          </w:p>
        </w:tc>
      </w:tr>
      <w:tr w:rsidR="007F6655" w:rsidRPr="003A217B" w14:paraId="76187626" w14:textId="77777777" w:rsidTr="00201220">
        <w:tc>
          <w:tcPr>
            <w:tcW w:w="562" w:type="dxa"/>
            <w:vAlign w:val="center"/>
          </w:tcPr>
          <w:p w14:paraId="36CAA77B" w14:textId="77777777" w:rsidR="007F6655" w:rsidRDefault="007F6655" w:rsidP="00C22359">
            <w:pPr>
              <w:jc w:val="center"/>
              <w:rPr>
                <w:rFonts w:ascii="Times New Roman" w:hAnsi="Times New Roman" w:cs="Times New Roman"/>
                <w:sz w:val="20"/>
                <w:szCs w:val="20"/>
              </w:rPr>
            </w:pPr>
            <w:r>
              <w:rPr>
                <w:rFonts w:ascii="Times New Roman" w:hAnsi="Times New Roman" w:cs="Times New Roman"/>
                <w:sz w:val="20"/>
                <w:szCs w:val="20"/>
              </w:rPr>
              <w:t>10</w:t>
            </w:r>
          </w:p>
        </w:tc>
        <w:tc>
          <w:tcPr>
            <w:tcW w:w="3549" w:type="dxa"/>
            <w:gridSpan w:val="2"/>
            <w:tcBorders>
              <w:top w:val="nil"/>
              <w:left w:val="single" w:sz="8" w:space="0" w:color="auto"/>
              <w:bottom w:val="single" w:sz="4" w:space="0" w:color="auto"/>
              <w:right w:val="single" w:sz="4" w:space="0" w:color="auto"/>
            </w:tcBorders>
            <w:shd w:val="clear" w:color="000000" w:fill="FFFFFF"/>
            <w:vAlign w:val="center"/>
          </w:tcPr>
          <w:p w14:paraId="1787DA20" w14:textId="77777777" w:rsidR="007F6655" w:rsidRPr="00D21A45" w:rsidRDefault="00D21A45" w:rsidP="00C31641">
            <w:pPr>
              <w:rPr>
                <w:rFonts w:ascii="Times New Roman" w:eastAsia="Times New Roman" w:hAnsi="Times New Roman" w:cs="Times New Roman"/>
                <w:sz w:val="20"/>
                <w:szCs w:val="20"/>
              </w:rPr>
            </w:pPr>
            <w:r w:rsidRPr="00D21A45">
              <w:rPr>
                <w:rFonts w:ascii="Times New Roman" w:eastAsia="Times New Roman" w:hAnsi="Times New Roman" w:cs="Times New Roman"/>
                <w:sz w:val="20"/>
                <w:szCs w:val="20"/>
              </w:rPr>
              <w:t>Ответственность клиента</w:t>
            </w:r>
          </w:p>
        </w:tc>
        <w:tc>
          <w:tcPr>
            <w:tcW w:w="5516" w:type="dxa"/>
          </w:tcPr>
          <w:p w14:paraId="51C7B931" w14:textId="6AA9FC14" w:rsidR="007F6655" w:rsidRPr="00D21A45" w:rsidRDefault="00BD2F51" w:rsidP="00D21A45">
            <w:pPr>
              <w:tabs>
                <w:tab w:val="left" w:pos="1290"/>
              </w:tabs>
              <w:jc w:val="both"/>
              <w:rPr>
                <w:rFonts w:ascii="Times New Roman" w:eastAsiaTheme="minorEastAsia" w:hAnsi="Times New Roman" w:cs="Times New Roman"/>
                <w:i/>
                <w:sz w:val="20"/>
                <w:szCs w:val="20"/>
              </w:rPr>
            </w:pPr>
            <w:r w:rsidRPr="00BD2F51">
              <w:rPr>
                <w:rFonts w:ascii="Times New Roman" w:eastAsiaTheme="minorEastAsia" w:hAnsi="Times New Roman" w:cs="Times New Roman"/>
                <w:i/>
                <w:iCs/>
                <w:sz w:val="20"/>
                <w:szCs w:val="20"/>
              </w:rPr>
              <w:t>За вложенные в ячейку предметы вложения и подлинность документов, предоставляемых Банку при оформлении договора аренды ячейки,</w:t>
            </w:r>
            <w:r>
              <w:rPr>
                <w:rFonts w:ascii="Times New Roman" w:eastAsiaTheme="minorEastAsia" w:hAnsi="Times New Roman" w:cs="Times New Roman"/>
                <w:i/>
                <w:iCs/>
                <w:sz w:val="20"/>
                <w:szCs w:val="20"/>
              </w:rPr>
              <w:t xml:space="preserve"> </w:t>
            </w:r>
            <w:r w:rsidRPr="00BD2F51">
              <w:rPr>
                <w:rFonts w:ascii="Times New Roman" w:eastAsiaTheme="minorEastAsia" w:hAnsi="Times New Roman" w:cs="Times New Roman"/>
                <w:i/>
                <w:iCs/>
                <w:sz w:val="20"/>
                <w:szCs w:val="20"/>
              </w:rPr>
              <w:t>за утрату переданных ему всех экземпляров ключей от ячейки, за ущерб, причиненный Банку в результате нарушений правил аренды.</w:t>
            </w:r>
          </w:p>
        </w:tc>
      </w:tr>
      <w:tr w:rsidR="007F6655" w:rsidRPr="003A217B" w14:paraId="2C60A5DD" w14:textId="77777777" w:rsidTr="00592DEF">
        <w:trPr>
          <w:trHeight w:val="1419"/>
        </w:trPr>
        <w:tc>
          <w:tcPr>
            <w:tcW w:w="562" w:type="dxa"/>
            <w:vAlign w:val="center"/>
          </w:tcPr>
          <w:p w14:paraId="2379787B" w14:textId="77777777" w:rsidR="007F6655" w:rsidRDefault="007F6655" w:rsidP="00C22359">
            <w:pPr>
              <w:jc w:val="center"/>
              <w:rPr>
                <w:rFonts w:ascii="Times New Roman" w:hAnsi="Times New Roman" w:cs="Times New Roman"/>
                <w:sz w:val="20"/>
                <w:szCs w:val="20"/>
              </w:rPr>
            </w:pPr>
            <w:r>
              <w:rPr>
                <w:rFonts w:ascii="Times New Roman" w:hAnsi="Times New Roman" w:cs="Times New Roman"/>
                <w:sz w:val="20"/>
                <w:szCs w:val="20"/>
              </w:rPr>
              <w:t>11</w:t>
            </w:r>
          </w:p>
        </w:tc>
        <w:tc>
          <w:tcPr>
            <w:tcW w:w="3549" w:type="dxa"/>
            <w:gridSpan w:val="2"/>
            <w:tcBorders>
              <w:top w:val="nil"/>
              <w:left w:val="single" w:sz="8" w:space="0" w:color="auto"/>
              <w:bottom w:val="single" w:sz="4" w:space="0" w:color="auto"/>
              <w:right w:val="single" w:sz="4" w:space="0" w:color="auto"/>
            </w:tcBorders>
            <w:shd w:val="clear" w:color="000000" w:fill="FFFFFF"/>
            <w:vAlign w:val="center"/>
          </w:tcPr>
          <w:p w14:paraId="060FD716" w14:textId="77777777" w:rsidR="007F6655" w:rsidRPr="00D21A45" w:rsidRDefault="00D21A45" w:rsidP="00C31641">
            <w:pPr>
              <w:rPr>
                <w:rFonts w:ascii="Times New Roman" w:eastAsia="Times New Roman" w:hAnsi="Times New Roman" w:cs="Times New Roman"/>
                <w:sz w:val="20"/>
                <w:szCs w:val="20"/>
              </w:rPr>
            </w:pPr>
            <w:r w:rsidRPr="00D21A45">
              <w:rPr>
                <w:rFonts w:ascii="Times New Roman" w:eastAsia="Times New Roman" w:hAnsi="Times New Roman" w:cs="Times New Roman"/>
                <w:sz w:val="20"/>
                <w:szCs w:val="20"/>
              </w:rPr>
              <w:t>Продление срока аренды</w:t>
            </w:r>
          </w:p>
        </w:tc>
        <w:tc>
          <w:tcPr>
            <w:tcW w:w="5516" w:type="dxa"/>
          </w:tcPr>
          <w:p w14:paraId="28BB16A6" w14:textId="2F2A88D3" w:rsidR="007F6655" w:rsidRPr="00D21A45" w:rsidRDefault="00BD2F51" w:rsidP="00C31641">
            <w:pPr>
              <w:jc w:val="both"/>
              <w:rPr>
                <w:rFonts w:ascii="Times New Roman" w:eastAsiaTheme="minorEastAsia" w:hAnsi="Times New Roman" w:cs="Times New Roman"/>
                <w:i/>
                <w:sz w:val="20"/>
                <w:szCs w:val="20"/>
              </w:rPr>
            </w:pPr>
            <w:r w:rsidRPr="00BD2F51">
              <w:rPr>
                <w:rFonts w:ascii="Times New Roman" w:eastAsiaTheme="minorEastAsia" w:hAnsi="Times New Roman" w:cs="Times New Roman"/>
                <w:i/>
                <w:sz w:val="20"/>
                <w:szCs w:val="20"/>
              </w:rPr>
              <w:t>Срок аренды может быть продлен по соглашению сторон посредством заключения соответствующего дополнительного соглашения к Договору аренды, при условии, что новый срок аренды не будет превышать 365 календарных дней (включительно). Течение очередного срока аренды ячейки начинается со дня, следующего за датой окончания предыдущего срока аренды ячейки.</w:t>
            </w:r>
          </w:p>
        </w:tc>
      </w:tr>
      <w:tr w:rsidR="00D21A45" w:rsidRPr="003A217B" w14:paraId="6E54EE2C" w14:textId="77777777" w:rsidTr="00201220">
        <w:tc>
          <w:tcPr>
            <w:tcW w:w="562" w:type="dxa"/>
            <w:vAlign w:val="center"/>
          </w:tcPr>
          <w:p w14:paraId="12C7D4AC" w14:textId="77777777" w:rsidR="00D21A45" w:rsidRDefault="00D21A45" w:rsidP="00C22359">
            <w:pPr>
              <w:jc w:val="center"/>
              <w:rPr>
                <w:rFonts w:ascii="Times New Roman" w:hAnsi="Times New Roman" w:cs="Times New Roman"/>
                <w:sz w:val="20"/>
                <w:szCs w:val="20"/>
              </w:rPr>
            </w:pPr>
            <w:r>
              <w:rPr>
                <w:rFonts w:ascii="Times New Roman" w:hAnsi="Times New Roman" w:cs="Times New Roman"/>
                <w:sz w:val="20"/>
                <w:szCs w:val="20"/>
              </w:rPr>
              <w:t>12</w:t>
            </w:r>
          </w:p>
        </w:tc>
        <w:tc>
          <w:tcPr>
            <w:tcW w:w="3549" w:type="dxa"/>
            <w:gridSpan w:val="2"/>
            <w:tcBorders>
              <w:top w:val="nil"/>
              <w:left w:val="single" w:sz="8" w:space="0" w:color="auto"/>
              <w:bottom w:val="single" w:sz="4" w:space="0" w:color="auto"/>
              <w:right w:val="single" w:sz="4" w:space="0" w:color="auto"/>
            </w:tcBorders>
            <w:shd w:val="clear" w:color="000000" w:fill="FFFFFF"/>
            <w:vAlign w:val="center"/>
          </w:tcPr>
          <w:p w14:paraId="1736859B" w14:textId="77777777" w:rsidR="00C21FAE" w:rsidRPr="00C21FAE" w:rsidRDefault="00C21FAE" w:rsidP="00C21FAE">
            <w:pPr>
              <w:tabs>
                <w:tab w:val="center" w:pos="558"/>
                <w:tab w:val="center" w:pos="2268"/>
                <w:tab w:val="center" w:pos="3902"/>
              </w:tabs>
              <w:spacing w:after="29"/>
              <w:jc w:val="both"/>
              <w:rPr>
                <w:rFonts w:ascii="Times New Roman" w:hAnsi="Times New Roman" w:cs="Times New Roman"/>
                <w:sz w:val="20"/>
                <w:szCs w:val="20"/>
              </w:rPr>
            </w:pPr>
            <w:r w:rsidRPr="00C21FAE">
              <w:rPr>
                <w:rFonts w:ascii="Times New Roman" w:eastAsia="Times New Roman" w:hAnsi="Times New Roman" w:cs="Times New Roman"/>
                <w:sz w:val="20"/>
                <w:szCs w:val="20"/>
              </w:rPr>
              <w:t xml:space="preserve">Основания </w:t>
            </w:r>
            <w:r w:rsidRPr="00C21FAE">
              <w:rPr>
                <w:rFonts w:ascii="Times New Roman" w:eastAsia="Times New Roman" w:hAnsi="Times New Roman" w:cs="Times New Roman"/>
                <w:sz w:val="20"/>
                <w:szCs w:val="20"/>
              </w:rPr>
              <w:tab/>
              <w:t xml:space="preserve">досрочного </w:t>
            </w:r>
            <w:r w:rsidRPr="00C21FAE">
              <w:rPr>
                <w:rFonts w:ascii="Times New Roman" w:eastAsia="Times New Roman" w:hAnsi="Times New Roman" w:cs="Times New Roman"/>
                <w:sz w:val="20"/>
                <w:szCs w:val="20"/>
              </w:rPr>
              <w:tab/>
              <w:t>вскрытия сейфовой</w:t>
            </w:r>
          </w:p>
          <w:p w14:paraId="21B04ADA" w14:textId="77777777" w:rsidR="00D21A45" w:rsidRPr="0030751F" w:rsidRDefault="00C21FAE" w:rsidP="00C21FAE">
            <w:pPr>
              <w:rPr>
                <w:rFonts w:ascii="Times New Roman" w:eastAsia="Times New Roman" w:hAnsi="Times New Roman" w:cs="Times New Roman"/>
                <w:sz w:val="20"/>
                <w:szCs w:val="20"/>
              </w:rPr>
            </w:pPr>
            <w:r w:rsidRPr="00C21FAE">
              <w:rPr>
                <w:rFonts w:ascii="Times New Roman" w:eastAsia="Times New Roman" w:hAnsi="Times New Roman" w:cs="Times New Roman"/>
                <w:sz w:val="20"/>
                <w:szCs w:val="20"/>
              </w:rPr>
              <w:t>ячейки (если применимо)</w:t>
            </w:r>
          </w:p>
        </w:tc>
        <w:tc>
          <w:tcPr>
            <w:tcW w:w="5516" w:type="dxa"/>
          </w:tcPr>
          <w:p w14:paraId="10930A09" w14:textId="4A301CCC" w:rsidR="00BD2F51" w:rsidRPr="00BD2F51" w:rsidRDefault="00BD2F51" w:rsidP="00BD2F51">
            <w:pPr>
              <w:autoSpaceDE w:val="0"/>
              <w:autoSpaceDN w:val="0"/>
              <w:adjustRightInd w:val="0"/>
              <w:jc w:val="both"/>
              <w:rPr>
                <w:rFonts w:ascii="Times New Roman" w:eastAsiaTheme="minorEastAsia" w:hAnsi="Times New Roman" w:cs="Times New Roman"/>
                <w:i/>
                <w:iCs/>
                <w:sz w:val="20"/>
                <w:szCs w:val="20"/>
              </w:rPr>
            </w:pPr>
            <w:r>
              <w:rPr>
                <w:rFonts w:ascii="Times New Roman" w:eastAsiaTheme="minorEastAsia" w:hAnsi="Times New Roman" w:cs="Times New Roman"/>
                <w:i/>
                <w:iCs/>
                <w:sz w:val="20"/>
                <w:szCs w:val="20"/>
              </w:rPr>
              <w:t>а</w:t>
            </w:r>
            <w:r w:rsidRPr="00BD2F51">
              <w:rPr>
                <w:rFonts w:ascii="Times New Roman" w:eastAsiaTheme="minorEastAsia" w:hAnsi="Times New Roman" w:cs="Times New Roman"/>
                <w:i/>
                <w:iCs/>
                <w:sz w:val="20"/>
                <w:szCs w:val="20"/>
              </w:rPr>
              <w:t>)</w:t>
            </w:r>
            <w:r>
              <w:rPr>
                <w:rFonts w:ascii="Times New Roman" w:eastAsiaTheme="minorEastAsia" w:hAnsi="Times New Roman" w:cs="Times New Roman"/>
                <w:i/>
                <w:iCs/>
                <w:sz w:val="20"/>
                <w:szCs w:val="20"/>
              </w:rPr>
              <w:t xml:space="preserve"> </w:t>
            </w:r>
            <w:r w:rsidRPr="00BD2F51">
              <w:rPr>
                <w:rFonts w:ascii="Times New Roman" w:eastAsiaTheme="minorEastAsia" w:hAnsi="Times New Roman" w:cs="Times New Roman"/>
                <w:i/>
                <w:iCs/>
                <w:sz w:val="20"/>
                <w:szCs w:val="20"/>
              </w:rPr>
              <w:t xml:space="preserve">Наличие </w:t>
            </w:r>
            <w:r w:rsidR="00592DEF">
              <w:rPr>
                <w:rFonts w:ascii="Times New Roman" w:eastAsiaTheme="minorEastAsia" w:hAnsi="Times New Roman" w:cs="Times New Roman"/>
                <w:i/>
                <w:iCs/>
                <w:sz w:val="20"/>
                <w:szCs w:val="20"/>
              </w:rPr>
              <w:t>причин</w:t>
            </w:r>
            <w:r w:rsidRPr="00BD2F51">
              <w:rPr>
                <w:rFonts w:ascii="Times New Roman" w:eastAsiaTheme="minorEastAsia" w:hAnsi="Times New Roman" w:cs="Times New Roman"/>
                <w:i/>
                <w:iCs/>
                <w:sz w:val="20"/>
                <w:szCs w:val="20"/>
              </w:rPr>
              <w:t xml:space="preserve"> (задымление, возгорание содержимого ячейки, превышение радиационного фона над допустимыми нормами и т. п.), при которых можно предполагать, что в ячейку помещены запрещенные для хранения предметы, которые могут нанести ущерб предметам вложения, хранящимся в смежных ячейках, имуществу Банка, зданию, работникам Банка.</w:t>
            </w:r>
          </w:p>
          <w:p w14:paraId="73F4A78D" w14:textId="5001E3EF" w:rsidR="00BD2F51" w:rsidRPr="00BD2F51" w:rsidRDefault="002E153D" w:rsidP="00BD2F51">
            <w:pPr>
              <w:autoSpaceDE w:val="0"/>
              <w:autoSpaceDN w:val="0"/>
              <w:adjustRightInd w:val="0"/>
              <w:jc w:val="both"/>
              <w:rPr>
                <w:rFonts w:ascii="Times New Roman" w:eastAsiaTheme="minorEastAsia" w:hAnsi="Times New Roman" w:cs="Times New Roman"/>
                <w:i/>
                <w:iCs/>
                <w:sz w:val="20"/>
                <w:szCs w:val="20"/>
              </w:rPr>
            </w:pPr>
            <w:r>
              <w:rPr>
                <w:rFonts w:ascii="Times New Roman" w:eastAsiaTheme="minorEastAsia" w:hAnsi="Times New Roman" w:cs="Times New Roman"/>
                <w:i/>
                <w:iCs/>
                <w:sz w:val="20"/>
                <w:szCs w:val="20"/>
              </w:rPr>
              <w:t>б</w:t>
            </w:r>
            <w:r w:rsidR="00BD2F51" w:rsidRPr="00BD2F51">
              <w:rPr>
                <w:rFonts w:ascii="Times New Roman" w:eastAsiaTheme="minorEastAsia" w:hAnsi="Times New Roman" w:cs="Times New Roman"/>
                <w:i/>
                <w:iCs/>
                <w:sz w:val="20"/>
                <w:szCs w:val="20"/>
              </w:rPr>
              <w:t>)</w:t>
            </w:r>
            <w:r w:rsidR="00BD2F51">
              <w:rPr>
                <w:rFonts w:ascii="Times New Roman" w:eastAsiaTheme="minorEastAsia" w:hAnsi="Times New Roman" w:cs="Times New Roman"/>
                <w:i/>
                <w:iCs/>
                <w:sz w:val="20"/>
                <w:szCs w:val="20"/>
              </w:rPr>
              <w:t xml:space="preserve"> </w:t>
            </w:r>
            <w:r w:rsidR="00BD2F51" w:rsidRPr="00BD2F51">
              <w:rPr>
                <w:rFonts w:ascii="Times New Roman" w:eastAsiaTheme="minorEastAsia" w:hAnsi="Times New Roman" w:cs="Times New Roman"/>
                <w:i/>
                <w:iCs/>
                <w:sz w:val="20"/>
                <w:szCs w:val="20"/>
              </w:rPr>
              <w:t>Возникновение обстоятельств непреодолимой силы (форс-мажорных обстоятельств), создающих угрозу для сохранности предметов вложения.</w:t>
            </w:r>
          </w:p>
          <w:p w14:paraId="0BCCB37A" w14:textId="767E160F" w:rsidR="00BD2F51" w:rsidRPr="00BD2F51" w:rsidRDefault="002E153D" w:rsidP="00BD2F51">
            <w:pPr>
              <w:autoSpaceDE w:val="0"/>
              <w:autoSpaceDN w:val="0"/>
              <w:adjustRightInd w:val="0"/>
              <w:jc w:val="both"/>
              <w:rPr>
                <w:rFonts w:ascii="Times New Roman" w:eastAsiaTheme="minorEastAsia" w:hAnsi="Times New Roman" w:cs="Times New Roman"/>
                <w:i/>
                <w:iCs/>
                <w:sz w:val="20"/>
                <w:szCs w:val="20"/>
              </w:rPr>
            </w:pPr>
            <w:r>
              <w:rPr>
                <w:rFonts w:ascii="Times New Roman" w:eastAsiaTheme="minorEastAsia" w:hAnsi="Times New Roman" w:cs="Times New Roman"/>
                <w:i/>
                <w:iCs/>
                <w:sz w:val="20"/>
                <w:szCs w:val="20"/>
              </w:rPr>
              <w:t>в</w:t>
            </w:r>
            <w:r w:rsidR="00BD2F51" w:rsidRPr="00BD2F51">
              <w:rPr>
                <w:rFonts w:ascii="Times New Roman" w:eastAsiaTheme="minorEastAsia" w:hAnsi="Times New Roman" w:cs="Times New Roman"/>
                <w:i/>
                <w:iCs/>
                <w:sz w:val="20"/>
                <w:szCs w:val="20"/>
              </w:rPr>
              <w:t>)</w:t>
            </w:r>
            <w:r w:rsidR="00BD2F51">
              <w:rPr>
                <w:rFonts w:ascii="Times New Roman" w:eastAsiaTheme="minorEastAsia" w:hAnsi="Times New Roman" w:cs="Times New Roman"/>
                <w:i/>
                <w:iCs/>
                <w:sz w:val="20"/>
                <w:szCs w:val="20"/>
              </w:rPr>
              <w:t xml:space="preserve"> </w:t>
            </w:r>
            <w:r w:rsidR="00BD2F51" w:rsidRPr="00BD2F51">
              <w:rPr>
                <w:rFonts w:ascii="Times New Roman" w:eastAsiaTheme="minorEastAsia" w:hAnsi="Times New Roman" w:cs="Times New Roman"/>
                <w:i/>
                <w:iCs/>
                <w:sz w:val="20"/>
                <w:szCs w:val="20"/>
              </w:rPr>
              <w:t>Истечение 30 календарных дней с момента направления Клиенту письменного уведомления об истечении срока аренды.</w:t>
            </w:r>
          </w:p>
          <w:p w14:paraId="470E0E7C" w14:textId="7DBB4C0D" w:rsidR="00BD2F51" w:rsidRPr="00BD2F51" w:rsidRDefault="002E153D" w:rsidP="00BD2F51">
            <w:pPr>
              <w:autoSpaceDE w:val="0"/>
              <w:autoSpaceDN w:val="0"/>
              <w:adjustRightInd w:val="0"/>
              <w:jc w:val="both"/>
              <w:rPr>
                <w:rFonts w:ascii="Times New Roman" w:eastAsiaTheme="minorEastAsia" w:hAnsi="Times New Roman" w:cs="Times New Roman"/>
                <w:i/>
                <w:iCs/>
                <w:sz w:val="20"/>
                <w:szCs w:val="20"/>
              </w:rPr>
            </w:pPr>
            <w:r>
              <w:rPr>
                <w:rFonts w:ascii="Times New Roman" w:eastAsiaTheme="minorEastAsia" w:hAnsi="Times New Roman" w:cs="Times New Roman"/>
                <w:i/>
                <w:iCs/>
                <w:sz w:val="20"/>
                <w:szCs w:val="20"/>
              </w:rPr>
              <w:t>г</w:t>
            </w:r>
            <w:r w:rsidR="00BD2F51" w:rsidRPr="00BD2F51">
              <w:rPr>
                <w:rFonts w:ascii="Times New Roman" w:eastAsiaTheme="minorEastAsia" w:hAnsi="Times New Roman" w:cs="Times New Roman"/>
                <w:i/>
                <w:iCs/>
                <w:sz w:val="20"/>
                <w:szCs w:val="20"/>
              </w:rPr>
              <w:t>)</w:t>
            </w:r>
            <w:r w:rsidR="00BD2F51">
              <w:rPr>
                <w:rFonts w:ascii="Times New Roman" w:eastAsiaTheme="minorEastAsia" w:hAnsi="Times New Roman" w:cs="Times New Roman"/>
                <w:i/>
                <w:iCs/>
                <w:sz w:val="20"/>
                <w:szCs w:val="20"/>
              </w:rPr>
              <w:t xml:space="preserve"> </w:t>
            </w:r>
            <w:r w:rsidR="00BD2F51" w:rsidRPr="00BD2F51">
              <w:rPr>
                <w:rFonts w:ascii="Times New Roman" w:eastAsiaTheme="minorEastAsia" w:hAnsi="Times New Roman" w:cs="Times New Roman"/>
                <w:i/>
                <w:iCs/>
                <w:sz w:val="20"/>
                <w:szCs w:val="20"/>
              </w:rPr>
              <w:t>Получение от Клиента письменного заявления в свободной форме о факте утраты (поломки) ключей или повреждения замка ячейки по вине Клиента.</w:t>
            </w:r>
          </w:p>
          <w:p w14:paraId="18A008DC" w14:textId="02330746" w:rsidR="002E153D" w:rsidRDefault="002E153D" w:rsidP="002E153D">
            <w:pPr>
              <w:jc w:val="both"/>
              <w:rPr>
                <w:rFonts w:ascii="Times New Roman" w:eastAsiaTheme="minorEastAsia" w:hAnsi="Times New Roman" w:cs="Times New Roman"/>
                <w:i/>
                <w:iCs/>
                <w:sz w:val="20"/>
                <w:szCs w:val="20"/>
              </w:rPr>
            </w:pPr>
            <w:r>
              <w:rPr>
                <w:rFonts w:ascii="Times New Roman" w:eastAsiaTheme="minorEastAsia" w:hAnsi="Times New Roman" w:cs="Times New Roman"/>
                <w:i/>
                <w:iCs/>
                <w:sz w:val="20"/>
                <w:szCs w:val="20"/>
              </w:rPr>
              <w:t>д</w:t>
            </w:r>
            <w:r w:rsidR="00BD2F51" w:rsidRPr="00BD2F51">
              <w:rPr>
                <w:rFonts w:ascii="Times New Roman" w:eastAsiaTheme="minorEastAsia" w:hAnsi="Times New Roman" w:cs="Times New Roman"/>
                <w:i/>
                <w:iCs/>
                <w:sz w:val="20"/>
                <w:szCs w:val="20"/>
              </w:rPr>
              <w:t>)</w:t>
            </w:r>
            <w:r w:rsidR="00BD2F51">
              <w:rPr>
                <w:rFonts w:ascii="Times New Roman" w:eastAsiaTheme="minorEastAsia" w:hAnsi="Times New Roman" w:cs="Times New Roman"/>
                <w:i/>
                <w:iCs/>
                <w:sz w:val="20"/>
                <w:szCs w:val="20"/>
              </w:rPr>
              <w:t xml:space="preserve"> </w:t>
            </w:r>
            <w:r w:rsidR="00BD2F51" w:rsidRPr="00BD2F51">
              <w:rPr>
                <w:rFonts w:ascii="Times New Roman" w:eastAsiaTheme="minorEastAsia" w:hAnsi="Times New Roman" w:cs="Times New Roman"/>
                <w:i/>
                <w:iCs/>
                <w:sz w:val="20"/>
                <w:szCs w:val="20"/>
              </w:rPr>
              <w:t xml:space="preserve">Неявка Клиента по истечению 30 календарных дней с момента направления письменного уведомления о ликвидации или закрытии Банка, или проведение Банком ремонтных работ, по причине которых будет приостановлено обслуживание Клиентов. </w:t>
            </w:r>
          </w:p>
          <w:p w14:paraId="06CFD617" w14:textId="65127855" w:rsidR="00592DEF" w:rsidRPr="002E153D" w:rsidRDefault="002E153D" w:rsidP="002E153D">
            <w:pPr>
              <w:jc w:val="both"/>
              <w:rPr>
                <w:rFonts w:ascii="Times New Roman" w:eastAsiaTheme="minorEastAsia" w:hAnsi="Times New Roman" w:cs="Times New Roman"/>
                <w:i/>
                <w:iCs/>
                <w:sz w:val="20"/>
                <w:szCs w:val="20"/>
              </w:rPr>
            </w:pPr>
            <w:r>
              <w:rPr>
                <w:rFonts w:ascii="Times New Roman" w:eastAsiaTheme="minorEastAsia" w:hAnsi="Times New Roman" w:cs="Times New Roman"/>
                <w:i/>
                <w:iCs/>
                <w:sz w:val="20"/>
                <w:szCs w:val="20"/>
              </w:rPr>
              <w:t>е</w:t>
            </w:r>
            <w:r w:rsidR="00592DEF">
              <w:rPr>
                <w:rFonts w:ascii="Times New Roman" w:eastAsiaTheme="minorEastAsia" w:hAnsi="Times New Roman" w:cs="Times New Roman"/>
                <w:i/>
                <w:iCs/>
                <w:sz w:val="20"/>
                <w:szCs w:val="20"/>
              </w:rPr>
              <w:t xml:space="preserve">) В </w:t>
            </w:r>
            <w:r w:rsidR="00592DEF" w:rsidRPr="00592DEF">
              <w:rPr>
                <w:rFonts w:ascii="Times New Roman" w:eastAsiaTheme="minorEastAsia" w:hAnsi="Times New Roman" w:cs="Times New Roman"/>
                <w:i/>
                <w:iCs/>
                <w:sz w:val="20"/>
                <w:szCs w:val="20"/>
              </w:rPr>
              <w:t xml:space="preserve">иных случаях, предусмотренных </w:t>
            </w:r>
            <w:r w:rsidR="00592DEF">
              <w:rPr>
                <w:rFonts w:ascii="Times New Roman" w:eastAsiaTheme="minorEastAsia" w:hAnsi="Times New Roman" w:cs="Times New Roman"/>
                <w:i/>
                <w:iCs/>
                <w:sz w:val="20"/>
                <w:szCs w:val="20"/>
              </w:rPr>
              <w:t xml:space="preserve">Правилами и </w:t>
            </w:r>
            <w:r w:rsidR="00592DEF" w:rsidRPr="00592DEF">
              <w:rPr>
                <w:rFonts w:ascii="Times New Roman" w:eastAsiaTheme="minorEastAsia" w:hAnsi="Times New Roman" w:cs="Times New Roman"/>
                <w:i/>
                <w:iCs/>
                <w:sz w:val="20"/>
                <w:szCs w:val="20"/>
              </w:rPr>
              <w:t>действующим законодательством Российской Федерации.</w:t>
            </w:r>
          </w:p>
        </w:tc>
      </w:tr>
      <w:tr w:rsidR="008F572E" w:rsidRPr="003A217B" w14:paraId="3427C1EC" w14:textId="77777777" w:rsidTr="00201220">
        <w:tc>
          <w:tcPr>
            <w:tcW w:w="562" w:type="dxa"/>
            <w:vAlign w:val="center"/>
          </w:tcPr>
          <w:p w14:paraId="4B41F932" w14:textId="77777777" w:rsidR="008F572E" w:rsidRDefault="008F572E" w:rsidP="00C21FAE">
            <w:pPr>
              <w:jc w:val="center"/>
              <w:rPr>
                <w:rFonts w:ascii="Times New Roman" w:hAnsi="Times New Roman" w:cs="Times New Roman"/>
                <w:sz w:val="20"/>
                <w:szCs w:val="20"/>
              </w:rPr>
            </w:pPr>
            <w:r>
              <w:rPr>
                <w:rFonts w:ascii="Times New Roman" w:hAnsi="Times New Roman" w:cs="Times New Roman"/>
                <w:sz w:val="20"/>
                <w:szCs w:val="20"/>
              </w:rPr>
              <w:t>13</w:t>
            </w:r>
          </w:p>
        </w:tc>
        <w:tc>
          <w:tcPr>
            <w:tcW w:w="3549" w:type="dxa"/>
            <w:gridSpan w:val="2"/>
            <w:tcBorders>
              <w:top w:val="nil"/>
              <w:left w:val="single" w:sz="8" w:space="0" w:color="auto"/>
              <w:bottom w:val="single" w:sz="4" w:space="0" w:color="auto"/>
            </w:tcBorders>
            <w:shd w:val="clear" w:color="000000" w:fill="FFFFFF"/>
            <w:vAlign w:val="center"/>
          </w:tcPr>
          <w:p w14:paraId="3D01E162" w14:textId="77777777" w:rsidR="008F572E" w:rsidRPr="00C21FAE" w:rsidRDefault="008F572E" w:rsidP="008F572E">
            <w:pPr>
              <w:autoSpaceDE w:val="0"/>
              <w:autoSpaceDN w:val="0"/>
              <w:adjustRightInd w:val="0"/>
              <w:jc w:val="both"/>
              <w:rPr>
                <w:rFonts w:ascii="Times New Roman" w:hAnsi="Times New Roman" w:cs="Times New Roman"/>
                <w:sz w:val="20"/>
                <w:szCs w:val="20"/>
              </w:rPr>
            </w:pPr>
            <w:r w:rsidRPr="00C21FAE">
              <w:rPr>
                <w:rFonts w:ascii="Times New Roman" w:eastAsia="Times New Roman" w:hAnsi="Times New Roman" w:cs="Times New Roman"/>
                <w:sz w:val="20"/>
                <w:szCs w:val="20"/>
              </w:rPr>
              <w:t>Ответственн</w:t>
            </w:r>
            <w:r>
              <w:rPr>
                <w:rFonts w:ascii="Times New Roman" w:eastAsia="Times New Roman" w:hAnsi="Times New Roman" w:cs="Times New Roman"/>
                <w:sz w:val="20"/>
                <w:szCs w:val="20"/>
              </w:rPr>
              <w:t>ость Банка за сохранность вещей</w:t>
            </w:r>
          </w:p>
        </w:tc>
        <w:tc>
          <w:tcPr>
            <w:tcW w:w="5516" w:type="dxa"/>
            <w:tcBorders>
              <w:top w:val="nil"/>
              <w:left w:val="single" w:sz="8" w:space="0" w:color="auto"/>
              <w:bottom w:val="single" w:sz="4" w:space="0" w:color="auto"/>
            </w:tcBorders>
            <w:shd w:val="clear" w:color="000000" w:fill="FFFFFF"/>
            <w:vAlign w:val="center"/>
          </w:tcPr>
          <w:p w14:paraId="0C304DDD" w14:textId="2B0963F8" w:rsidR="008F572E" w:rsidRPr="00C21FAE" w:rsidRDefault="00592DEF" w:rsidP="002E153D">
            <w:pPr>
              <w:autoSpaceDE w:val="0"/>
              <w:autoSpaceDN w:val="0"/>
              <w:adjustRightInd w:val="0"/>
              <w:jc w:val="both"/>
              <w:rPr>
                <w:rFonts w:ascii="Times New Roman" w:hAnsi="Times New Roman" w:cs="Times New Roman"/>
                <w:sz w:val="20"/>
                <w:szCs w:val="20"/>
              </w:rPr>
            </w:pPr>
            <w:r w:rsidRPr="00592DEF">
              <w:rPr>
                <w:rFonts w:ascii="Times New Roman" w:eastAsiaTheme="minorEastAsia" w:hAnsi="Times New Roman" w:cs="Times New Roman"/>
                <w:i/>
                <w:iCs/>
                <w:sz w:val="20"/>
                <w:szCs w:val="20"/>
              </w:rPr>
              <w:t xml:space="preserve">Банк несет ответственность за доступ к ячейке/сейфу уполномоченных лиц, но не несет ответственности за сохранность вещей, размещенных в </w:t>
            </w:r>
            <w:r>
              <w:rPr>
                <w:rFonts w:ascii="Times New Roman" w:eastAsiaTheme="minorEastAsia" w:hAnsi="Times New Roman" w:cs="Times New Roman"/>
                <w:i/>
                <w:iCs/>
                <w:sz w:val="20"/>
                <w:szCs w:val="20"/>
              </w:rPr>
              <w:t>сейфовой я</w:t>
            </w:r>
            <w:r w:rsidRPr="00592DEF">
              <w:rPr>
                <w:rFonts w:ascii="Times New Roman" w:eastAsiaTheme="minorEastAsia" w:hAnsi="Times New Roman" w:cs="Times New Roman"/>
                <w:i/>
                <w:iCs/>
                <w:sz w:val="20"/>
                <w:szCs w:val="20"/>
              </w:rPr>
              <w:t>чейке.</w:t>
            </w:r>
          </w:p>
        </w:tc>
      </w:tr>
      <w:tr w:rsidR="00C21FAE" w:rsidRPr="003A217B" w14:paraId="6BCCE7E1" w14:textId="77777777" w:rsidTr="00201220">
        <w:tc>
          <w:tcPr>
            <w:tcW w:w="9627" w:type="dxa"/>
            <w:gridSpan w:val="4"/>
          </w:tcPr>
          <w:p w14:paraId="74473BC5" w14:textId="77777777" w:rsidR="00C21FAE" w:rsidRPr="006F3D47" w:rsidRDefault="00C21FAE" w:rsidP="00C21FAE">
            <w:pPr>
              <w:jc w:val="center"/>
              <w:rPr>
                <w:rFonts w:ascii="Times New Roman" w:hAnsi="Times New Roman" w:cs="Times New Roman"/>
                <w:b/>
                <w:sz w:val="20"/>
                <w:szCs w:val="20"/>
              </w:rPr>
            </w:pPr>
            <w:r>
              <w:rPr>
                <w:rFonts w:ascii="Times New Roman" w:hAnsi="Times New Roman" w:cs="Times New Roman"/>
                <w:b/>
                <w:sz w:val="20"/>
                <w:szCs w:val="20"/>
              </w:rPr>
              <w:t>РАСХОДЫ ПОТРЕБИТЕЛЯ</w:t>
            </w:r>
          </w:p>
        </w:tc>
      </w:tr>
      <w:tr w:rsidR="00C21FAE" w:rsidRPr="003A217B" w14:paraId="75F96F0B" w14:textId="77777777" w:rsidTr="00592DEF">
        <w:trPr>
          <w:trHeight w:val="713"/>
        </w:trPr>
        <w:tc>
          <w:tcPr>
            <w:tcW w:w="562" w:type="dxa"/>
            <w:vAlign w:val="center"/>
          </w:tcPr>
          <w:p w14:paraId="2EE8918F" w14:textId="77777777" w:rsidR="00C21FAE" w:rsidRPr="005367AB" w:rsidRDefault="00C21FAE" w:rsidP="00C21FAE">
            <w:pPr>
              <w:jc w:val="center"/>
              <w:rPr>
                <w:rFonts w:ascii="Times New Roman" w:hAnsi="Times New Roman" w:cs="Times New Roman"/>
                <w:sz w:val="20"/>
                <w:szCs w:val="20"/>
              </w:rPr>
            </w:pPr>
            <w:r w:rsidRPr="005367AB">
              <w:rPr>
                <w:rFonts w:ascii="Times New Roman" w:hAnsi="Times New Roman" w:cs="Times New Roman"/>
                <w:sz w:val="20"/>
                <w:szCs w:val="20"/>
              </w:rPr>
              <w:t>14</w:t>
            </w:r>
          </w:p>
        </w:tc>
        <w:tc>
          <w:tcPr>
            <w:tcW w:w="9065" w:type="dxa"/>
            <w:gridSpan w:val="3"/>
            <w:tcBorders>
              <w:top w:val="single" w:sz="4" w:space="0" w:color="auto"/>
              <w:left w:val="single" w:sz="8" w:space="0" w:color="auto"/>
              <w:bottom w:val="single" w:sz="4" w:space="0" w:color="auto"/>
            </w:tcBorders>
            <w:shd w:val="clear" w:color="000000" w:fill="FFFFFF"/>
            <w:vAlign w:val="center"/>
          </w:tcPr>
          <w:p w14:paraId="2B24E74E" w14:textId="1206CD4E" w:rsidR="005367AB" w:rsidRDefault="00C21FAE" w:rsidP="005367AB">
            <w:pPr>
              <w:jc w:val="both"/>
              <w:rPr>
                <w:rFonts w:ascii="Times New Roman" w:eastAsia="Times New Roman" w:hAnsi="Times New Roman" w:cs="Times New Roman"/>
                <w:sz w:val="20"/>
                <w:szCs w:val="20"/>
              </w:rPr>
            </w:pPr>
            <w:r w:rsidRPr="00E101C6">
              <w:rPr>
                <w:rFonts w:ascii="Times New Roman" w:eastAsia="Times New Roman" w:hAnsi="Times New Roman" w:cs="Times New Roman"/>
                <w:sz w:val="20"/>
                <w:szCs w:val="20"/>
              </w:rPr>
              <w:t>За аренду сейфовой ячейки</w:t>
            </w:r>
            <w:r w:rsidR="005367AB">
              <w:rPr>
                <w:rFonts w:ascii="Times New Roman" w:eastAsia="Times New Roman" w:hAnsi="Times New Roman" w:cs="Times New Roman"/>
                <w:sz w:val="20"/>
                <w:szCs w:val="20"/>
              </w:rPr>
              <w:t xml:space="preserve"> взимается плата в соответствии с Тарифами.</w:t>
            </w:r>
          </w:p>
          <w:p w14:paraId="41CA5255" w14:textId="77777777" w:rsidR="005367AB" w:rsidRDefault="005367AB" w:rsidP="005367A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w:t>
            </w:r>
            <w:r w:rsidR="00131939" w:rsidRPr="00E101C6">
              <w:rPr>
                <w:rFonts w:ascii="Times New Roman" w:eastAsia="Times New Roman" w:hAnsi="Times New Roman" w:cs="Times New Roman"/>
                <w:sz w:val="20"/>
                <w:szCs w:val="20"/>
              </w:rPr>
              <w:t xml:space="preserve"> дополнительные услуги</w:t>
            </w:r>
            <w:r>
              <w:rPr>
                <w:rFonts w:ascii="Times New Roman" w:eastAsia="Times New Roman" w:hAnsi="Times New Roman" w:cs="Times New Roman"/>
                <w:sz w:val="20"/>
                <w:szCs w:val="20"/>
              </w:rPr>
              <w:t xml:space="preserve"> взимается плата в соответствии с Тарифами.</w:t>
            </w:r>
          </w:p>
          <w:p w14:paraId="09C56D29" w14:textId="53ED6B81" w:rsidR="00C21FAE" w:rsidRPr="00E101C6" w:rsidRDefault="005367AB" w:rsidP="00592DE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Неустойка (штраф) </w:t>
            </w:r>
            <w:r w:rsidR="00A41D4E" w:rsidRPr="00E101C6">
              <w:rPr>
                <w:rFonts w:ascii="Times New Roman" w:eastAsia="Times New Roman" w:hAnsi="Times New Roman" w:cs="Times New Roman"/>
                <w:sz w:val="20"/>
                <w:szCs w:val="20"/>
              </w:rPr>
              <w:t>за нарушени</w:t>
            </w:r>
            <w:r>
              <w:rPr>
                <w:rFonts w:ascii="Times New Roman" w:eastAsia="Times New Roman" w:hAnsi="Times New Roman" w:cs="Times New Roman"/>
                <w:sz w:val="20"/>
                <w:szCs w:val="20"/>
              </w:rPr>
              <w:t>е</w:t>
            </w:r>
            <w:r w:rsidR="00A41D4E" w:rsidRPr="00E101C6">
              <w:rPr>
                <w:rFonts w:ascii="Times New Roman" w:eastAsia="Times New Roman" w:hAnsi="Times New Roman" w:cs="Times New Roman"/>
                <w:sz w:val="20"/>
                <w:szCs w:val="20"/>
              </w:rPr>
              <w:t xml:space="preserve"> условий </w:t>
            </w:r>
            <w:r w:rsidR="00592DEF" w:rsidRPr="00E101C6">
              <w:rPr>
                <w:rFonts w:ascii="Times New Roman" w:eastAsia="Times New Roman" w:hAnsi="Times New Roman" w:cs="Times New Roman"/>
                <w:sz w:val="20"/>
                <w:szCs w:val="20"/>
              </w:rPr>
              <w:t>аренды</w:t>
            </w:r>
            <w:r w:rsidR="00A41D4E" w:rsidRPr="00E101C6">
              <w:rPr>
                <w:rFonts w:ascii="Times New Roman" w:eastAsia="Times New Roman" w:hAnsi="Times New Roman" w:cs="Times New Roman"/>
                <w:sz w:val="20"/>
                <w:szCs w:val="20"/>
              </w:rPr>
              <w:t xml:space="preserve"> сейфовой ячейки, </w:t>
            </w:r>
            <w:r w:rsidR="00C21FAE" w:rsidRPr="00E101C6">
              <w:rPr>
                <w:rFonts w:ascii="Times New Roman" w:eastAsia="Times New Roman" w:hAnsi="Times New Roman" w:cs="Times New Roman"/>
                <w:sz w:val="20"/>
                <w:szCs w:val="20"/>
              </w:rPr>
              <w:t>взимается плата в соответствии с Тарифами.</w:t>
            </w:r>
          </w:p>
        </w:tc>
      </w:tr>
      <w:tr w:rsidR="00C21FAE" w:rsidRPr="003A217B" w14:paraId="35BBE0EE" w14:textId="77777777" w:rsidTr="00592DEF">
        <w:trPr>
          <w:trHeight w:val="201"/>
        </w:trPr>
        <w:tc>
          <w:tcPr>
            <w:tcW w:w="9627" w:type="dxa"/>
            <w:gridSpan w:val="4"/>
            <w:tcBorders>
              <w:top w:val="single" w:sz="4" w:space="0" w:color="auto"/>
              <w:left w:val="single" w:sz="8" w:space="0" w:color="auto"/>
              <w:bottom w:val="single" w:sz="4" w:space="0" w:color="auto"/>
              <w:right w:val="single" w:sz="8" w:space="0" w:color="000000"/>
            </w:tcBorders>
            <w:shd w:val="clear" w:color="000000" w:fill="FFFFFF"/>
            <w:vAlign w:val="center"/>
          </w:tcPr>
          <w:p w14:paraId="7D25FF30" w14:textId="727675CE" w:rsidR="00C21FAE" w:rsidRDefault="00C21FAE" w:rsidP="00647C87">
            <w:pPr>
              <w:jc w:val="center"/>
              <w:rPr>
                <w:b/>
                <w:bCs/>
                <w:color w:val="000000"/>
              </w:rPr>
            </w:pPr>
            <w:r w:rsidRPr="006F3D47">
              <w:rPr>
                <w:rFonts w:ascii="Times New Roman" w:hAnsi="Times New Roman" w:cs="Times New Roman"/>
                <w:b/>
                <w:sz w:val="20"/>
                <w:szCs w:val="20"/>
              </w:rPr>
              <w:t>СПОСОБЫ НАПРАВЛЕНИЯ ОБРАЩЕНИ</w:t>
            </w:r>
            <w:r w:rsidR="00647C87">
              <w:rPr>
                <w:rFonts w:ascii="Times New Roman" w:hAnsi="Times New Roman" w:cs="Times New Roman"/>
                <w:b/>
                <w:sz w:val="20"/>
                <w:szCs w:val="20"/>
              </w:rPr>
              <w:t>Й</w:t>
            </w:r>
            <w:r w:rsidRPr="006F3D47">
              <w:rPr>
                <w:rFonts w:ascii="Times New Roman" w:hAnsi="Times New Roman" w:cs="Times New Roman"/>
                <w:b/>
                <w:sz w:val="20"/>
                <w:szCs w:val="20"/>
              </w:rPr>
              <w:t xml:space="preserve"> В БАНК</w:t>
            </w:r>
          </w:p>
        </w:tc>
      </w:tr>
      <w:tr w:rsidR="00C21FAE" w:rsidRPr="003A217B" w14:paraId="31C64B94" w14:textId="77777777" w:rsidTr="00201220">
        <w:tc>
          <w:tcPr>
            <w:tcW w:w="9627" w:type="dxa"/>
            <w:gridSpan w:val="4"/>
            <w:tcBorders>
              <w:top w:val="single" w:sz="4" w:space="0" w:color="auto"/>
              <w:left w:val="single" w:sz="8" w:space="0" w:color="auto"/>
              <w:bottom w:val="single" w:sz="8" w:space="0" w:color="auto"/>
              <w:right w:val="single" w:sz="8" w:space="0" w:color="000000"/>
            </w:tcBorders>
            <w:shd w:val="clear" w:color="000000" w:fill="FFFFFF"/>
            <w:vAlign w:val="center"/>
          </w:tcPr>
          <w:p w14:paraId="03B0D41F" w14:textId="77777777" w:rsidR="00C21FAE" w:rsidRPr="003E494A" w:rsidRDefault="00C21FAE" w:rsidP="00C21FAE">
            <w:pPr>
              <w:rPr>
                <w:rFonts w:ascii="Times New Roman" w:hAnsi="Times New Roman" w:cs="Times New Roman"/>
                <w:sz w:val="20"/>
                <w:szCs w:val="20"/>
              </w:rPr>
            </w:pPr>
            <w:r w:rsidRPr="003E494A">
              <w:rPr>
                <w:rFonts w:ascii="Times New Roman" w:hAnsi="Times New Roman" w:cs="Times New Roman"/>
                <w:sz w:val="20"/>
                <w:szCs w:val="20"/>
              </w:rPr>
              <w:t xml:space="preserve">Направить обращения в Банк возможно одним из следующих способов:                                                                                                              - обратиться в подразделение Банка (головной офис/филиал);                                                                                                                              - позвонить по телефонам справочной службы Банка: 8-800-100-01-00 (для звонков по России), 7787 (Абонентам МТС, Мегафон, Билайн и Tele2), +7 (495) 787-77-87 (для звонков из-за границы);                                                                                                                                          - </w:t>
            </w:r>
            <w:r>
              <w:rPr>
                <w:rFonts w:ascii="Times New Roman" w:hAnsi="Times New Roman" w:cs="Times New Roman"/>
                <w:sz w:val="20"/>
                <w:szCs w:val="20"/>
              </w:rPr>
              <w:t>оставить обращение на официальном</w:t>
            </w:r>
            <w:r w:rsidRPr="003E494A">
              <w:rPr>
                <w:rFonts w:ascii="Times New Roman" w:hAnsi="Times New Roman" w:cs="Times New Roman"/>
                <w:sz w:val="20"/>
                <w:szCs w:val="20"/>
              </w:rPr>
              <w:t xml:space="preserve"> сайт</w:t>
            </w:r>
            <w:r>
              <w:rPr>
                <w:rFonts w:ascii="Times New Roman" w:hAnsi="Times New Roman" w:cs="Times New Roman"/>
                <w:sz w:val="20"/>
                <w:szCs w:val="20"/>
              </w:rPr>
              <w:t>е</w:t>
            </w:r>
            <w:r w:rsidRPr="003E494A">
              <w:rPr>
                <w:rFonts w:ascii="Times New Roman" w:hAnsi="Times New Roman" w:cs="Times New Roman"/>
                <w:sz w:val="20"/>
                <w:szCs w:val="20"/>
              </w:rPr>
              <w:t xml:space="preserve"> Банка в сети Интернет по адресу: www.rshb.ru.</w:t>
            </w:r>
          </w:p>
        </w:tc>
      </w:tr>
    </w:tbl>
    <w:p w14:paraId="2CC9636D" w14:textId="46277574" w:rsidR="00592DEF" w:rsidRPr="00B159BC" w:rsidRDefault="00592DEF" w:rsidP="00592DEF">
      <w:pPr>
        <w:jc w:val="both"/>
        <w:rPr>
          <w:rFonts w:ascii="Times New Roman" w:hAnsi="Times New Roman" w:cs="Times New Roman"/>
          <w:sz w:val="20"/>
          <w:szCs w:val="20"/>
        </w:rPr>
      </w:pPr>
    </w:p>
    <w:sectPr w:rsidR="00592DEF" w:rsidRPr="00B159BC" w:rsidSect="002E5AFF">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B3C8E" w14:textId="77777777" w:rsidR="009E0165" w:rsidRDefault="009E0165" w:rsidP="00EF3561">
      <w:pPr>
        <w:spacing w:after="0" w:line="240" w:lineRule="auto"/>
      </w:pPr>
      <w:r>
        <w:separator/>
      </w:r>
    </w:p>
  </w:endnote>
  <w:endnote w:type="continuationSeparator" w:id="0">
    <w:p w14:paraId="382A34F2" w14:textId="77777777" w:rsidR="009E0165" w:rsidRDefault="009E0165" w:rsidP="00EF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6725B" w14:textId="77777777" w:rsidR="009E0165" w:rsidRDefault="009E0165" w:rsidP="00EF3561">
      <w:pPr>
        <w:spacing w:after="0" w:line="240" w:lineRule="auto"/>
      </w:pPr>
      <w:r>
        <w:separator/>
      </w:r>
    </w:p>
  </w:footnote>
  <w:footnote w:type="continuationSeparator" w:id="0">
    <w:p w14:paraId="04E6358F" w14:textId="77777777" w:rsidR="009E0165" w:rsidRDefault="009E0165" w:rsidP="00EF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04272"/>
      <w:docPartObj>
        <w:docPartGallery w:val="Page Numbers (Top of Page)"/>
        <w:docPartUnique/>
      </w:docPartObj>
    </w:sdtPr>
    <w:sdtEndPr/>
    <w:sdtContent>
      <w:p w14:paraId="6CE9E589" w14:textId="7E96D0BE" w:rsidR="00EF3561" w:rsidRDefault="00EF3561" w:rsidP="00856C8C">
        <w:pPr>
          <w:pStyle w:val="ab"/>
          <w:jc w:val="center"/>
        </w:pPr>
        <w:r>
          <w:fldChar w:fldCharType="begin"/>
        </w:r>
        <w:r>
          <w:instrText>PAGE   \* MERGEFORMAT</w:instrText>
        </w:r>
        <w:r>
          <w:fldChar w:fldCharType="separate"/>
        </w:r>
        <w:r w:rsidR="002E153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4B4"/>
    <w:multiLevelType w:val="hybridMultilevel"/>
    <w:tmpl w:val="BF26C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45A90"/>
    <w:multiLevelType w:val="hybridMultilevel"/>
    <w:tmpl w:val="ECD2C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A16A8"/>
    <w:multiLevelType w:val="hybridMultilevel"/>
    <w:tmpl w:val="116CB598"/>
    <w:lvl w:ilvl="0" w:tplc="0AE0B42E">
      <w:start w:val="1"/>
      <w:numFmt w:val="decimal"/>
      <w:lvlText w:val="%1."/>
      <w:lvlJc w:val="left"/>
      <w:pPr>
        <w:ind w:left="1755" w:hanging="1035"/>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181708"/>
    <w:multiLevelType w:val="hybridMultilevel"/>
    <w:tmpl w:val="EE6648CE"/>
    <w:lvl w:ilvl="0" w:tplc="348423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E60B2E"/>
    <w:multiLevelType w:val="multilevel"/>
    <w:tmpl w:val="29E6E26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592790"/>
    <w:multiLevelType w:val="hybridMultilevel"/>
    <w:tmpl w:val="F1FE3AD8"/>
    <w:lvl w:ilvl="0" w:tplc="5EAEA744">
      <w:start w:val="1"/>
      <w:numFmt w:val="bullet"/>
      <w:lvlText w:val="-"/>
      <w:lvlJc w:val="left"/>
      <w:pPr>
        <w:ind w:left="1429" w:hanging="360"/>
      </w:pPr>
      <w:rPr>
        <w:rFonts w:ascii="Symbol" w:hAnsi="Symbol"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B2025DE"/>
    <w:multiLevelType w:val="hybridMultilevel"/>
    <w:tmpl w:val="32569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404676"/>
    <w:multiLevelType w:val="multilevel"/>
    <w:tmpl w:val="9BD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F41CC"/>
    <w:multiLevelType w:val="hybridMultilevel"/>
    <w:tmpl w:val="85A8E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434320"/>
    <w:multiLevelType w:val="hybridMultilevel"/>
    <w:tmpl w:val="B11E7100"/>
    <w:lvl w:ilvl="0" w:tplc="04190001">
      <w:start w:val="1"/>
      <w:numFmt w:val="bullet"/>
      <w:lvlText w:val=""/>
      <w:lvlJc w:val="left"/>
      <w:pPr>
        <w:tabs>
          <w:tab w:val="num" w:pos="1428"/>
        </w:tabs>
        <w:ind w:left="1428" w:hanging="360"/>
      </w:pPr>
      <w:rPr>
        <w:rFonts w:ascii="Sylfaen" w:hAnsi="Sylfaen" w:hint="default"/>
      </w:rPr>
    </w:lvl>
    <w:lvl w:ilvl="1" w:tplc="04190003">
      <w:start w:val="1"/>
      <w:numFmt w:val="bullet"/>
      <w:lvlText w:val="o"/>
      <w:lvlJc w:val="left"/>
      <w:pPr>
        <w:tabs>
          <w:tab w:val="num" w:pos="2148"/>
        </w:tabs>
        <w:ind w:left="2148" w:hanging="360"/>
      </w:pPr>
      <w:rPr>
        <w:rFonts w:ascii="Cambria" w:hAnsi="Cambria" w:cs="Cambria" w:hint="default"/>
      </w:rPr>
    </w:lvl>
    <w:lvl w:ilvl="2" w:tplc="04190005" w:tentative="1">
      <w:start w:val="1"/>
      <w:numFmt w:val="bullet"/>
      <w:lvlText w:val=""/>
      <w:lvlJc w:val="left"/>
      <w:pPr>
        <w:tabs>
          <w:tab w:val="num" w:pos="2868"/>
        </w:tabs>
        <w:ind w:left="2868" w:hanging="360"/>
      </w:pPr>
      <w:rPr>
        <w:rFonts w:ascii="Courier New" w:hAnsi="Courier New" w:hint="default"/>
      </w:rPr>
    </w:lvl>
    <w:lvl w:ilvl="3" w:tplc="04190001" w:tentative="1">
      <w:start w:val="1"/>
      <w:numFmt w:val="bullet"/>
      <w:lvlText w:val=""/>
      <w:lvlJc w:val="left"/>
      <w:pPr>
        <w:tabs>
          <w:tab w:val="num" w:pos="3588"/>
        </w:tabs>
        <w:ind w:left="3588" w:hanging="360"/>
      </w:pPr>
      <w:rPr>
        <w:rFonts w:ascii="Sylfaen" w:hAnsi="Sylfaen" w:hint="default"/>
      </w:rPr>
    </w:lvl>
    <w:lvl w:ilvl="4" w:tplc="04190003" w:tentative="1">
      <w:start w:val="1"/>
      <w:numFmt w:val="bullet"/>
      <w:lvlText w:val="o"/>
      <w:lvlJc w:val="left"/>
      <w:pPr>
        <w:tabs>
          <w:tab w:val="num" w:pos="4308"/>
        </w:tabs>
        <w:ind w:left="4308" w:hanging="360"/>
      </w:pPr>
      <w:rPr>
        <w:rFonts w:ascii="Cambria" w:hAnsi="Cambria" w:cs="Cambria" w:hint="default"/>
      </w:rPr>
    </w:lvl>
    <w:lvl w:ilvl="5" w:tplc="04190005" w:tentative="1">
      <w:start w:val="1"/>
      <w:numFmt w:val="bullet"/>
      <w:lvlText w:val=""/>
      <w:lvlJc w:val="left"/>
      <w:pPr>
        <w:tabs>
          <w:tab w:val="num" w:pos="5028"/>
        </w:tabs>
        <w:ind w:left="5028" w:hanging="360"/>
      </w:pPr>
      <w:rPr>
        <w:rFonts w:ascii="Courier New" w:hAnsi="Courier New" w:hint="default"/>
      </w:rPr>
    </w:lvl>
    <w:lvl w:ilvl="6" w:tplc="04190001" w:tentative="1">
      <w:start w:val="1"/>
      <w:numFmt w:val="bullet"/>
      <w:lvlText w:val=""/>
      <w:lvlJc w:val="left"/>
      <w:pPr>
        <w:tabs>
          <w:tab w:val="num" w:pos="5748"/>
        </w:tabs>
        <w:ind w:left="5748" w:hanging="360"/>
      </w:pPr>
      <w:rPr>
        <w:rFonts w:ascii="Sylfaen" w:hAnsi="Sylfaen" w:hint="default"/>
      </w:rPr>
    </w:lvl>
    <w:lvl w:ilvl="7" w:tplc="04190003" w:tentative="1">
      <w:start w:val="1"/>
      <w:numFmt w:val="bullet"/>
      <w:lvlText w:val="o"/>
      <w:lvlJc w:val="left"/>
      <w:pPr>
        <w:tabs>
          <w:tab w:val="num" w:pos="6468"/>
        </w:tabs>
        <w:ind w:left="6468" w:hanging="360"/>
      </w:pPr>
      <w:rPr>
        <w:rFonts w:ascii="Cambria" w:hAnsi="Cambria" w:cs="Cambria" w:hint="default"/>
      </w:rPr>
    </w:lvl>
    <w:lvl w:ilvl="8" w:tplc="04190005" w:tentative="1">
      <w:start w:val="1"/>
      <w:numFmt w:val="bullet"/>
      <w:lvlText w:val=""/>
      <w:lvlJc w:val="left"/>
      <w:pPr>
        <w:tabs>
          <w:tab w:val="num" w:pos="7188"/>
        </w:tabs>
        <w:ind w:left="7188" w:hanging="360"/>
      </w:pPr>
      <w:rPr>
        <w:rFonts w:ascii="Courier New" w:hAnsi="Courier New" w:hint="default"/>
      </w:rPr>
    </w:lvl>
  </w:abstractNum>
  <w:abstractNum w:abstractNumId="10" w15:restartNumberingAfterBreak="0">
    <w:nsid w:val="73EB56E7"/>
    <w:multiLevelType w:val="multilevel"/>
    <w:tmpl w:val="2D489D76"/>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1440" w:hanging="360"/>
      </w:pPr>
      <w:rPr>
        <w:rFonts w:hint="default"/>
        <w:i w:val="0"/>
        <w:iCs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num w:numId="1">
    <w:abstractNumId w:val="8"/>
  </w:num>
  <w:num w:numId="2">
    <w:abstractNumId w:val="9"/>
  </w:num>
  <w:num w:numId="3">
    <w:abstractNumId w:val="10"/>
  </w:num>
  <w:num w:numId="4">
    <w:abstractNumId w:val="4"/>
  </w:num>
  <w:num w:numId="5">
    <w:abstractNumId w:val="2"/>
  </w:num>
  <w:num w:numId="6">
    <w:abstractNumId w:val="3"/>
  </w:num>
  <w:num w:numId="7">
    <w:abstractNumId w:val="7"/>
  </w:num>
  <w:num w:numId="8">
    <w:abstractNumId w:val="5"/>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3B"/>
    <w:rsid w:val="0001545A"/>
    <w:rsid w:val="00017D4F"/>
    <w:rsid w:val="00034AAC"/>
    <w:rsid w:val="00036D0F"/>
    <w:rsid w:val="00064AFC"/>
    <w:rsid w:val="0006622C"/>
    <w:rsid w:val="0007622C"/>
    <w:rsid w:val="0008061D"/>
    <w:rsid w:val="00084D68"/>
    <w:rsid w:val="00090796"/>
    <w:rsid w:val="000978D2"/>
    <w:rsid w:val="000B1D30"/>
    <w:rsid w:val="000C3413"/>
    <w:rsid w:val="000D40F8"/>
    <w:rsid w:val="000D7ACB"/>
    <w:rsid w:val="000E488E"/>
    <w:rsid w:val="000F224E"/>
    <w:rsid w:val="00107B37"/>
    <w:rsid w:val="00111667"/>
    <w:rsid w:val="00112857"/>
    <w:rsid w:val="00114B64"/>
    <w:rsid w:val="00131939"/>
    <w:rsid w:val="00134A0E"/>
    <w:rsid w:val="00134F8B"/>
    <w:rsid w:val="00144938"/>
    <w:rsid w:val="00147EEB"/>
    <w:rsid w:val="00156FE2"/>
    <w:rsid w:val="001944D0"/>
    <w:rsid w:val="001A118C"/>
    <w:rsid w:val="001A32C5"/>
    <w:rsid w:val="001B3EB5"/>
    <w:rsid w:val="001B58D1"/>
    <w:rsid w:val="001B7472"/>
    <w:rsid w:val="001C4F5A"/>
    <w:rsid w:val="001C7B01"/>
    <w:rsid w:val="001D0542"/>
    <w:rsid w:val="001D15A4"/>
    <w:rsid w:val="001D72B4"/>
    <w:rsid w:val="001E3928"/>
    <w:rsid w:val="001E6F68"/>
    <w:rsid w:val="00201220"/>
    <w:rsid w:val="00204908"/>
    <w:rsid w:val="0024293C"/>
    <w:rsid w:val="00244CBC"/>
    <w:rsid w:val="002503B9"/>
    <w:rsid w:val="002567D3"/>
    <w:rsid w:val="00257A5E"/>
    <w:rsid w:val="00260EC9"/>
    <w:rsid w:val="00273B54"/>
    <w:rsid w:val="00274DE4"/>
    <w:rsid w:val="00277F7A"/>
    <w:rsid w:val="002C7EFC"/>
    <w:rsid w:val="002D3C71"/>
    <w:rsid w:val="002E153D"/>
    <w:rsid w:val="002E5AFF"/>
    <w:rsid w:val="00300E63"/>
    <w:rsid w:val="003068F0"/>
    <w:rsid w:val="0030751F"/>
    <w:rsid w:val="003179E1"/>
    <w:rsid w:val="003446ED"/>
    <w:rsid w:val="00366376"/>
    <w:rsid w:val="00371E3F"/>
    <w:rsid w:val="00385AB5"/>
    <w:rsid w:val="003A217B"/>
    <w:rsid w:val="003B2554"/>
    <w:rsid w:val="003C2FAB"/>
    <w:rsid w:val="003C5062"/>
    <w:rsid w:val="003E4080"/>
    <w:rsid w:val="003E4320"/>
    <w:rsid w:val="003E494A"/>
    <w:rsid w:val="003F0E62"/>
    <w:rsid w:val="003F5EFC"/>
    <w:rsid w:val="004034BE"/>
    <w:rsid w:val="00414A06"/>
    <w:rsid w:val="00445718"/>
    <w:rsid w:val="00452D4E"/>
    <w:rsid w:val="00455A7D"/>
    <w:rsid w:val="004723F9"/>
    <w:rsid w:val="004A13E7"/>
    <w:rsid w:val="004A36AA"/>
    <w:rsid w:val="004B3286"/>
    <w:rsid w:val="004C0FB2"/>
    <w:rsid w:val="004C7750"/>
    <w:rsid w:val="004E3E40"/>
    <w:rsid w:val="004E61A0"/>
    <w:rsid w:val="004E7F23"/>
    <w:rsid w:val="00520350"/>
    <w:rsid w:val="005328EC"/>
    <w:rsid w:val="00533E65"/>
    <w:rsid w:val="00536536"/>
    <w:rsid w:val="005367AB"/>
    <w:rsid w:val="00540C19"/>
    <w:rsid w:val="00543083"/>
    <w:rsid w:val="005721A0"/>
    <w:rsid w:val="00574C5E"/>
    <w:rsid w:val="005851C1"/>
    <w:rsid w:val="00592DEF"/>
    <w:rsid w:val="00596321"/>
    <w:rsid w:val="005B4401"/>
    <w:rsid w:val="005D0077"/>
    <w:rsid w:val="00605DC5"/>
    <w:rsid w:val="006140D9"/>
    <w:rsid w:val="00623074"/>
    <w:rsid w:val="006437A1"/>
    <w:rsid w:val="00643A97"/>
    <w:rsid w:val="00643EA3"/>
    <w:rsid w:val="00647C87"/>
    <w:rsid w:val="00655CAE"/>
    <w:rsid w:val="00657D4A"/>
    <w:rsid w:val="00660616"/>
    <w:rsid w:val="006717CB"/>
    <w:rsid w:val="006A5354"/>
    <w:rsid w:val="006A7272"/>
    <w:rsid w:val="006A7DCF"/>
    <w:rsid w:val="006B1232"/>
    <w:rsid w:val="006B3CE4"/>
    <w:rsid w:val="006D703C"/>
    <w:rsid w:val="006F3D47"/>
    <w:rsid w:val="00700035"/>
    <w:rsid w:val="0070030F"/>
    <w:rsid w:val="00713938"/>
    <w:rsid w:val="00737E56"/>
    <w:rsid w:val="007565CA"/>
    <w:rsid w:val="00775780"/>
    <w:rsid w:val="007831CA"/>
    <w:rsid w:val="007A2617"/>
    <w:rsid w:val="007A6A1E"/>
    <w:rsid w:val="007C74BB"/>
    <w:rsid w:val="007C783D"/>
    <w:rsid w:val="007F258D"/>
    <w:rsid w:val="007F2CD6"/>
    <w:rsid w:val="007F4ADD"/>
    <w:rsid w:val="007F4BA1"/>
    <w:rsid w:val="007F50C3"/>
    <w:rsid w:val="007F6655"/>
    <w:rsid w:val="00804D1A"/>
    <w:rsid w:val="00816A00"/>
    <w:rsid w:val="00832315"/>
    <w:rsid w:val="00843DA8"/>
    <w:rsid w:val="00856C8C"/>
    <w:rsid w:val="0085712E"/>
    <w:rsid w:val="008648F7"/>
    <w:rsid w:val="00881892"/>
    <w:rsid w:val="00884A4B"/>
    <w:rsid w:val="008A7909"/>
    <w:rsid w:val="008B535A"/>
    <w:rsid w:val="008B578B"/>
    <w:rsid w:val="008D1EB0"/>
    <w:rsid w:val="008F2333"/>
    <w:rsid w:val="008F572E"/>
    <w:rsid w:val="008F6D5E"/>
    <w:rsid w:val="008F6D63"/>
    <w:rsid w:val="00911277"/>
    <w:rsid w:val="009337C7"/>
    <w:rsid w:val="009372D6"/>
    <w:rsid w:val="00950258"/>
    <w:rsid w:val="00966D50"/>
    <w:rsid w:val="00966F32"/>
    <w:rsid w:val="009751B3"/>
    <w:rsid w:val="00976F10"/>
    <w:rsid w:val="00994695"/>
    <w:rsid w:val="00995837"/>
    <w:rsid w:val="009A7940"/>
    <w:rsid w:val="009B461A"/>
    <w:rsid w:val="009B525D"/>
    <w:rsid w:val="009B7BFF"/>
    <w:rsid w:val="009C473B"/>
    <w:rsid w:val="009C4B0D"/>
    <w:rsid w:val="009D5F9A"/>
    <w:rsid w:val="009E0165"/>
    <w:rsid w:val="009F0634"/>
    <w:rsid w:val="009F0D33"/>
    <w:rsid w:val="009F1E93"/>
    <w:rsid w:val="00A1199A"/>
    <w:rsid w:val="00A14EFF"/>
    <w:rsid w:val="00A2796C"/>
    <w:rsid w:val="00A41D4E"/>
    <w:rsid w:val="00A64DF2"/>
    <w:rsid w:val="00A814A1"/>
    <w:rsid w:val="00AA713B"/>
    <w:rsid w:val="00AC5CB3"/>
    <w:rsid w:val="00AF1CF6"/>
    <w:rsid w:val="00AF2579"/>
    <w:rsid w:val="00B072F0"/>
    <w:rsid w:val="00B159BC"/>
    <w:rsid w:val="00B201AC"/>
    <w:rsid w:val="00B23109"/>
    <w:rsid w:val="00B33911"/>
    <w:rsid w:val="00B3630C"/>
    <w:rsid w:val="00B37651"/>
    <w:rsid w:val="00B504C1"/>
    <w:rsid w:val="00B637FE"/>
    <w:rsid w:val="00B65631"/>
    <w:rsid w:val="00B75150"/>
    <w:rsid w:val="00B815FF"/>
    <w:rsid w:val="00BB5215"/>
    <w:rsid w:val="00BB67AC"/>
    <w:rsid w:val="00BD17AA"/>
    <w:rsid w:val="00BD2F51"/>
    <w:rsid w:val="00BE0CAE"/>
    <w:rsid w:val="00BE5B36"/>
    <w:rsid w:val="00BF4B24"/>
    <w:rsid w:val="00C00B5E"/>
    <w:rsid w:val="00C02D03"/>
    <w:rsid w:val="00C149A6"/>
    <w:rsid w:val="00C21FAE"/>
    <w:rsid w:val="00C22359"/>
    <w:rsid w:val="00C30F66"/>
    <w:rsid w:val="00C31007"/>
    <w:rsid w:val="00C31641"/>
    <w:rsid w:val="00C47A99"/>
    <w:rsid w:val="00C53232"/>
    <w:rsid w:val="00C57D08"/>
    <w:rsid w:val="00C75A47"/>
    <w:rsid w:val="00C83B08"/>
    <w:rsid w:val="00C86D91"/>
    <w:rsid w:val="00C915A0"/>
    <w:rsid w:val="00CB54D5"/>
    <w:rsid w:val="00D07450"/>
    <w:rsid w:val="00D17DCC"/>
    <w:rsid w:val="00D21A45"/>
    <w:rsid w:val="00D33DD1"/>
    <w:rsid w:val="00D36209"/>
    <w:rsid w:val="00D37388"/>
    <w:rsid w:val="00D37EFA"/>
    <w:rsid w:val="00D40F60"/>
    <w:rsid w:val="00D52B35"/>
    <w:rsid w:val="00D96748"/>
    <w:rsid w:val="00DA1792"/>
    <w:rsid w:val="00DC003E"/>
    <w:rsid w:val="00E00041"/>
    <w:rsid w:val="00E101C6"/>
    <w:rsid w:val="00E208CF"/>
    <w:rsid w:val="00E22E04"/>
    <w:rsid w:val="00E244A8"/>
    <w:rsid w:val="00E24FD8"/>
    <w:rsid w:val="00E25284"/>
    <w:rsid w:val="00E31960"/>
    <w:rsid w:val="00E35199"/>
    <w:rsid w:val="00E37C64"/>
    <w:rsid w:val="00E40798"/>
    <w:rsid w:val="00E55E16"/>
    <w:rsid w:val="00E7019F"/>
    <w:rsid w:val="00E702A5"/>
    <w:rsid w:val="00E8076D"/>
    <w:rsid w:val="00EC06E6"/>
    <w:rsid w:val="00ED62B2"/>
    <w:rsid w:val="00ED7B95"/>
    <w:rsid w:val="00EF3561"/>
    <w:rsid w:val="00F0317C"/>
    <w:rsid w:val="00F03563"/>
    <w:rsid w:val="00F04A44"/>
    <w:rsid w:val="00F068EF"/>
    <w:rsid w:val="00F06C60"/>
    <w:rsid w:val="00F242B1"/>
    <w:rsid w:val="00F465EA"/>
    <w:rsid w:val="00F561AE"/>
    <w:rsid w:val="00F61236"/>
    <w:rsid w:val="00F734E5"/>
    <w:rsid w:val="00F77214"/>
    <w:rsid w:val="00F93A51"/>
    <w:rsid w:val="00F95853"/>
    <w:rsid w:val="00FB1AB3"/>
    <w:rsid w:val="00FC6A6E"/>
    <w:rsid w:val="00FD655F"/>
    <w:rsid w:val="00FE4FE5"/>
    <w:rsid w:val="00FF71A0"/>
    <w:rsid w:val="00FF7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8D64D2"/>
  <w15:docId w15:val="{88E9660D-6F39-492F-A829-8018BC6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4C7750"/>
    <w:pPr>
      <w:ind w:left="720"/>
      <w:contextualSpacing/>
    </w:pPr>
  </w:style>
  <w:style w:type="character" w:styleId="a6">
    <w:name w:val="Hyperlink"/>
    <w:basedOn w:val="a0"/>
    <w:uiPriority w:val="99"/>
    <w:unhideWhenUsed/>
    <w:rsid w:val="00950258"/>
    <w:rPr>
      <w:color w:val="0563C1" w:themeColor="hyperlink"/>
      <w:u w:val="single"/>
    </w:rPr>
  </w:style>
  <w:style w:type="paragraph" w:styleId="a7">
    <w:name w:val="Balloon Text"/>
    <w:basedOn w:val="a"/>
    <w:link w:val="a8"/>
    <w:uiPriority w:val="99"/>
    <w:semiHidden/>
    <w:unhideWhenUsed/>
    <w:rsid w:val="00C75A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5A47"/>
    <w:rPr>
      <w:rFonts w:ascii="Segoe UI" w:hAnsi="Segoe UI" w:cs="Segoe UI"/>
      <w:sz w:val="18"/>
      <w:szCs w:val="18"/>
    </w:rPr>
  </w:style>
  <w:style w:type="character" w:customStyle="1" w:styleId="a5">
    <w:name w:val="Абзац списка Знак"/>
    <w:aliases w:val="Список с узором Знак,Table-Normal Знак,RSHB_Table-Normal Знак"/>
    <w:link w:val="a4"/>
    <w:uiPriority w:val="34"/>
    <w:locked/>
    <w:rsid w:val="002567D3"/>
  </w:style>
  <w:style w:type="paragraph" w:styleId="a9">
    <w:name w:val="Body Text"/>
    <w:basedOn w:val="a"/>
    <w:link w:val="aa"/>
    <w:rsid w:val="001A118C"/>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1A118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F356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3561"/>
  </w:style>
  <w:style w:type="paragraph" w:styleId="ad">
    <w:name w:val="footer"/>
    <w:basedOn w:val="a"/>
    <w:link w:val="ae"/>
    <w:uiPriority w:val="99"/>
    <w:unhideWhenUsed/>
    <w:rsid w:val="00EF356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3561"/>
  </w:style>
  <w:style w:type="character" w:styleId="af">
    <w:name w:val="annotation reference"/>
    <w:basedOn w:val="a0"/>
    <w:uiPriority w:val="99"/>
    <w:semiHidden/>
    <w:unhideWhenUsed/>
    <w:rsid w:val="00EF3561"/>
    <w:rPr>
      <w:sz w:val="16"/>
      <w:szCs w:val="16"/>
    </w:rPr>
  </w:style>
  <w:style w:type="paragraph" w:styleId="af0">
    <w:name w:val="annotation text"/>
    <w:basedOn w:val="a"/>
    <w:link w:val="af1"/>
    <w:uiPriority w:val="99"/>
    <w:semiHidden/>
    <w:unhideWhenUsed/>
    <w:rsid w:val="00EF3561"/>
    <w:pPr>
      <w:spacing w:line="240" w:lineRule="auto"/>
    </w:pPr>
    <w:rPr>
      <w:sz w:val="20"/>
      <w:szCs w:val="20"/>
    </w:rPr>
  </w:style>
  <w:style w:type="character" w:customStyle="1" w:styleId="af1">
    <w:name w:val="Текст примечания Знак"/>
    <w:basedOn w:val="a0"/>
    <w:link w:val="af0"/>
    <w:uiPriority w:val="99"/>
    <w:semiHidden/>
    <w:rsid w:val="00EF3561"/>
    <w:rPr>
      <w:sz w:val="20"/>
      <w:szCs w:val="20"/>
    </w:rPr>
  </w:style>
  <w:style w:type="paragraph" w:styleId="af2">
    <w:name w:val="annotation subject"/>
    <w:basedOn w:val="af0"/>
    <w:next w:val="af0"/>
    <w:link w:val="af3"/>
    <w:uiPriority w:val="99"/>
    <w:semiHidden/>
    <w:unhideWhenUsed/>
    <w:rsid w:val="00EF3561"/>
    <w:rPr>
      <w:b/>
      <w:bCs/>
    </w:rPr>
  </w:style>
  <w:style w:type="character" w:customStyle="1" w:styleId="af3">
    <w:name w:val="Тема примечания Знак"/>
    <w:basedOn w:val="af1"/>
    <w:link w:val="af2"/>
    <w:uiPriority w:val="99"/>
    <w:semiHidden/>
    <w:rsid w:val="00EF3561"/>
    <w:rPr>
      <w:b/>
      <w:bCs/>
      <w:sz w:val="20"/>
      <w:szCs w:val="20"/>
    </w:rPr>
  </w:style>
  <w:style w:type="paragraph" w:styleId="af4">
    <w:name w:val="Revision"/>
    <w:hidden/>
    <w:uiPriority w:val="99"/>
    <w:semiHidden/>
    <w:rsid w:val="001E6F68"/>
    <w:pPr>
      <w:spacing w:after="0" w:line="240" w:lineRule="auto"/>
    </w:pPr>
  </w:style>
  <w:style w:type="paragraph" w:styleId="af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a"/>
    <w:link w:val="af6"/>
    <w:qFormat/>
    <w:rsid w:val="00E702A5"/>
    <w:pPr>
      <w:spacing w:after="0" w:line="240" w:lineRule="auto"/>
    </w:pPr>
    <w:rPr>
      <w:rFonts w:ascii="Calibri" w:eastAsia="Calibri" w:hAnsi="Calibri" w:cs="Times New Roman"/>
      <w:sz w:val="20"/>
      <w:szCs w:val="20"/>
      <w:lang w:eastAsia="ru-RU"/>
    </w:rPr>
  </w:style>
  <w:style w:type="character" w:customStyle="1" w:styleId="af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f5"/>
    <w:rsid w:val="00E702A5"/>
    <w:rPr>
      <w:rFonts w:ascii="Calibri" w:eastAsia="Calibri" w:hAnsi="Calibri" w:cs="Times New Roman"/>
      <w:sz w:val="20"/>
      <w:szCs w:val="20"/>
      <w:lang w:eastAsia="ru-RU"/>
    </w:rPr>
  </w:style>
  <w:style w:type="character" w:styleId="af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
    <w:qFormat/>
    <w:rsid w:val="00E702A5"/>
    <w:rPr>
      <w:vertAlign w:val="superscript"/>
    </w:rPr>
  </w:style>
  <w:style w:type="character" w:styleId="af8">
    <w:name w:val="FollowedHyperlink"/>
    <w:basedOn w:val="a0"/>
    <w:uiPriority w:val="99"/>
    <w:semiHidden/>
    <w:unhideWhenUsed/>
    <w:rsid w:val="006437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29475">
      <w:bodyDiv w:val="1"/>
      <w:marLeft w:val="0"/>
      <w:marRight w:val="0"/>
      <w:marTop w:val="0"/>
      <w:marBottom w:val="0"/>
      <w:divBdr>
        <w:top w:val="none" w:sz="0" w:space="0" w:color="auto"/>
        <w:left w:val="none" w:sz="0" w:space="0" w:color="auto"/>
        <w:bottom w:val="none" w:sz="0" w:space="0" w:color="auto"/>
        <w:right w:val="none" w:sz="0" w:space="0" w:color="auto"/>
      </w:divBdr>
    </w:div>
    <w:div w:id="701899492">
      <w:bodyDiv w:val="1"/>
      <w:marLeft w:val="0"/>
      <w:marRight w:val="0"/>
      <w:marTop w:val="0"/>
      <w:marBottom w:val="0"/>
      <w:divBdr>
        <w:top w:val="none" w:sz="0" w:space="0" w:color="auto"/>
        <w:left w:val="none" w:sz="0" w:space="0" w:color="auto"/>
        <w:bottom w:val="none" w:sz="0" w:space="0" w:color="auto"/>
        <w:right w:val="none" w:sz="0" w:space="0" w:color="auto"/>
      </w:divBdr>
    </w:div>
    <w:div w:id="801731447">
      <w:bodyDiv w:val="1"/>
      <w:marLeft w:val="0"/>
      <w:marRight w:val="0"/>
      <w:marTop w:val="0"/>
      <w:marBottom w:val="0"/>
      <w:divBdr>
        <w:top w:val="none" w:sz="0" w:space="0" w:color="auto"/>
        <w:left w:val="none" w:sz="0" w:space="0" w:color="auto"/>
        <w:bottom w:val="none" w:sz="0" w:space="0" w:color="auto"/>
        <w:right w:val="none" w:sz="0" w:space="0" w:color="auto"/>
      </w:divBdr>
    </w:div>
    <w:div w:id="1198280807">
      <w:bodyDiv w:val="1"/>
      <w:marLeft w:val="0"/>
      <w:marRight w:val="0"/>
      <w:marTop w:val="0"/>
      <w:marBottom w:val="0"/>
      <w:divBdr>
        <w:top w:val="none" w:sz="0" w:space="0" w:color="auto"/>
        <w:left w:val="none" w:sz="0" w:space="0" w:color="auto"/>
        <w:bottom w:val="none" w:sz="0" w:space="0" w:color="auto"/>
        <w:right w:val="none" w:sz="0" w:space="0" w:color="auto"/>
      </w:divBdr>
    </w:div>
    <w:div w:id="1401977047">
      <w:bodyDiv w:val="1"/>
      <w:marLeft w:val="0"/>
      <w:marRight w:val="0"/>
      <w:marTop w:val="0"/>
      <w:marBottom w:val="0"/>
      <w:divBdr>
        <w:top w:val="none" w:sz="0" w:space="0" w:color="auto"/>
        <w:left w:val="none" w:sz="0" w:space="0" w:color="auto"/>
        <w:bottom w:val="none" w:sz="0" w:space="0" w:color="auto"/>
        <w:right w:val="none" w:sz="0" w:space="0" w:color="auto"/>
      </w:divBdr>
    </w:div>
    <w:div w:id="17718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shb.ru/natural/cells"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5368-9A2C-4BD7-9B18-23DC72A4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912</Words>
  <Characters>5203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Харабрина Юлия Юрьевна</dc:creator>
  <cp:keywords/>
  <dc:description/>
  <cp:lastModifiedBy>Сергеева Екатерина Витальевна</cp:lastModifiedBy>
  <cp:revision>8</cp:revision>
  <cp:lastPrinted>2024-07-02T16:02:00Z</cp:lastPrinted>
  <dcterms:created xsi:type="dcterms:W3CDTF">2024-07-02T15:39:00Z</dcterms:created>
  <dcterms:modified xsi:type="dcterms:W3CDTF">2024-07-02T16:56:00Z</dcterms:modified>
</cp:coreProperties>
</file>