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aps/>
                <w:sz w:val="32"/>
                <w:szCs w:val="32"/>
              </w:rPr>
            </w:pP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  <w:t xml:space="preserve">ПРИМОРСКИЙ РЕГИОНАЛЬНЫЙ ФИЛИАЛ</w:t>
            </w: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</w: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aps/>
                <w:sz w:val="32"/>
                <w:szCs w:val="32"/>
              </w:rPr>
            </w:pP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</w: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Calibri"/>
                <w:caps/>
                <w:sz w:val="48"/>
                <w:szCs w:val="48"/>
              </w:rPr>
            </w:pPr>
            <w:r>
              <w:rPr>
                <w:rFonts w:eastAsia="Times New Roman" w:cs="Calibri"/>
                <w:caps/>
                <w:sz w:val="48"/>
                <w:szCs w:val="48"/>
              </w:rPr>
              <w:t xml:space="preserve">Тарифы</w:t>
            </w:r>
            <w:r>
              <w:rPr>
                <w:rFonts w:eastAsia="Times New Roman" w:cs="Calibri"/>
                <w:caps/>
                <w:sz w:val="48"/>
                <w:szCs w:val="48"/>
              </w:rPr>
            </w:r>
            <w:r>
              <w:rPr>
                <w:rFonts w:eastAsia="Times New Roman" w:cs="Calibri"/>
                <w:caps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aps/>
                <w:sz w:val="48"/>
                <w:szCs w:val="48"/>
              </w:rPr>
            </w:pPr>
            <w:r>
              <w:rPr>
                <w:rFonts w:eastAsia="Times New Roman" w:cs="Calibri"/>
                <w:caps/>
                <w:sz w:val="48"/>
                <w:szCs w:val="48"/>
              </w:rPr>
              <w:t xml:space="preserve">комиссионного вознаграждения</w:t>
            </w:r>
            <w:r>
              <w:rPr>
                <w:rFonts w:eastAsia="Times New Roman" w:cs="Calibri"/>
                <w:caps/>
                <w:sz w:val="48"/>
                <w:szCs w:val="48"/>
              </w:rPr>
              <w:t xml:space="preserve"> на услуги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mbria" w:hAnsi="Cambria" w:eastAsia="Times New Roman" w:cs="Cambria"/>
                <w:caps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aps/>
                <w:sz w:val="48"/>
                <w:szCs w:val="48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  <w:r>
              <w:rPr>
                <w:rFonts w:eastAsia="Times New Roman" w:cs="Calibri"/>
              </w:rPr>
            </w:r>
            <w:r>
              <w:rPr>
                <w:rFonts w:eastAsia="Times New Roman" w:cs="Calibri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</w:r>
            <w:r>
              <w:rPr>
                <w:rFonts w:eastAsia="Times New Roman" w:cs="Calibri"/>
                <w:b/>
                <w:bCs/>
              </w:rPr>
            </w:r>
            <w:r>
              <w:rPr>
                <w:rFonts w:eastAsia="Times New Roman" w:cs="Calibri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  <w:highlight w:val="yellow"/>
              </w:rPr>
            </w:pPr>
            <w:r>
              <w:rPr>
                <w:rFonts w:eastAsia="Times New Roman" w:cs="Calibri"/>
                <w:sz w:val="32"/>
                <w:szCs w:val="32"/>
              </w:rPr>
              <w:t xml:space="preserve">дей</w:t>
            </w:r>
            <w:r>
              <w:rPr>
                <w:rFonts w:eastAsia="Times New Roman" w:cs="Calibri"/>
                <w:sz w:val="32"/>
                <w:szCs w:val="32"/>
                <w:highlight w:val="white"/>
              </w:rPr>
              <w:t xml:space="preserve">ствуют с </w:t>
            </w:r>
            <w:r>
              <w:rPr>
                <w:rFonts w:eastAsia="Times New Roman" w:cs="Calibri"/>
                <w:sz w:val="32"/>
                <w:szCs w:val="32"/>
                <w:highlight w:val="white"/>
              </w:rPr>
              <w:t xml:space="preserve">17.</w:t>
            </w:r>
            <w:r>
              <w:rPr>
                <w:rFonts w:eastAsia="Times New Roman" w:cs="Calibri"/>
                <w:sz w:val="32"/>
                <w:szCs w:val="32"/>
                <w:highlight w:val="white"/>
              </w:rPr>
              <w:t xml:space="preserve">02.2025</w:t>
            </w:r>
            <w:r>
              <w:rPr>
                <w:rFonts w:eastAsia="Times New Roman" w:cs="Calibri"/>
                <w:sz w:val="32"/>
                <w:szCs w:val="32"/>
                <w:highlight w:val="yellow"/>
              </w:rPr>
            </w:r>
            <w:r>
              <w:rPr>
                <w:rFonts w:eastAsia="Times New Roman" w:cs="Calibri"/>
                <w:sz w:val="32"/>
                <w:szCs w:val="32"/>
                <w:highlight w:val="yellow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</w:tc>
      </w:tr>
    </w:tbl>
    <w:p>
      <w:pPr>
        <w:ind w:left="3969"/>
        <w:spacing w:after="0" w:line="240" w:lineRule="auto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</w:p>
    <w:p>
      <w:pPr>
        <w:ind w:left="3969"/>
        <w:spacing w:after="0" w:line="240" w:lineRule="auto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</w:p>
    <w:p>
      <w:pPr>
        <w:ind w:left="3969"/>
        <w:spacing w:after="0" w:line="240" w:lineRule="auto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тирных домов, переселения граждан из аварийного жилищного фонда в соответствии с Федеральным законом от 21.07.2007 № 185-ФЗ «О Фонде содействия реформи-рованию жилищно-комму-нального хозяйства» в рамках заключенных договоров спе-циального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t xml:space="preserve">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  <w:t xml:space="preserve">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Style w:val="929"/>
              <w:numPr>
                <w:ilvl w:val="0"/>
                <w:numId w:val="17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ilvl w:val="0"/>
                <w:numId w:val="17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120" w:after="12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</w:t>
            </w:r>
            <w:r>
              <w:rPr>
                <w:rFonts w:ascii="Times New Roman" w:hAnsi="Times New Roman"/>
                <w:bCs/>
              </w:rPr>
              <w:t xml:space="preserve">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</w:t>
            </w:r>
            <w:r>
              <w:rPr>
                <w:rFonts w:ascii="Times New Roman" w:hAnsi="Times New Roman"/>
              </w:rP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</w:t>
            </w:r>
            <w:r>
              <w:rPr>
                <w:rFonts w:ascii="Times New Roman" w:hAnsi="Times New Roman"/>
                <w:bCs/>
              </w:rPr>
              <w:t xml:space="preserve">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</w:t>
            </w:r>
            <w:r>
              <w:rPr>
                <w:rFonts w:ascii="Times New Roman" w:hAnsi="Times New Roman"/>
              </w:rPr>
              <w:t xml:space="preserve">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</w:t>
            </w:r>
            <w:r>
              <w:rPr>
                <w:rFonts w:ascii="Times New Roman" w:hAnsi="Times New Roman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</w:t>
            </w:r>
            <w:r>
              <w:rPr>
                <w:rFonts w:ascii="Times New Roman" w:hAnsi="Times New Roman"/>
              </w:rPr>
              <w:t xml:space="preserve">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 xml:space="preserve">до 100 млн. 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 млн.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</w:t>
            </w:r>
            <w:r>
              <w:rPr>
                <w:rFonts w:ascii="Times New Roman" w:hAnsi="Times New Roman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 xml:space="preserve">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150 000,01 руб. до 300 000,00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свыше 5 000 000,00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</w:t>
            </w:r>
            <w:r>
              <w:rPr>
                <w:rFonts w:ascii="Times New Roman" w:hAnsi="Times New Roman"/>
              </w:rPr>
              <w:t xml:space="preserve">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</w:t>
            </w:r>
            <w:r>
              <w:rPr>
                <w:rFonts w:ascii="Times New Roman" w:hAnsi="Times New Roman"/>
              </w:rPr>
              <w:t xml:space="preserve">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</w:t>
            </w:r>
            <w:r>
              <w:rPr>
                <w:rFonts w:ascii="Times New Roman" w:hAnsi="Times New Roman"/>
              </w:rPr>
              <w:t xml:space="preserve">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каждое дополнительное </w:t>
            </w:r>
            <w:r>
              <w:rPr>
                <w:rFonts w:ascii="Times New Roman" w:hAnsi="Times New Roman"/>
              </w:rPr>
              <w:t xml:space="preserve">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</w:t>
            </w:r>
            <w:r>
              <w:rPr>
                <w:rFonts w:ascii="Times New Roman" w:hAnsi="Times New Roman"/>
              </w:rPr>
              <w:t xml:space="preserve">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</w:t>
            </w:r>
            <w:r>
              <w:rPr>
                <w:rFonts w:ascii="Times New Roman" w:hAnsi="Times New Roman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установлена система дистанционного банковского обслуживания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</w:t>
            </w:r>
            <w:r>
              <w:rPr>
                <w:rFonts w:ascii="Times New Roman" w:hAnsi="Times New Roman"/>
              </w:rPr>
              <w:t xml:space="preserve">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</w:t>
            </w:r>
            <w:r>
              <w:rPr>
                <w:rFonts w:ascii="Times New Roman" w:hAnsi="Times New Roman"/>
              </w:rPr>
              <w:t xml:space="preserve">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</w:t>
            </w:r>
            <w:r>
              <w:rPr>
                <w:rFonts w:ascii="Times New Roman" w:hAnsi="Times New Roman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</w:t>
            </w:r>
            <w:r>
              <w:rPr>
                <w:rFonts w:ascii="Times New Roman" w:hAnsi="Times New Roman"/>
              </w:rPr>
              <w:t xml:space="preserve">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</w:t>
            </w:r>
            <w:r>
              <w:rPr>
                <w:rFonts w:ascii="Times New Roman" w:hAnsi="Times New Roman"/>
              </w:rPr>
              <w:t xml:space="preserve">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rFonts w:ascii="Times New Roman" w:hAnsi="Times New Roman"/>
              </w:rPr>
              <w:t xml:space="preserve">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</w:t>
            </w:r>
            <w:r>
              <w:rPr>
                <w:rFonts w:ascii="Times New Roman" w:hAnsi="Times New Roman"/>
              </w:rPr>
              <w:t xml:space="preserve">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п. 1.2.3.2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</w:t>
            </w:r>
            <w:r>
              <w:rPr>
                <w:rFonts w:ascii="Times New Roman" w:hAnsi="Times New Roman"/>
              </w:rPr>
              <w:t xml:space="preserve">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</w:t>
            </w:r>
            <w:r>
              <w:rPr>
                <w:rFonts w:ascii="Times New Roman" w:hAnsi="Times New Roman"/>
              </w:rPr>
              <w:t xml:space="preserve">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</w:t>
            </w:r>
            <w:r>
              <w:rPr>
                <w:rFonts w:ascii="Times New Roman" w:hAnsi="Times New Roman"/>
              </w:rPr>
              <w:t xml:space="preserve">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</w:t>
            </w:r>
            <w:r>
              <w:rPr>
                <w:rFonts w:ascii="Times New Roman" w:hAnsi="Times New Roman"/>
              </w:rPr>
              <w:t xml:space="preserve">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</w:t>
            </w:r>
            <w:r>
              <w:rPr>
                <w:rFonts w:ascii="Times New Roman" w:hAnsi="Times New Roman"/>
              </w:rPr>
              <w:t xml:space="preserve">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перевода – доллары </w:t>
            </w:r>
            <w:r>
              <w:rPr>
                <w:rFonts w:ascii="Times New Roman" w:hAnsi="Times New Roman"/>
              </w:rPr>
              <w:t xml:space="preserve">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57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</w:t>
            </w:r>
            <w:r>
              <w:rPr>
                <w:rFonts w:ascii="Times New Roman" w:hAnsi="Times New Roman"/>
                <w:color w:val="000000"/>
              </w:rPr>
              <w:t xml:space="preserve">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100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региональную адресную программу по проведению капитального ремонта много-к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1.3.1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</w:t>
            </w:r>
            <w:r>
              <w:rPr>
                <w:rFonts w:ascii="Times New Roman" w:hAnsi="Times New Roman"/>
                <w:color w:val="000000"/>
              </w:rPr>
              <w:t xml:space="preserve">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 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090"/>
        <w:jc w:val="both"/>
        <w:spacing w:before="60"/>
        <w:rPr>
          <w:lang w:val="ru-RU"/>
        </w:rPr>
      </w:pPr>
      <w:r>
        <w:rPr>
          <w:lang w:val="ru-RU"/>
        </w:rPr>
        <w:t xml:space="preserve">***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0,40% от суммы, минимум 250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t xml:space="preserve">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0,2% от суммы, минимум 250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 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 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/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/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46.21.11 - Торговля оптовая зерном.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46.22 - Торговля оптовая цветами и растениями.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46.23 - Торговля оптовая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46.31 - Торговля оптовая фруктами 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46.31.11 - Торговля оптовая свежим картофелем.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46.31.12 - Торговля оптовая прочими свежими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46.32 - Торговля оптовая мясом и мясными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46.32.2 - Торговля оптовая продуктами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46.32.3 - Торговля оптовая консервами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46.33.1 - Торговля оптовая молочными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46.33.2 - Торговля оптовая яйцами.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46.33.3 - Торговля оптовая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В соответствии с Федеральным законом от 10 ию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center"/>
        <w:spacing w:before="240"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>
          <w:trHeight w:val="45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 xml:space="preserve">и РФ АО «Россельхозбанк» - «ЦКБ» (далее – ЦКБ),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региональных филиалов АО «Россельхозбанк» (далее – РФ Банка)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 xml:space="preserve">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t xml:space="preserve">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 xml:space="preserve">80 000 руб. 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250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10 000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 xml:space="preserve">оказания услуги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и предоставляется только резидентам.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12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rFonts w:ascii="Times New Roman" w:hAnsi="Times New Roman"/>
          <w:bCs/>
          <w:sz w:val="20"/>
          <w:szCs w:val="20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/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ascii="Times New Roman" w:hAnsi="Times New Roman"/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/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/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</w:t>
      </w:r>
      <w:r>
        <w:rPr>
          <w:rFonts w:ascii="Times New Roman" w:hAnsi="Times New Roman"/>
          <w:sz w:val="20"/>
          <w:szCs w:val="20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 xml:space="preserve">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5153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3259"/>
        <w:gridCol w:w="2411"/>
        <w:gridCol w:w="373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</w:t>
            </w:r>
            <w:r>
              <w:rPr>
                <w:rFonts w:ascii="Times New Roman" w:hAnsi="Times New Roman"/>
                <w:iCs/>
              </w:rPr>
              <w:t xml:space="preserve">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t xml:space="preserve">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</w:t>
            </w:r>
            <w:r>
              <w:rPr>
                <w:rFonts w:ascii="Times New Roman" w:hAnsi="Times New Roman"/>
                <w:iCs/>
              </w:rPr>
              <w:t xml:space="preserve">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</w:t>
            </w:r>
            <w:r>
              <w:rPr>
                <w:rFonts w:ascii="Times New Roman" w:hAnsi="Times New Roman" w:eastAsia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1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</w:t>
            </w:r>
            <w:r>
              <w:rPr>
                <w:rFonts w:ascii="Times New Roman" w:hAnsi="Times New Roman"/>
                <w:iCs/>
              </w:rPr>
              <w:t xml:space="preserve">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</w:t>
            </w:r>
            <w:r>
              <w:rPr>
                <w:rFonts w:ascii="Times New Roman" w:hAnsi="Times New Roman"/>
                <w:iCs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</w:t>
            </w:r>
            <w:r>
              <w:rPr>
                <w:rFonts w:ascii="Times New Roman" w:hAnsi="Times New Roman"/>
                <w:bCs/>
              </w:rPr>
              <w:t xml:space="preserve">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минимум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 в первый рабочий день соответст-вующего комиссионного периода.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</w:t>
            </w:r>
            <w:r>
              <w:rPr>
                <w:rFonts w:ascii="Times New Roman" w:hAnsi="Times New Roman"/>
                <w:iCs/>
              </w:rPr>
              <w:t xml:space="preserve">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100</w:t>
            </w:r>
            <w:r>
              <w:rPr>
                <w:rFonts w:ascii="Times New Roman" w:hAnsi="Times New Roman" w:eastAsia="Times New Roman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2 500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Возврат неоплаченных/ </w:t>
            </w:r>
            <w:r>
              <w:rPr>
                <w:rFonts w:ascii="Times New Roman" w:hAnsi="Times New Roman" w:eastAsia="Times New Roman"/>
              </w:rPr>
              <w:t xml:space="preserve">неакцептованных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 за каждый </w:t>
            </w:r>
            <w:r>
              <w:rPr>
                <w:rFonts w:ascii="Times New Roman" w:hAnsi="Times New Roman" w:eastAsia="Times New Roman"/>
              </w:rPr>
              <w:t xml:space="preserve">комплект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.4.5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* 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1.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4. Комиссионное вознаграждение по Р</w:t>
      </w:r>
      <w:r>
        <w:rPr>
          <w:rFonts w:ascii="Times New Roman" w:hAnsi="Times New Roman" w:eastAsia="Times New Roman"/>
          <w:sz w:val="20"/>
          <w:szCs w:val="20"/>
        </w:rPr>
        <w:t xml:space="preserve">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hAnsi="Times New Roman" w:eastAsia="Times New Roman"/>
          <w:sz w:val="20"/>
          <w:szCs w:val="20"/>
        </w:rPr>
        <w:br w:type="textWrapping" w:clear="all"/>
        <w:t xml:space="preserve"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</w:t>
      </w:r>
      <w:r>
        <w:rPr>
          <w:rFonts w:ascii="Times New Roman" w:hAnsi="Times New Roman" w:eastAsia="Times New Roman"/>
          <w:sz w:val="20"/>
          <w:szCs w:val="20"/>
        </w:rPr>
        <w:t xml:space="preserve">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7. 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6. Гарантийные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1024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 xml:space="preserve">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Увеличение </w:t>
            </w:r>
            <w:r>
              <w:rPr>
                <w:rFonts w:ascii="Times New Roman" w:hAnsi="Times New Roman" w:eastAsia="Times New Roman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</w:rPr>
              <w:t xml:space="preserve"> гарантии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</w:t>
            </w:r>
            <w:r>
              <w:rPr>
                <w:rFonts w:ascii="Times New Roman" w:hAnsi="Times New Roman"/>
              </w:rPr>
              <w:t xml:space="preserve">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</w:t>
            </w:r>
            <w:r>
              <w:rPr>
                <w:rFonts w:ascii="Times New Roman" w:hAnsi="Times New Roman"/>
              </w:rPr>
              <w:t xml:space="preserve">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и срока гарантии комиссия рассчитывается 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</w:t>
            </w:r>
            <w:r>
              <w:rPr>
                <w:rFonts w:ascii="Times New Roman" w:hAnsi="Times New Roman"/>
              </w:rPr>
              <w:t xml:space="preserve">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20 000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7 500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</w:tbl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</w:rPr>
        <w:outlineLvl w:val="3"/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Cs/>
          <w:iCs/>
          <w:sz w:val="20"/>
          <w:szCs w:val="20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>
        <w:tblPrEx/>
        <w:trPr>
          <w:trHeight w:val="397"/>
        </w:trPr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Москве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 xml:space="preserve">«Банк-Клиент»/«Интернет-Клиент»/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Московской области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4 000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hanging="1"/>
              <w:jc w:val="both"/>
              <w:spacing w:after="4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t xml:space="preserve">обслуживания «Свой бизнес» не взимается з</w:t>
            </w:r>
            <w:r>
              <w:rPr>
                <w:rFonts w:ascii="Times New Roman" w:hAnsi="Times New Roman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hanging="1"/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 xml:space="preserve">«Мобильный банк»/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t xml:space="preserve">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</w:t>
            </w:r>
            <w:r>
              <w:rPr>
                <w:rFonts w:ascii="Times New Roman" w:hAnsi="Times New Roman"/>
                <w:bCs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2 000 руб. в месяц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lang w:eastAsia="ru-RU"/>
              </w:rPr>
              <w:t xml:space="preserve">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 xml:space="preserve">к «Интернет-Клиент»/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rFonts w:ascii="Times New Roman" w:hAnsi="Times New Roman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/ 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</w:t>
            </w:r>
            <w:r>
              <w:rPr>
                <w:rFonts w:ascii="Times New Roman" w:hAnsi="Times New Roman"/>
              </w:rPr>
              <w:t xml:space="preserve">/постоянного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с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</w:t>
            </w:r>
            <w:r>
              <w:rPr>
                <w:rFonts w:ascii="Times New Roman" w:hAnsi="Times New Roman"/>
              </w:rPr>
              <w:t xml:space="preserve">Бизнес»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pStyle w:val="109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 xml:space="preserve">: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 xml:space="preserve">».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– 10 000 000 (Десять миллионов) рублей. Сутки – с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pP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>
        <w:tblPrEx/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10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24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каждое посещение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6 000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360 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150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 w:after="120" w:line="240" w:lineRule="auto"/>
        <w:rPr>
          <w:rStyle w:val="1089"/>
          <w:b/>
          <w:bCs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89"/>
          <w:b/>
        </w:rPr>
        <w:t xml:space="preserve">1</w:t>
      </w:r>
      <w:r>
        <w:rPr>
          <w:rStyle w:val="1089"/>
          <w:b/>
          <w:bCs/>
        </w:rPr>
      </w:r>
      <w:r>
        <w:rPr>
          <w:rStyle w:val="1089"/>
          <w:b/>
          <w:bCs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89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89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и/или размер расчетной комиссии в течение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89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</w:t>
            </w:r>
            <w:r>
              <w:rPr>
                <w:rFonts w:ascii="Times New Roman" w:hAnsi="Times New Roman"/>
              </w:rPr>
              <w:t xml:space="preserve">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4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4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9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</w:t>
            </w:r>
            <w:r>
              <w:rPr>
                <w:rFonts w:ascii="Times New Roman" w:hAnsi="Times New Roman"/>
              </w:rPr>
              <w:t xml:space="preserve">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89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«-при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годовых»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 в зависимости от </w:t>
            </w:r>
            <w:r>
              <w:rPr>
                <w:rFonts w:ascii="Times New Roman" w:hAnsi="Times New Roman"/>
              </w:rPr>
              <w:t xml:space="preserve">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vertAlign w:val="superscript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</w:t>
            </w:r>
            <w:r>
              <w:rPr>
                <w:rFonts w:ascii="Times New Roman" w:hAnsi="Times New Roman"/>
                <w:bCs/>
              </w:rPr>
              <w:t xml:space="preserve">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</w:rPr>
              <w:br w:type="textWrapping" w:clear="all"/>
            </w:r>
            <w:r>
              <w:rPr>
                <w:rFonts w:ascii="Times New Roman" w:hAnsi="Times New Roman" w:eastAsia="Times New Roman"/>
              </w:rPr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120" w:after="12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«-при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 xml:space="preserve">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</w:t>
            </w:r>
            <w:r>
              <w:rPr>
                <w:rFonts w:ascii="Times New Roman" w:hAnsi="Times New Roman"/>
                <w:bCs/>
              </w:rPr>
              <w:t xml:space="preserve"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 w:eastAsia="Times New Roman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</w:t>
            </w:r>
            <w:r>
              <w:rPr>
                <w:rFonts w:ascii="Times New Roman" w:hAnsi="Times New Roman"/>
                <w:bCs/>
              </w:rPr>
              <w:t xml:space="preserve">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</w:t>
      </w:r>
      <w:r>
        <w:rPr>
          <w:rFonts w:ascii="Times New Roman" w:hAnsi="Times New Roman"/>
          <w:sz w:val="20"/>
        </w:rPr>
        <w:t xml:space="preserve">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№ 1570);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и индивидуальным предпринимателям, осуществляющим производство, первичную и (или) последующ</w:t>
      </w:r>
      <w:r>
        <w:rPr>
          <w:rFonts w:ascii="Times New Roman" w:hAnsi="Times New Roman"/>
          <w:sz w:val="20"/>
          <w:szCs w:val="20"/>
        </w:rPr>
        <w:t xml:space="preserve">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rFonts w:ascii="Times New Roman" w:hAnsi="Times New Roman"/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</w:t>
      </w:r>
      <w:r>
        <w:rPr>
          <w:rFonts w:ascii="Times New Roman" w:hAnsi="Times New Roman"/>
          <w:sz w:val="20"/>
          <w:szCs w:val="20"/>
        </w:rPr>
        <w:t xml:space="preserve">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</w:t>
      </w:r>
      <w:r>
        <w:rPr>
          <w:rFonts w:ascii="Times New Roman" w:hAnsi="Times New Roman"/>
          <w:sz w:val="20"/>
          <w:szCs w:val="20"/>
        </w:rPr>
        <w:t xml:space="preserve">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с ППРФ от 25.10.2023 № 1780.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</w:t>
      </w:r>
      <w:r>
        <w:rPr>
          <w:rFonts w:ascii="Times New Roman" w:hAnsi="Times New Roman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ascii="Times New Roman" w:hAnsi="Times New Roman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br/>
        <w:t xml:space="preserve">№ 1780.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  <w:t xml:space="preserve">от 25.10.2023 № 1780)»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pStyle w:val="891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pStyle w:val="89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-Р (в рамках ППРФ </w:t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pStyle w:val="89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Решение №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-Р (в рамках ППРФ </w:t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pStyle w:val="891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pStyle w:val="89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1698-Р (в рамках ППРФ </w:t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pStyle w:val="89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Решение № 1698-Р (в рамках ППРФ </w:t>
              <w:br/>
              <w:t xml:space="preserve">от 25.10.2023 № 1780)».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</w:tbl>
    <w:tbl>
      <w:tblPr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Обслуживание торгово-сервисных предприятий</w:t>
      </w:r>
      <w:r>
        <w:rPr>
          <w:rStyle w:val="1089"/>
          <w:rFonts w:eastAsia="Times New Roman"/>
          <w:b/>
          <w:sz w:val="24"/>
          <w:szCs w:val="24"/>
          <w:lang w:eastAsia="ru-RU"/>
        </w:rPr>
        <w:footnoteReference w:id="7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 w:clear="all"/>
        <w:t xml:space="preserve">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2977"/>
        <w:gridCol w:w="2835"/>
      </w:tblGrid>
      <w:tr>
        <w:tblPrEx/>
        <w:trPr>
          <w:trHeight w:val="397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 xml:space="preserve">Приложению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 </w:t>
            </w:r>
            <w:r>
              <w:rPr>
                <w:rFonts w:ascii="Times New Roman" w:hAnsi="Times New Roman"/>
              </w:rPr>
              <w:t xml:space="preserve"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</w:t>
            </w:r>
            <w:r>
              <w:rPr>
                <w:rFonts w:ascii="Times New Roman" w:hAnsi="Times New Roman"/>
              </w:rPr>
              <w:t xml:space="preserve">льная платежная система «Мир» и иные международные 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</w:t>
            </w:r>
            <w:r>
              <w:rPr>
                <w:rFonts w:ascii="Times New Roman" w:hAnsi="Times New Roman"/>
              </w:rPr>
              <w:t xml:space="preserve"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 xml:space="preserve"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 xml:space="preserve"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13.6.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 xml:space="preserve">:»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одного перевода – 999 999,99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</w:t>
            </w:r>
            <w:r>
              <w:rPr>
                <w:rFonts w:ascii="Times New Roman" w:hAnsi="Times New Roman"/>
              </w:rPr>
              <w:t xml:space="preserve">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both"/>
        <w:spacing w:before="240" w:after="12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88"/>
        <w:gridCol w:w="3027"/>
        <w:gridCol w:w="310"/>
        <w:gridCol w:w="1748"/>
        <w:gridCol w:w="1304"/>
        <w:gridCol w:w="2660"/>
      </w:tblGrid>
      <w:tr>
        <w:tblPrEx/>
        <w:trPr>
          <w:trHeight w:val="397"/>
        </w:trPr>
        <w:tc>
          <w:tcPr>
            <w:tcW w:w="53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64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505" w:type="pct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31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</w:rPr>
              <w:t xml:space="preserve">100 руб. за каждый последующий счет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раздел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Ведение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20 000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300 руб. в месяц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неэмиссионных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81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t xml:space="preserve">месяц, от 300 млн. руб. до 500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номинальной стоимости </w:t>
            </w:r>
            <w:r>
              <w:rPr>
                <w:rFonts w:ascii="Times New Roman" w:hAnsi="Times New Roman" w:eastAsia="Times New Roman"/>
              </w:rPr>
              <w:t xml:space="preserve">ежедневного остатка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не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0,035%, годовых минимум 100 руб. в месяц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576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015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89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3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312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</w:t>
            </w:r>
            <w:r>
              <w:rPr>
                <w:rFonts w:ascii="Times New Roman" w:hAnsi="Times New Roman"/>
              </w:rPr>
              <w:t xml:space="preserve">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</w:t>
            </w:r>
            <w:r>
              <w:rPr>
                <w:rFonts w:ascii="Times New Roman" w:hAnsi="Times New Roman"/>
                <w:bCs/>
              </w:rPr>
              <w:t xml:space="preserve">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</w:t>
            </w:r>
            <w:r>
              <w:rPr>
                <w:rFonts w:ascii="Times New Roman" w:hAnsi="Times New Roman"/>
              </w:rPr>
              <w:t xml:space="preserve">месяц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7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0,035% годовых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100 руб. в месяц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33"/>
        </w:trPr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700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разделам счета депо (по счетам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5 000руб.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50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Оказание содействия в осуществ</w:t>
            </w:r>
            <w:r>
              <w:rPr>
                <w:rFonts w:ascii="Times New Roman" w:hAnsi="Times New Roman" w:eastAsia="Times New Roman"/>
                <w:bCs/>
              </w:rPr>
              <w:t xml:space="preserve">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</w:t>
            </w:r>
            <w:r>
              <w:rPr>
                <w:rFonts w:ascii="Times New Roman" w:hAnsi="Times New Roman" w:eastAsia="Times New Roman"/>
                <w:bCs/>
              </w:rPr>
              <w:t xml:space="preserve">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 xml:space="preserve">1 000 руб. для номинальных держателей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98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098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098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банковским счетам в драгоценных металлах</w:t>
            </w:r>
            <w:r>
              <w:rPr>
                <w:rStyle w:val="1089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13" w:after="113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  <w:t xml:space="preserve">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>
        <w:tblPrEx/>
        <w:trPr>
          <w:trHeight w:val="397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17.2.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firstLine="540"/>
        <w:jc w:val="both"/>
        <w:spacing w:before="40"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-425" w:right="-284" w:firstLine="709"/>
        <w:jc w:val="both"/>
        <w:spacing w:before="120"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851" w:bottom="709" w:left="1134" w:header="56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4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В</w:t>
      </w:r>
      <w:r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5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6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 xml:space="preserve">0.2</w:t>
      </w:r>
      <w:r>
        <w:rPr>
          <w:sz w:val="18"/>
          <w:szCs w:val="18"/>
          <w:lang w:val="ru-RU"/>
        </w:rPr>
        <w:t xml:space="preserve"> приказа АО «Россельхозбанк» от 01.08.2013 № 386-ОД.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7">
    <w:p>
      <w:pPr>
        <w:pStyle w:val="929"/>
        <w:ind w:left="0"/>
        <w:jc w:val="both"/>
        <w:spacing w:after="0" w:line="240" w:lineRule="auto"/>
        <w:tabs>
          <w:tab w:val="left" w:pos="426" w:leader="none"/>
        </w:tabs>
        <w:rPr>
          <w:sz w:val="24"/>
          <w:szCs w:val="24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Под </w:t>
      </w:r>
      <w:r>
        <w:rPr>
          <w:rFonts w:ascii="Times New Roman" w:hAnsi="Times New Roman"/>
          <w:sz w:val="20"/>
          <w:szCs w:val="24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sz w:val="20"/>
          <w:szCs w:val="24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rFonts w:ascii="Times New Roman" w:hAnsi="Times New Roman"/>
          <w:sz w:val="20"/>
          <w:szCs w:val="24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</w:footnote>
  <w:footnote w:id="8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9">
    <w:p>
      <w:pPr>
        <w:ind w:right="-17"/>
        <w:jc w:val="both"/>
        <w:spacing w:after="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10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1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2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3"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</w:t>
      </w:r>
      <w:r>
        <w:rPr>
          <w:rFonts w:ascii="Times New Roman" w:hAnsi="Times New Roman"/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</w:footnote>
  <w:footnote w:id="14"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 xml:space="preserve">РСХБ-Дилинг 2.0, обеспечивающее в сочетании с паролем однозначную аутентификацию Клиента в Торговой системе РСХБ-Дилинг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71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6"/>
  </w:num>
  <w:num w:numId="11">
    <w:abstractNumId w:val="12"/>
  </w:num>
  <w:num w:numId="12">
    <w:abstractNumId w:val="3"/>
  </w:num>
  <w:num w:numId="13">
    <w:abstractNumId w:val="17"/>
  </w:num>
  <w:num w:numId="14">
    <w:abstractNumId w:val="11"/>
  </w:num>
  <w:num w:numId="15">
    <w:abstractNumId w:val="18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2">
    <w:name w:val="Heading 1"/>
    <w:basedOn w:val="891"/>
    <w:next w:val="891"/>
    <w:link w:val="9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93">
    <w:name w:val="Heading 2"/>
    <w:basedOn w:val="891"/>
    <w:next w:val="891"/>
    <w:link w:val="9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94">
    <w:name w:val="Heading 3"/>
    <w:basedOn w:val="891"/>
    <w:next w:val="891"/>
    <w:link w:val="9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95">
    <w:name w:val="Heading 4"/>
    <w:basedOn w:val="891"/>
    <w:next w:val="891"/>
    <w:link w:val="9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6">
    <w:name w:val="Heading 5"/>
    <w:basedOn w:val="891"/>
    <w:next w:val="891"/>
    <w:link w:val="9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7">
    <w:name w:val="Heading 6"/>
    <w:basedOn w:val="891"/>
    <w:next w:val="891"/>
    <w:link w:val="9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98">
    <w:name w:val="Heading 7"/>
    <w:basedOn w:val="891"/>
    <w:next w:val="891"/>
    <w:link w:val="9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99">
    <w:name w:val="Heading 8"/>
    <w:basedOn w:val="891"/>
    <w:next w:val="891"/>
    <w:link w:val="9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00">
    <w:name w:val="Heading 9"/>
    <w:basedOn w:val="891"/>
    <w:next w:val="891"/>
    <w:link w:val="9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character" w:styleId="90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uiPriority w:val="9"/>
    <w:rPr>
      <w:rFonts w:ascii="Arial" w:hAnsi="Arial" w:eastAsia="Arial" w:cs="Arial"/>
      <w:sz w:val="34"/>
    </w:rPr>
  </w:style>
  <w:style w:type="character" w:styleId="90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uiPriority w:val="10"/>
    <w:rPr>
      <w:sz w:val="48"/>
      <w:szCs w:val="48"/>
    </w:rPr>
  </w:style>
  <w:style w:type="character" w:styleId="914" w:customStyle="1">
    <w:name w:val="Subtitle Char"/>
    <w:uiPriority w:val="11"/>
    <w:rPr>
      <w:sz w:val="24"/>
      <w:szCs w:val="24"/>
    </w:rPr>
  </w:style>
  <w:style w:type="character" w:styleId="915" w:customStyle="1">
    <w:name w:val="Quote Char"/>
    <w:uiPriority w:val="29"/>
    <w:rPr>
      <w:i/>
    </w:rPr>
  </w:style>
  <w:style w:type="character" w:styleId="916" w:customStyle="1">
    <w:name w:val="Intense Quote Char"/>
    <w:uiPriority w:val="30"/>
    <w:rPr>
      <w:i/>
    </w:rPr>
  </w:style>
  <w:style w:type="character" w:styleId="917" w:customStyle="1">
    <w:name w:val="Header Char"/>
    <w:basedOn w:val="901"/>
    <w:uiPriority w:val="99"/>
  </w:style>
  <w:style w:type="character" w:styleId="918" w:customStyle="1">
    <w:name w:val="Footnote Text Char"/>
    <w:uiPriority w:val="99"/>
    <w:rPr>
      <w:sz w:val="18"/>
    </w:rPr>
  </w:style>
  <w:style w:type="character" w:styleId="919" w:customStyle="1">
    <w:name w:val="Endnote Text Char"/>
    <w:uiPriority w:val="99"/>
    <w:rPr>
      <w:sz w:val="20"/>
    </w:rPr>
  </w:style>
  <w:style w:type="character" w:styleId="920" w:customStyle="1">
    <w:name w:val="Заголовок 1 Знак"/>
    <w:link w:val="892"/>
    <w:uiPriority w:val="9"/>
    <w:rPr>
      <w:rFonts w:ascii="Arial" w:hAnsi="Arial" w:eastAsia="Arial" w:cs="Arial"/>
      <w:sz w:val="40"/>
      <w:szCs w:val="40"/>
    </w:rPr>
  </w:style>
  <w:style w:type="character" w:styleId="921" w:customStyle="1">
    <w:name w:val="Заголовок 2 Знак"/>
    <w:link w:val="893"/>
    <w:uiPriority w:val="9"/>
    <w:rPr>
      <w:rFonts w:ascii="Arial" w:hAnsi="Arial" w:eastAsia="Arial" w:cs="Arial"/>
      <w:sz w:val="34"/>
    </w:rPr>
  </w:style>
  <w:style w:type="character" w:styleId="922" w:customStyle="1">
    <w:name w:val="Заголовок 3 Знак"/>
    <w:link w:val="894"/>
    <w:uiPriority w:val="9"/>
    <w:rPr>
      <w:rFonts w:ascii="Arial" w:hAnsi="Arial" w:eastAsia="Arial" w:cs="Arial"/>
      <w:sz w:val="30"/>
      <w:szCs w:val="30"/>
    </w:rPr>
  </w:style>
  <w:style w:type="character" w:styleId="923" w:customStyle="1">
    <w:name w:val="Заголовок 4 Знак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924" w:customStyle="1">
    <w:name w:val="Заголовок 5 Знак"/>
    <w:link w:val="896"/>
    <w:uiPriority w:val="9"/>
    <w:rPr>
      <w:rFonts w:ascii="Arial" w:hAnsi="Arial" w:eastAsia="Arial" w:cs="Arial"/>
      <w:b/>
      <w:bCs/>
      <w:sz w:val="24"/>
      <w:szCs w:val="24"/>
    </w:rPr>
  </w:style>
  <w:style w:type="character" w:styleId="925" w:customStyle="1">
    <w:name w:val="Заголовок 6 Знак"/>
    <w:link w:val="897"/>
    <w:uiPriority w:val="9"/>
    <w:rPr>
      <w:rFonts w:ascii="Arial" w:hAnsi="Arial" w:eastAsia="Arial" w:cs="Arial"/>
      <w:b/>
      <w:bCs/>
      <w:sz w:val="22"/>
      <w:szCs w:val="22"/>
    </w:rPr>
  </w:style>
  <w:style w:type="character" w:styleId="926" w:customStyle="1">
    <w:name w:val="Заголовок 7 Знак"/>
    <w:link w:val="8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7" w:customStyle="1">
    <w:name w:val="Заголовок 8 Знак"/>
    <w:link w:val="899"/>
    <w:uiPriority w:val="9"/>
    <w:rPr>
      <w:rFonts w:ascii="Arial" w:hAnsi="Arial" w:eastAsia="Arial" w:cs="Arial"/>
      <w:i/>
      <w:iCs/>
      <w:sz w:val="22"/>
      <w:szCs w:val="22"/>
    </w:rPr>
  </w:style>
  <w:style w:type="character" w:styleId="928" w:customStyle="1">
    <w:name w:val="Заголовок 9 Знак"/>
    <w:link w:val="900"/>
    <w:uiPriority w:val="9"/>
    <w:rPr>
      <w:rFonts w:ascii="Arial" w:hAnsi="Arial" w:eastAsia="Arial" w:cs="Arial"/>
      <w:i/>
      <w:iCs/>
      <w:sz w:val="21"/>
      <w:szCs w:val="21"/>
    </w:rPr>
  </w:style>
  <w:style w:type="paragraph" w:styleId="929">
    <w:name w:val="List Paragraph"/>
    <w:basedOn w:val="891"/>
    <w:uiPriority w:val="34"/>
    <w:qFormat/>
    <w:pPr>
      <w:contextualSpacing/>
      <w:ind w:left="720"/>
    </w:pPr>
  </w:style>
  <w:style w:type="paragraph" w:styleId="930">
    <w:name w:val="No Spacing"/>
    <w:uiPriority w:val="1"/>
    <w:qFormat/>
    <w:rPr>
      <w:lang w:eastAsia="zh-CN"/>
    </w:rPr>
  </w:style>
  <w:style w:type="paragraph" w:styleId="931">
    <w:name w:val="Title"/>
    <w:basedOn w:val="891"/>
    <w:next w:val="891"/>
    <w:link w:val="932"/>
    <w:uiPriority w:val="10"/>
    <w:qFormat/>
    <w:pPr>
      <w:contextualSpacing/>
      <w:spacing w:before="300"/>
    </w:pPr>
    <w:rPr>
      <w:sz w:val="48"/>
      <w:szCs w:val="48"/>
    </w:rPr>
  </w:style>
  <w:style w:type="character" w:styleId="932" w:customStyle="1">
    <w:name w:val="Заголовок Знак"/>
    <w:link w:val="931"/>
    <w:uiPriority w:val="10"/>
    <w:rPr>
      <w:sz w:val="48"/>
      <w:szCs w:val="48"/>
    </w:rPr>
  </w:style>
  <w:style w:type="paragraph" w:styleId="933">
    <w:name w:val="Subtitle"/>
    <w:basedOn w:val="891"/>
    <w:next w:val="891"/>
    <w:link w:val="934"/>
    <w:uiPriority w:val="11"/>
    <w:qFormat/>
    <w:pPr>
      <w:spacing w:before="200"/>
    </w:pPr>
    <w:rPr>
      <w:sz w:val="24"/>
      <w:szCs w:val="24"/>
    </w:rPr>
  </w:style>
  <w:style w:type="character" w:styleId="934" w:customStyle="1">
    <w:name w:val="Подзаголовок Знак"/>
    <w:link w:val="933"/>
    <w:uiPriority w:val="11"/>
    <w:rPr>
      <w:sz w:val="24"/>
      <w:szCs w:val="24"/>
    </w:rPr>
  </w:style>
  <w:style w:type="paragraph" w:styleId="935">
    <w:name w:val="Quote"/>
    <w:basedOn w:val="891"/>
    <w:next w:val="891"/>
    <w:link w:val="936"/>
    <w:uiPriority w:val="29"/>
    <w:qFormat/>
    <w:pPr>
      <w:ind w:left="720" w:right="720"/>
    </w:pPr>
    <w:rPr>
      <w:i/>
    </w:rPr>
  </w:style>
  <w:style w:type="character" w:styleId="936" w:customStyle="1">
    <w:name w:val="Цитата 2 Знак"/>
    <w:link w:val="935"/>
    <w:uiPriority w:val="29"/>
    <w:rPr>
      <w:i/>
    </w:rPr>
  </w:style>
  <w:style w:type="paragraph" w:styleId="937">
    <w:name w:val="Intense Quote"/>
    <w:basedOn w:val="891"/>
    <w:next w:val="891"/>
    <w:link w:val="9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8" w:customStyle="1">
    <w:name w:val="Выделенная цитата Знак"/>
    <w:link w:val="937"/>
    <w:uiPriority w:val="30"/>
    <w:rPr>
      <w:i/>
    </w:rPr>
  </w:style>
  <w:style w:type="paragraph" w:styleId="939">
    <w:name w:val="Header"/>
    <w:basedOn w:val="891"/>
    <w:link w:val="9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0" w:customStyle="1">
    <w:name w:val="Верхний колонтитул Знак"/>
    <w:link w:val="939"/>
    <w:uiPriority w:val="99"/>
  </w:style>
  <w:style w:type="paragraph" w:styleId="941">
    <w:name w:val="Footer"/>
    <w:basedOn w:val="891"/>
    <w:link w:val="10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Footer Char"/>
    <w:uiPriority w:val="99"/>
  </w:style>
  <w:style w:type="paragraph" w:styleId="943">
    <w:name w:val="Caption"/>
    <w:basedOn w:val="891"/>
    <w:next w:val="891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944" w:customStyle="1">
    <w:name w:val="Caption Char"/>
    <w:uiPriority w:val="99"/>
  </w:style>
  <w:style w:type="table" w:styleId="945">
    <w:name w:val="Table Grid"/>
    <w:basedOn w:val="902"/>
    <w:uiPriority w:val="59"/>
    <w:tblPr/>
  </w:style>
  <w:style w:type="table" w:styleId="9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3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71">
    <w:name w:val="Hyperlink"/>
    <w:rPr>
      <w:rFonts w:cs="Times New Roman"/>
      <w:color w:val="0000ff"/>
      <w:u w:val="single"/>
    </w:rPr>
  </w:style>
  <w:style w:type="paragraph" w:styleId="1072">
    <w:name w:val="footnote text"/>
    <w:basedOn w:val="891"/>
    <w:link w:val="1073"/>
    <w:uiPriority w:val="99"/>
    <w:semiHidden/>
    <w:unhideWhenUsed/>
    <w:pPr>
      <w:spacing w:after="40" w:line="240" w:lineRule="auto"/>
    </w:pPr>
    <w:rPr>
      <w:sz w:val="18"/>
    </w:rPr>
  </w:style>
  <w:style w:type="character" w:styleId="1073" w:customStyle="1">
    <w:name w:val="Текст сноски Знак"/>
    <w:link w:val="1072"/>
    <w:uiPriority w:val="99"/>
    <w:rPr>
      <w:sz w:val="18"/>
    </w:rPr>
  </w:style>
  <w:style w:type="character" w:styleId="1074">
    <w:name w:val="footnote reference"/>
    <w:uiPriority w:val="99"/>
    <w:unhideWhenUsed/>
    <w:rPr>
      <w:vertAlign w:val="superscript"/>
    </w:rPr>
  </w:style>
  <w:style w:type="paragraph" w:styleId="1075">
    <w:name w:val="endnote text"/>
    <w:basedOn w:val="891"/>
    <w:link w:val="1076"/>
    <w:uiPriority w:val="99"/>
    <w:semiHidden/>
    <w:unhideWhenUsed/>
    <w:pPr>
      <w:spacing w:after="0" w:line="240" w:lineRule="auto"/>
    </w:pPr>
    <w:rPr>
      <w:sz w:val="20"/>
    </w:rPr>
  </w:style>
  <w:style w:type="character" w:styleId="1076" w:customStyle="1">
    <w:name w:val="Текст концевой сноски Знак"/>
    <w:link w:val="1075"/>
    <w:uiPriority w:val="99"/>
    <w:rPr>
      <w:sz w:val="20"/>
    </w:rPr>
  </w:style>
  <w:style w:type="character" w:styleId="1077">
    <w:name w:val="endnote reference"/>
    <w:uiPriority w:val="99"/>
    <w:semiHidden/>
    <w:unhideWhenUsed/>
    <w:rPr>
      <w:vertAlign w:val="superscript"/>
    </w:rPr>
  </w:style>
  <w:style w:type="paragraph" w:styleId="1078">
    <w:name w:val="toc 1"/>
    <w:basedOn w:val="891"/>
    <w:next w:val="891"/>
    <w:uiPriority w:val="39"/>
    <w:unhideWhenUsed/>
    <w:pPr>
      <w:spacing w:after="57"/>
    </w:pPr>
  </w:style>
  <w:style w:type="paragraph" w:styleId="1079">
    <w:name w:val="toc 2"/>
    <w:basedOn w:val="891"/>
    <w:next w:val="891"/>
    <w:uiPriority w:val="39"/>
    <w:unhideWhenUsed/>
    <w:pPr>
      <w:ind w:left="283"/>
      <w:spacing w:after="57"/>
    </w:pPr>
  </w:style>
  <w:style w:type="paragraph" w:styleId="1080">
    <w:name w:val="toc 3"/>
    <w:basedOn w:val="891"/>
    <w:next w:val="891"/>
    <w:uiPriority w:val="39"/>
    <w:unhideWhenUsed/>
    <w:pPr>
      <w:ind w:left="567"/>
      <w:spacing w:after="57"/>
    </w:pPr>
  </w:style>
  <w:style w:type="paragraph" w:styleId="1081">
    <w:name w:val="toc 4"/>
    <w:basedOn w:val="891"/>
    <w:next w:val="891"/>
    <w:uiPriority w:val="39"/>
    <w:unhideWhenUsed/>
    <w:pPr>
      <w:ind w:left="850"/>
      <w:spacing w:after="57"/>
    </w:pPr>
  </w:style>
  <w:style w:type="paragraph" w:styleId="1082">
    <w:name w:val="toc 5"/>
    <w:basedOn w:val="891"/>
    <w:next w:val="891"/>
    <w:uiPriority w:val="39"/>
    <w:unhideWhenUsed/>
    <w:pPr>
      <w:ind w:left="1134"/>
      <w:spacing w:after="57"/>
    </w:pPr>
  </w:style>
  <w:style w:type="paragraph" w:styleId="1083">
    <w:name w:val="toc 6"/>
    <w:basedOn w:val="891"/>
    <w:next w:val="891"/>
    <w:uiPriority w:val="39"/>
    <w:unhideWhenUsed/>
    <w:pPr>
      <w:ind w:left="1417"/>
      <w:spacing w:after="57"/>
    </w:pPr>
  </w:style>
  <w:style w:type="paragraph" w:styleId="1084">
    <w:name w:val="toc 7"/>
    <w:basedOn w:val="891"/>
    <w:next w:val="891"/>
    <w:uiPriority w:val="39"/>
    <w:unhideWhenUsed/>
    <w:pPr>
      <w:ind w:left="1701"/>
      <w:spacing w:after="57"/>
    </w:pPr>
  </w:style>
  <w:style w:type="paragraph" w:styleId="1085">
    <w:name w:val="toc 8"/>
    <w:basedOn w:val="891"/>
    <w:next w:val="891"/>
    <w:uiPriority w:val="39"/>
    <w:unhideWhenUsed/>
    <w:pPr>
      <w:ind w:left="1984"/>
      <w:spacing w:after="57"/>
    </w:pPr>
  </w:style>
  <w:style w:type="paragraph" w:styleId="1086">
    <w:name w:val="toc 9"/>
    <w:basedOn w:val="891"/>
    <w:next w:val="891"/>
    <w:uiPriority w:val="39"/>
    <w:unhideWhenUsed/>
    <w:pPr>
      <w:ind w:left="2268"/>
      <w:spacing w:after="57"/>
    </w:pPr>
  </w:style>
  <w:style w:type="paragraph" w:styleId="1087">
    <w:name w:val="TOC Heading"/>
    <w:uiPriority w:val="39"/>
    <w:unhideWhenUsed/>
    <w:rPr>
      <w:lang w:eastAsia="zh-CN"/>
    </w:rPr>
  </w:style>
  <w:style w:type="paragraph" w:styleId="1088">
    <w:name w:val="table of figures"/>
    <w:basedOn w:val="891"/>
    <w:next w:val="891"/>
    <w:uiPriority w:val="99"/>
    <w:unhideWhenUsed/>
    <w:pPr>
      <w:spacing w:after="0"/>
    </w:pPr>
  </w:style>
  <w:style w:type="character" w:styleId="1089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styleId="109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1"/>
    <w:link w:val="1091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9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9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93">
    <w:name w:val="Balloon Text"/>
    <w:basedOn w:val="891"/>
    <w:link w:val="109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094" w:customStyle="1">
    <w:name w:val="Текст выноски Знак"/>
    <w:link w:val="1093"/>
    <w:uiPriority w:val="99"/>
    <w:semiHidden/>
    <w:rPr>
      <w:rFonts w:ascii="Tahoma" w:hAnsi="Tahoma" w:cs="Tahoma"/>
      <w:sz w:val="16"/>
      <w:szCs w:val="16"/>
    </w:rPr>
  </w:style>
  <w:style w:type="paragraph" w:styleId="1095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891"/>
    <w:link w:val="10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96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901"/>
    <w:link w:val="1095"/>
    <w:uiPriority w:val="99"/>
  </w:style>
  <w:style w:type="character" w:styleId="1097" w:customStyle="1">
    <w:name w:val="Нижний колонтитул Знак"/>
    <w:basedOn w:val="901"/>
    <w:link w:val="941"/>
    <w:uiPriority w:val="99"/>
  </w:style>
  <w:style w:type="paragraph" w:styleId="1098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paragraph" w:styleId="1099">
    <w:name w:val="Revision"/>
    <w:hidden/>
    <w:uiPriority w:val="99"/>
    <w:semiHidden/>
    <w:rPr>
      <w:sz w:val="22"/>
      <w:szCs w:val="22"/>
      <w:lang w:eastAsia="en-US"/>
    </w:rPr>
  </w:style>
  <w:style w:type="paragraph" w:styleId="1100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character" w:styleId="1101">
    <w:name w:val="annotation reference"/>
    <w:uiPriority w:val="99"/>
    <w:semiHidden/>
    <w:unhideWhenUsed/>
    <w:rPr>
      <w:sz w:val="16"/>
      <w:szCs w:val="16"/>
    </w:rPr>
  </w:style>
  <w:style w:type="paragraph" w:styleId="1102">
    <w:name w:val="annotation text"/>
    <w:basedOn w:val="891"/>
    <w:link w:val="1103"/>
    <w:uiPriority w:val="99"/>
    <w:semiHidden/>
    <w:unhideWhenUsed/>
    <w:rPr>
      <w:sz w:val="20"/>
      <w:szCs w:val="20"/>
    </w:rPr>
  </w:style>
  <w:style w:type="character" w:styleId="1103" w:customStyle="1">
    <w:name w:val="Текст примечания Знак"/>
    <w:link w:val="1102"/>
    <w:uiPriority w:val="99"/>
    <w:semiHidden/>
    <w:rPr>
      <w:lang w:eastAsia="en-US"/>
    </w:rPr>
  </w:style>
  <w:style w:type="paragraph" w:styleId="1104">
    <w:name w:val="annotation subject"/>
    <w:basedOn w:val="1102"/>
    <w:next w:val="1102"/>
    <w:link w:val="1105"/>
    <w:uiPriority w:val="99"/>
    <w:semiHidden/>
    <w:unhideWhenUsed/>
    <w:rPr>
      <w:b/>
      <w:bCs/>
    </w:rPr>
  </w:style>
  <w:style w:type="character" w:styleId="1105" w:customStyle="1">
    <w:name w:val="Тема примечания Знак"/>
    <w:link w:val="1104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revision>6</cp:revision>
  <dcterms:created xsi:type="dcterms:W3CDTF">2024-12-20T02:45:00Z</dcterms:created>
  <dcterms:modified xsi:type="dcterms:W3CDTF">2025-02-17T01:15:13Z</dcterms:modified>
  <cp:version>1048576</cp:version>
</cp:coreProperties>
</file>