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2" w:firstLine="708"/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0" w:name="_GoBack"/>
      <w:r>
        <w:rPr>
          <w:rFonts w:ascii="Times New Roman" w:hAnsi="Times New Roman" w:eastAsia="Times New Roman" w:cs="Times New Roman"/>
          <w:b/>
          <w:color w:val="333333"/>
          <w:sz w:val="22"/>
          <w:szCs w:val="22"/>
          <w:shd w:val="clear" w:color="auto" w:fill="ffffff"/>
        </w:rPr>
        <w:t xml:space="preserve">Приложение 1</w:t>
      </w:r>
      <w:bookmarkEnd w:id="0"/>
      <w:r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</w:r>
    </w:p>
    <w:p>
      <w:pP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333333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333333"/>
          <w:sz w:val="22"/>
          <w:szCs w:val="22"/>
          <w:shd w:val="clear" w:color="auto" w:fill="ffffff"/>
        </w:rPr>
        <w:t xml:space="preserve">С тарифными планами </w:t>
      </w:r>
      <w:hyperlink r:id="rId8" w:tooltip="https://www.rshb.ru/business/business-cards" w:history="1">
        <w:r>
          <w:rPr>
            <w:rStyle w:val="836"/>
            <w:rFonts w:ascii="Times New Roman" w:hAnsi="Times New Roman" w:eastAsia="Times New Roman" w:cs="Times New Roman"/>
            <w:color w:val="337ab7"/>
            <w:sz w:val="22"/>
            <w:szCs w:val="22"/>
            <w:u w:val="none"/>
            <w:shd w:val="clear" w:color="auto" w:fill="ffffff"/>
          </w:rPr>
          <w:t xml:space="preserve">бизнес-карт</w:t>
        </w:r>
      </w:hyperlink>
      <w:r>
        <w:rPr>
          <w:rFonts w:ascii="Times New Roman" w:hAnsi="Times New Roman" w:eastAsia="Times New Roman" w:cs="Times New Roman"/>
          <w:color w:val="333333"/>
          <w:sz w:val="22"/>
          <w:szCs w:val="22"/>
          <w:shd w:val="clear" w:color="auto" w:fill="ffffff"/>
        </w:rPr>
        <w:t xml:space="preserve"> можно ознакомиться в соответствующих разделах.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333333"/>
          <w:sz w:val="22"/>
          <w:szCs w:val="22"/>
          <w:shd w:val="clear" w:color="auto" w:fill="ffffff"/>
        </w:rPr>
        <w:t xml:space="preserve">- срок зачисления средств зависит от банка получателя перевода, и может составлять от нескольких минут до нескольких дней.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r>
    </w:p>
    <w:p>
      <w:pP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333333"/>
          <w:sz w:val="22"/>
          <w:szCs w:val="22"/>
          <w:shd w:val="clear" w:color="auto" w:fill="ffffff"/>
        </w:rPr>
        <w:t xml:space="preserve">- банки-эмитенты карт могут устанавливать дополнительные условия и ограничения для проведения переводов с карты на карту.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КОМИССИИ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4110"/>
      </w:tblGrid>
      <w:tr>
        <w:tblPrEx/>
        <w:trPr/>
        <w:tc>
          <w:tcPr>
            <w:gridSpan w:val="3"/>
            <w:shd w:val="clear" w:color="auto" w:fill="auto"/>
            <w:tcW w:w="9354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tabs>
                <w:tab w:val="left" w:pos="0" w:leader="none"/>
                <w:tab w:val="left" w:pos="1134" w:leader="none"/>
                <w:tab w:val="left" w:pos="3569" w:leader="none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Оп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ерация перевода денежных средств по номеру банковской карты с использованием Бизнес-карты/реквизитов Бизнес-карты АО «Россельхозбанк» на банковские карты физических лиц           АО «Россельхозбанк» и банковские карты физических лиц других банков-эмитентов</w:t>
            </w:r>
            <w:r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1592"/>
        </w:trPr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до 500 000,00 руб. (включительно) по Счету в течение календарного месяца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1,5% от суммы операции, мин. 250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перации перевода денежных средств с использованием реквизитов Бизнес-карты осуществляются в валюте Российской Федерации на банковские карты, эмитированные кредитными организациями на территории Российской Федерации. Операции перевода могут быть осуществлен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ы на странице Банка по адресу www.rshb.business.p2p, в ИС Свой Бизнес, банкоматах и информационно-платежных терминалах Банка, а также в банкоматно-терминальной сети и интернет-ресурсах сторонних организаций.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свыше 500 000,00 руб. по Счету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6% от суммы операции, мин. 250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ЛИМИТЫ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4435"/>
        <w:gridCol w:w="2974"/>
      </w:tblGrid>
      <w:tr>
        <w:tblPrEx/>
        <w:trPr/>
        <w:tc>
          <w:tcPr>
            <w:gridSpan w:val="3"/>
            <w:shd w:val="clear" w:color="auto" w:fill="auto"/>
            <w:tcW w:w="5000" w:type="pct"/>
            <w:textDirection w:val="lrTb"/>
            <w:noWrap w:val="false"/>
          </w:tcPr>
          <w:p>
            <w:pPr>
              <w:spacing w:before="120" w:after="12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Лимит переводов денежных средств  по номеру банковской карты с использованием Бизнес-карты/реквизитов Бизнес-карты АО «Россельхозбанк» на банковские карты физических лиц  АО "Россельхозбанк" и банковские карты физических лиц других банков-эмитентов: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793"/>
        </w:trPr>
        <w:tc>
          <w:tcPr>
            <w:shd w:val="clear" w:color="auto" w:fill="auto"/>
            <w:tcW w:w="1036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в сутки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7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100 000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91" w:type="pct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white"/>
              </w:rPr>
              <w:t xml:space="preserve">Лимит устанавливается суммарно на все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white"/>
              </w:rPr>
              <w:t xml:space="preserve">банковские счета Клиента (Счета и банковские счета,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white"/>
              </w:rPr>
              <w:t xml:space="preserve">открытые в Банке Клиенту для осуществления расчетно-кассового обслуживания Клиента, к которым выпущена(ы) Бизнес-карта(ы)).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36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 в месяц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37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1 000 000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9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  <w:style w:type="character" w:styleId="837">
    <w:name w:val="FollowedHyperlink"/>
    <w:basedOn w:val="83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rshb.ru/business/business-card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 Андрей Сергеевич</dc:creator>
  <cp:keywords/>
  <dc:description/>
  <cp:lastModifiedBy>motuznaya-tv</cp:lastModifiedBy>
  <cp:revision>7</cp:revision>
  <dcterms:created xsi:type="dcterms:W3CDTF">2023-08-24T14:42:00Z</dcterms:created>
  <dcterms:modified xsi:type="dcterms:W3CDTF">2025-05-19T13:44:19Z</dcterms:modified>
</cp:coreProperties>
</file>