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12"/>
      </w:tblGrid>
      <w:tr>
        <w:tblPrEx/>
        <w:trPr>
          <w:jc w:val="center"/>
          <w:trHeight w:val="28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88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департамент томский РЕГИОНАЛЬНЫЙ ФИЛИАЛ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АО «РОССЕЛЬХОЗБАНК»</w:t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  <w:r>
              <w:rPr>
                <w:rFonts w:ascii="Times New Roman" w:hAnsi="Times New Roman"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ТАРИФЫ КОМИССИОННОГО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ВОЗНАГРАЖДЕНИЯ НА УСЛУГИ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ЮРИДИЧЕСКИМ ЛИЦАМ, СУБЪЕКТАМ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МУНИЦИПАЛЬНЫМ ОБРАЗОВАНИЯМ, ИНДИВИДУАЛЬНЫМ ПРЕДПРИНИМАТЕЛЯМ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ФИЗИЧЕСКИМ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ЛИЦАМ, ЗАНИМАЮЩИМСЯ 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УСТАНОВЛЕННОМ 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РОССИЙКОЙ ФЕДЕРАЦИИ ПОРЯДКЕ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ЧАСТНОЙ ПРАКТИКОЙ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8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shd w:val="clear" w:color="auto" w:fill="f2f2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8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действуют с 30.05.2025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71650" cy="1209675"/>
                <wp:effectExtent l="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50pt;height:95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7"/>
        <w:gridCol w:w="5805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Департамент транзакционного бизнеса и цифровых каналов продаж МСБ и </w:t>
            </w:r>
            <w:r>
              <w:rPr>
                <w:color w:val="000000"/>
                <w:sz w:val="20"/>
                <w:szCs w:val="20"/>
              </w:rPr>
              <w:t xml:space="preserve">микробизнеса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ДТБЦКПМСБиМ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и наименование процесса(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ов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):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1-13/04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ГО/ВСП ГО/РФ/ВСП РФ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Содержание</w:t>
      </w:r>
      <w:r>
        <w:rPr>
          <w:b/>
          <w:caps/>
          <w:sz w:val="20"/>
          <w:szCs w:val="20"/>
          <w:lang w:val="en-US"/>
        </w:rPr>
        <w:t xml:space="preserve"> </w:t>
      </w:r>
      <w:r>
        <w:rPr>
          <w:b/>
          <w:caps/>
          <w:sz w:val="20"/>
          <w:szCs w:val="20"/>
        </w:rPr>
        <w:t xml:space="preserve">:</w:t>
      </w:r>
      <w:r>
        <w:rPr>
          <w:b/>
          <w:caps/>
          <w:sz w:val="20"/>
          <w:szCs w:val="20"/>
        </w:rPr>
      </w:r>
      <w:r>
        <w:rPr>
          <w:b/>
          <w:cap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\h \z \u \t "Заголовок 4;1" </w:instrText>
      </w:r>
      <w:r>
        <w:rPr>
          <w:sz w:val="20"/>
          <w:szCs w:val="20"/>
        </w:rPr>
        <w:fldChar w:fldCharType="separate"/>
      </w:r>
      <w:hyperlink w:tooltip="#_Toc427767368" w:anchor="_Toc427767368" w:history="1">
        <w:r>
          <w:rPr>
            <w:rStyle w:val="1191"/>
            <w:sz w:val="20"/>
            <w:szCs w:val="20"/>
          </w:rPr>
          <w:t xml:space="preserve">1. Открытие и ведение счетов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_Toc427767368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69" w:anchor="_Toc427767369" w:history="1">
        <w:r>
          <w:rPr>
            <w:rStyle w:val="1191"/>
            <w:sz w:val="20"/>
            <w:szCs w:val="20"/>
          </w:rPr>
          <w:t xml:space="preserve">2. Кассовые операции</w:t>
        </w:r>
        <w:r>
          <w:rPr>
            <w:sz w:val="20"/>
            <w:szCs w:val="20"/>
          </w:rPr>
          <w:tab/>
        </w:r>
      </w:hyperlink>
      <w:r>
        <w:rPr>
          <w:sz w:val="20"/>
          <w:szCs w:val="20"/>
        </w:rPr>
        <w:t xml:space="preserve">22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0" w:anchor="_Toc427767370" w:history="1">
        <w:r>
          <w:rPr>
            <w:rStyle w:val="1191"/>
            <w:rFonts w:eastAsia="Calibri"/>
            <w:sz w:val="20"/>
            <w:szCs w:val="20"/>
          </w:rPr>
          <w:t xml:space="preserve">3. Выполнение функций агента валютного контроля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_Toc427767370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26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1" w:anchor="_Toc427767371" w:history="1">
        <w:r>
          <w:rPr>
            <w:rStyle w:val="1191"/>
            <w:sz w:val="20"/>
            <w:szCs w:val="20"/>
          </w:rPr>
          <w:t xml:space="preserve">4. Операции с ценными бумагами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_Toc427767371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31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2" w:anchor="_Toc427767372" w:history="1">
        <w:r>
          <w:rPr>
            <w:rStyle w:val="1191"/>
            <w:sz w:val="20"/>
            <w:szCs w:val="20"/>
          </w:rPr>
          <w:t xml:space="preserve">5. Документарные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31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3" w:anchor="_Toc427767373" w:history="1">
        <w:r>
          <w:rPr>
            <w:rStyle w:val="1191"/>
            <w:sz w:val="20"/>
            <w:szCs w:val="20"/>
          </w:rPr>
          <w:t xml:space="preserve">6. Гар</w:t>
        </w:r>
        <w:r>
          <w:rPr>
            <w:rStyle w:val="1191"/>
            <w:sz w:val="20"/>
            <w:szCs w:val="20"/>
          </w:rPr>
          <w:t xml:space="preserve">антийные операции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_Toc427767373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39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color w:val="0000ff"/>
          <w:sz w:val="20"/>
          <w:szCs w:val="20"/>
          <w:u w:val="single"/>
        </w:rPr>
      </w:pPr>
      <w:r/>
      <w:hyperlink w:tooltip="#_Toc427767374" w:anchor="_Toc427767374" w:history="1">
        <w:r>
          <w:rPr>
            <w:rStyle w:val="1191"/>
            <w:sz w:val="20"/>
            <w:szCs w:val="20"/>
          </w:rPr>
          <w:t xml:space="preserve">7. Дистанционное банковское обслуживание (ДБО)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_Toc427767374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42</w:t>
        </w:r>
        <w:r>
          <w:rPr>
            <w:sz w:val="20"/>
            <w:szCs w:val="20"/>
          </w:rPr>
          <w:fldChar w:fldCharType="end"/>
        </w:r>
      </w:hyperlink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</w:r>
    </w:p>
    <w:p>
      <w:pPr>
        <w:pStyle w:val="1192"/>
        <w:rPr>
          <w:sz w:val="20"/>
          <w:szCs w:val="20"/>
        </w:rPr>
      </w:pPr>
      <w:r/>
      <w:hyperlink w:tooltip="#_Toc427767375" w:anchor="_Toc427767375" w:history="1">
        <w:r>
          <w:rPr>
            <w:rStyle w:val="1191"/>
            <w:sz w:val="20"/>
            <w:szCs w:val="20"/>
          </w:rPr>
          <w:t xml:space="preserve">8. Хранение ценностей клиентов в хранилище ценностей Банка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_Toc427767375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49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6" w:anchor="_Toc427767376" w:history="1">
        <w:r>
          <w:rPr>
            <w:rStyle w:val="1191"/>
            <w:rFonts w:eastAsia="Calibri"/>
            <w:sz w:val="20"/>
            <w:szCs w:val="20"/>
          </w:rPr>
          <w:t xml:space="preserve">9. Операции по предоставлению клиентам в аренду индивидуальных сейфовых ячеек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_Toc427767376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49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7" w:anchor="_Toc427767377" w:history="1">
        <w:r>
          <w:rPr>
            <w:rStyle w:val="1191"/>
            <w:sz w:val="20"/>
            <w:szCs w:val="20"/>
          </w:rPr>
          <w:t xml:space="preserve">10. Услуги инкассации </w:t>
        </w:r>
        <w:r>
          <w:rPr>
            <w:rStyle w:val="1191"/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_Toc427767377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50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8" w:anchor="_Toc427767378" w:history="1">
        <w:r>
          <w:rPr>
            <w:rStyle w:val="1191"/>
            <w:sz w:val="20"/>
            <w:szCs w:val="20"/>
          </w:rPr>
          <w:t xml:space="preserve">11. Операции по покупке-продаже иностранной валюты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PAGEREF _Toc427767378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52</w:t>
        </w:r>
        <w:r>
          <w:rPr>
            <w:sz w:val="20"/>
            <w:szCs w:val="20"/>
          </w:rPr>
          <w:fldChar w:fldCharType="end"/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79" w:anchor="_Toc427767379" w:history="1">
        <w:r>
          <w:rPr>
            <w:rStyle w:val="1191"/>
            <w:sz w:val="20"/>
            <w:szCs w:val="20"/>
          </w:rPr>
          <w:t xml:space="preserve">12. Кредитные операции</w:t>
        </w:r>
        <w:r>
          <w:rPr>
            <w:sz w:val="20"/>
            <w:szCs w:val="20"/>
          </w:rPr>
          <w:tab/>
          <w:t xml:space="preserve">54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80" w:anchor="_Toc427767380" w:history="1">
        <w:r>
          <w:rPr>
            <w:rStyle w:val="1191"/>
            <w:sz w:val="20"/>
            <w:szCs w:val="20"/>
          </w:rPr>
          <w:t xml:space="preserve">13. Обслуживание торгово-сервисных предприятий, принимающих к оплате платежные карты</w:t>
        </w:r>
        <w:r>
          <w:rPr>
            <w:sz w:val="20"/>
            <w:szCs w:val="20"/>
          </w:rPr>
          <w:tab/>
        </w:r>
      </w:hyperlink>
      <w:r>
        <w:rPr>
          <w:rStyle w:val="1191"/>
          <w:sz w:val="20"/>
          <w:szCs w:val="20"/>
        </w:rPr>
        <w:t xml:space="preserve">64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sz w:val="20"/>
          <w:szCs w:val="20"/>
        </w:rPr>
      </w:pPr>
      <w:r/>
      <w:hyperlink w:tooltip="#_Toc427767381" w:anchor="_Toc427767381" w:history="1">
        <w:r>
          <w:rPr>
            <w:rStyle w:val="1191"/>
            <w:sz w:val="20"/>
            <w:szCs w:val="20"/>
          </w:rPr>
          <w:t xml:space="preserve">14. Депозитарные услуги</w:t>
        </w:r>
        <w:r>
          <w:rPr>
            <w:sz w:val="20"/>
            <w:szCs w:val="20"/>
          </w:rPr>
          <w:tab/>
        </w:r>
      </w:hyperlink>
      <w:r>
        <w:rPr>
          <w:rStyle w:val="1191"/>
          <w:sz w:val="20"/>
          <w:szCs w:val="20"/>
          <w:u w:val="none"/>
        </w:rPr>
        <w:t xml:space="preserve">66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92"/>
        <w:rPr>
          <w:rStyle w:val="1191"/>
          <w:sz w:val="20"/>
          <w:szCs w:val="20"/>
        </w:rPr>
      </w:pPr>
      <w:r/>
      <w:hyperlink w:tooltip="#_Toc427767382" w:anchor="_Toc427767382" w:history="1">
        <w:r>
          <w:rPr>
            <w:rStyle w:val="1191"/>
            <w:sz w:val="20"/>
            <w:szCs w:val="20"/>
          </w:rPr>
          <w:t xml:space="preserve">15.Опе</w:t>
        </w:r>
        <w:r>
          <w:rPr>
            <w:rStyle w:val="1191"/>
            <w:sz w:val="20"/>
            <w:szCs w:val="20"/>
          </w:rPr>
          <w:t xml:space="preserve">рации с монетами из драгоценных металлов</w:t>
        </w:r>
        <w:r>
          <w:rPr>
            <w:sz w:val="20"/>
            <w:szCs w:val="20"/>
          </w:rPr>
          <w:tab/>
        </w:r>
      </w:hyperlink>
      <w:r>
        <w:rPr>
          <w:rStyle w:val="1191"/>
          <w:sz w:val="20"/>
          <w:szCs w:val="20"/>
        </w:rPr>
        <w:t xml:space="preserve">  71</w:t>
      </w:r>
      <w:r>
        <w:rPr>
          <w:rStyle w:val="1191"/>
          <w:sz w:val="20"/>
          <w:szCs w:val="20"/>
        </w:rPr>
      </w:r>
      <w:r>
        <w:rPr>
          <w:rStyle w:val="1191"/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16.Операции с драгоценными металлами….…………………………………………………………………….………...71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17.Обслуживание с использованием Торговой системы  РСХБ-Дилинг АО «Россельхозбанк»</w:t>
      </w:r>
      <w:r>
        <w:rPr>
          <w:sz w:val="20"/>
          <w:szCs w:val="20"/>
        </w:rPr>
        <w:t xml:space="preserve">, Торговой системы РСХБ-Дилинг 2.0                                                                                                                  ………………………………...72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53"/>
        <w:jc w:val="both"/>
        <w:rPr>
          <w:sz w:val="20"/>
          <w:szCs w:val="20"/>
          <w14:ligatures w14:val="none"/>
        </w:rPr>
      </w:pP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18. Операци</w:t>
      </w:r>
      <w:bookmarkStart w:id="0" w:name="undefined"/>
      <w:r>
        <w:rPr>
          <w:sz w:val="20"/>
          <w:szCs w:val="20"/>
        </w:rPr>
        <w:t xml:space="preserve">и</w:t>
      </w:r>
      <w:bookmarkEnd w:id="0"/>
      <w:r>
        <w:rPr>
          <w:sz w:val="20"/>
          <w:szCs w:val="20"/>
        </w:rPr>
        <w:t xml:space="preserve"> с использованием цифрового рубля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PAGEREF _Toc170984463 \h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..............................................................................................................77</w:t>
      </w:r>
      <w:r>
        <w:rPr>
          <w:sz w:val="20"/>
          <w:szCs w:val="20"/>
        </w:rPr>
        <w:fldChar w:fldCharType="end"/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006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bookmarkStart w:id="0" w:name="_Toc427767368"/>
      <w:r>
        <w:rPr>
          <w:sz w:val="20"/>
          <w:szCs w:val="20"/>
        </w:rPr>
        <w:t xml:space="preserve">1. Открытие и ведение счетов</w:t>
      </w:r>
      <w:bookmarkEnd w:id="0"/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43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800"/>
        <w:gridCol w:w="1986"/>
        <w:gridCol w:w="3546"/>
        <w:gridCol w:w="1984"/>
        <w:gridCol w:w="1984"/>
      </w:tblGrid>
      <w:tr>
        <w:tblPrEx/>
        <w:trPr>
          <w:gridAfter w:val="2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Открытие</w:t>
            </w:r>
            <w:r>
              <w:rPr>
                <w:sz w:val="20"/>
                <w:szCs w:val="20"/>
              </w:rPr>
              <w:t xml:space="preserve">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</w:t>
            </w:r>
            <w:r>
              <w:rPr>
                <w:sz w:val="20"/>
                <w:szCs w:val="20"/>
              </w:rPr>
              <w:t xml:space="preserve">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46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</w:t>
            </w:r>
            <w:r>
              <w:rPr>
                <w:sz w:val="20"/>
                <w:szCs w:val="20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</w:t>
            </w:r>
            <w:r>
              <w:rPr>
                <w:sz w:val="20"/>
                <w:szCs w:val="20"/>
              </w:rPr>
              <w:t xml:space="preserve">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</w:t>
            </w:r>
            <w:r>
              <w:rPr>
                <w:sz w:val="20"/>
                <w:szCs w:val="20"/>
              </w:rPr>
              <w:t xml:space="preserve">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</w:t>
            </w:r>
            <w:r>
              <w:rPr>
                <w:sz w:val="20"/>
                <w:szCs w:val="20"/>
              </w:rPr>
              <w:t xml:space="preserve">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</w:t>
            </w:r>
            <w:r>
              <w:rPr>
                <w:bCs/>
                <w:sz w:val="20"/>
                <w:szCs w:val="20"/>
              </w:rPr>
              <w:t xml:space="preserve">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205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205"/>
              <w:numPr>
                <w:ilvl w:val="0"/>
                <w:numId w:val="43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1.1.3.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Ведение счета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3000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включенных в региональную адресную про</w:t>
            </w:r>
            <w: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</w:t>
            </w:r>
            <w:r>
              <w:t xml:space="preserve">рамках закл</w:t>
            </w:r>
            <w:r>
              <w:t xml:space="preserve">юченных договоров специального банковского счета 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взимается*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spacing w:before="40"/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2000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ind w:left="35"/>
              <w:jc w:val="both"/>
              <w:spacing w:before="40"/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</w:t>
            </w:r>
            <w: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ind w:left="35"/>
              <w:jc w:val="both"/>
              <w:spacing w:before="40"/>
            </w:pPr>
            <w: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t xml:space="preserve"> 26.10.2002 № 127-ФЗ «О несостоятельности (банкротстве)» или находящихся в процессе ликвидации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2200 руб. в месяц </w:t>
            </w:r>
            <w:r>
              <w:br/>
              <w:t xml:space="preserve">при использовании клиентом системы дистанционного банковского обслуживания;</w:t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5000 руб. в месяц </w:t>
            </w:r>
            <w:r>
              <w:br/>
              <w:t xml:space="preserve">без использования </w:t>
            </w:r>
            <w:r>
              <w:t xml:space="preserve">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</w:t>
            </w:r>
            <w:r>
              <w:t xml:space="preserve">вании клиентом системы дистанционного банковского обслуживания</w:t>
            </w:r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</w:t>
            </w:r>
            <w:r>
              <w:t xml:space="preserve">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</w:t>
            </w:r>
            <w:r>
              <w:rPr>
                <w:bCs/>
              </w:rPr>
              <w:t xml:space="preserve">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</w:t>
            </w:r>
            <w:r>
              <w:t xml:space="preserve">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</w:t>
            </w:r>
            <w:r>
              <w:t xml:space="preserve">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</w:t>
            </w:r>
            <w:r>
              <w:t xml:space="preserve">прав клиента </w:t>
            </w:r>
            <w:r>
              <w:br/>
              <w:t xml:space="preserve">на распоряжение денежными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ств по договору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Наличие у клиента действующего договора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эквайринга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, заключенного с Банком.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</w:t>
            </w:r>
            <w:r>
              <w:rPr>
                <w:bCs/>
              </w:rPr>
              <w:t xml:space="preserve">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  <w:trHeight w:val="280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причисление процентов к счету;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взимание комиссий Банка; 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</w:t>
            </w:r>
            <w:r>
              <w:t xml:space="preserve">ибочно зачисленных Банком денежных средств.</w:t>
            </w:r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br/>
              <w:t xml:space="preserve">об ограничении прав клиента </w:t>
            </w:r>
            <w:r>
              <w:br/>
            </w:r>
            <w:r>
              <w:t xml:space="preserve">на распоряжение ден</w:t>
            </w:r>
            <w:r>
              <w:t xml:space="preserve">ежными средствами по счету.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num" w:pos="360" w:leader="none"/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bCs/>
              </w:rPr>
              <w:t xml:space="preserve">Наличие у клиента в </w:t>
            </w:r>
            <w:r>
              <w:t xml:space="preserve">Банке </w:t>
            </w:r>
            <w:r>
              <w:rPr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</w:t>
            </w:r>
            <w:r>
              <w:rPr>
                <w:bCs/>
              </w:rPr>
              <w:t xml:space="preserve">для зачисления денежных средств по договору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 (бизнес-карта </w:t>
            </w:r>
            <w:r>
              <w:rPr>
                <w:rFonts w:eastAsia="Times New Roman"/>
                <w:color w:val="00000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</w:rPr>
              <w:t xml:space="preserve">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Наличие у клиента действующего договора </w:t>
            </w:r>
            <w:r>
              <w:rPr>
                <w:rFonts w:eastAsia="Times New Roman"/>
                <w:bCs/>
              </w:rPr>
              <w:t xml:space="preserve">эквайринга</w:t>
            </w:r>
            <w:r>
              <w:rPr>
                <w:rFonts w:eastAsia="Times New Roman"/>
                <w:bCs/>
              </w:rPr>
              <w:t xml:space="preserve">, заключенного с </w:t>
            </w:r>
            <w:r>
              <w:t xml:space="preserve">Банком.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pStyle w:val="1205"/>
              <w:numPr>
                <w:ilvl w:val="0"/>
                <w:numId w:val="44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</w:rPr>
            </w:pPr>
            <w:r>
              <w:rPr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Если бизнес-карта обслуживается в рамках тарифного плана «Корпоративный», комиссия взимается</w:t>
            </w:r>
            <w:r>
              <w:rPr>
                <w:bCs/>
              </w:rPr>
              <w:t xml:space="preserve">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bCs/>
              </w:rPr>
              <w:br/>
              <w:t xml:space="preserve">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</w:t>
            </w:r>
            <w:r>
              <w:t xml:space="preserve">ца, в котором открыт счет</w:t>
            </w:r>
            <w:r/>
          </w:p>
          <w:p>
            <w:pPr>
              <w:spacing w:before="40" w:after="40"/>
              <w:rPr>
                <w:bCs/>
              </w:rPr>
            </w:pPr>
            <w: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</w:rPr>
              <w:t xml:space="preserve">эквайринга</w:t>
            </w:r>
            <w:r>
              <w:rPr>
                <w:bCs/>
              </w:rPr>
              <w:t xml:space="preserve">, заключенного </w:t>
            </w:r>
            <w:r>
              <w:t xml:space="preserve">с АО «</w:t>
            </w:r>
            <w:r>
              <w:t xml:space="preserve">Россельхозбанк</w:t>
            </w:r>
            <w: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t xml:space="preserve">для клиентов</w:t>
            </w:r>
            <w:r>
              <w:t xml:space="preserve">, имеющих обязательства перед АО «</w:t>
            </w:r>
            <w:r>
              <w:t xml:space="preserve">Россельхозбанк</w:t>
            </w:r>
            <w:r>
              <w:t xml:space="preserve">» по кредитным сделкам***, </w:t>
            </w:r>
            <w:r>
              <w:br/>
              <w:t xml:space="preserve">в отношении которых введена любая из процедур, </w:t>
            </w:r>
            <w:r>
              <w:t xml:space="preserve">применя-емых</w:t>
            </w:r>
            <w:r>
              <w:t xml:space="preserve"> в деле о банкротстве в соответствии с Федеральным законом от 26.10.2002 № 127-ФЗ «О несостоятельности </w:t>
            </w:r>
            <w:r>
              <w:t xml:space="preserve">(банкротстве)» или</w:t>
            </w:r>
            <w:r>
              <w:t xml:space="preserve">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5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</w:t>
            </w:r>
            <w:r>
              <w:t xml:space="preserve">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</w:t>
            </w:r>
            <w:r>
              <w:t xml:space="preserve">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</w:t>
            </w:r>
            <w:r>
              <w:t xml:space="preserve">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  <w:trHeight w:val="2367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</w:t>
            </w:r>
            <w:r>
              <w:rPr>
                <w:sz w:val="20"/>
                <w:szCs w:val="20"/>
              </w:rPr>
              <w:t xml:space="preserve">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300 руб. при ОБЩЕЙ СУММЕ до 150 000,00 руб. (включительно); 1% от суммы при ОБЩЕЙ СУММЕ с 150 000,01 руб. до 300 000,00 руб. (включительно); 1,7% от суммы при ОБЩЕЙ СУММЕ с 300 000,01 руб. до 2 000 000,00 руб. (включительно); 3,7% от суммы при ОБЩЕЙ СУММЕ </w:t>
            </w:r>
            <w:r>
              <w:rPr>
                <w:sz w:val="20"/>
                <w:szCs w:val="20"/>
              </w:rPr>
              <w:t xml:space="preserve">с 2 000 000,01 руб. до 5 000 000,00 руб. (включительно); 6% от суммы при ОБЩЕЙ СУММЕ свыше</w:t>
            </w:r>
            <w:r>
              <w:t xml:space="preserve"> 5 000 000,00 </w:t>
            </w:r>
            <w:r>
              <w:t xml:space="preserve">руб</w:t>
            </w:r>
            <w:r>
              <w:t xml:space="preserve">.»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-перечисление дохода лицам,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составленных Банком на основании исполнительных документов.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Должником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лях (при наличии решения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договоров/дополнительных соглашений к договору банковского счета, заключенных клиентами с АО «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ОБЩЕЙ СУММЫ не учитываются операции, указ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</w:t>
            </w:r>
            <w:r>
              <w:rPr>
                <w:color w:val="000000"/>
                <w:sz w:val="20"/>
                <w:szCs w:val="20"/>
              </w:rPr>
              <w:t xml:space="preserve"> банковского счета </w:t>
            </w:r>
            <w:r>
              <w:rPr>
                <w:color w:val="000000"/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</w:t>
            </w:r>
            <w:r>
              <w:rPr>
                <w:sz w:val="20"/>
                <w:szCs w:val="20"/>
              </w:rPr>
              <w:t xml:space="preserve">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 которых введена любая из процедур, применяемых в деле о банкротстве  в соответствии  с Федеральным законом от 26.10.2002 № 127-ФЗ «О несостоятельности (банкротстве)» или наход</w:t>
            </w:r>
            <w:r>
              <w:rPr>
                <w:sz w:val="20"/>
                <w:szCs w:val="20"/>
              </w:rPr>
              <w:t xml:space="preserve">ящихся в  процессе ликвидации».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400 руб. за один</w:t>
            </w:r>
            <w:r>
              <w:rPr>
                <w:sz w:val="20"/>
                <w:szCs w:val="20"/>
              </w:rPr>
              <w:t xml:space="preserve">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</w:t>
            </w:r>
            <w:r>
              <w:rPr>
                <w:sz w:val="20"/>
                <w:szCs w:val="20"/>
              </w:rPr>
              <w:t xml:space="preserve"> на проведение розыска платежа,</w:t>
            </w:r>
            <w:r>
              <w:rPr>
                <w:bCs/>
                <w:sz w:val="20"/>
                <w:szCs w:val="20"/>
              </w:rPr>
              <w:t xml:space="preserve">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</w:t>
            </w:r>
            <w:r>
              <w:rPr>
                <w:bCs/>
                <w:sz w:val="20"/>
                <w:szCs w:val="20"/>
              </w:rPr>
              <w:t xml:space="preserve">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500руб.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</w:t>
            </w:r>
            <w:r>
              <w:rPr>
                <w:sz w:val="20"/>
                <w:szCs w:val="20"/>
              </w:rPr>
              <w:t xml:space="preserve">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</w:t>
            </w:r>
            <w:r>
              <w:rPr>
                <w:sz w:val="20"/>
                <w:szCs w:val="20"/>
              </w:rPr>
              <w:t xml:space="preserve">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</w:t>
            </w:r>
            <w:r>
              <w:rPr>
                <w:sz w:val="20"/>
                <w:szCs w:val="20"/>
              </w:rPr>
              <w:t xml:space="preserve">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</w:t>
            </w:r>
            <w:r>
              <w:rPr>
                <w:sz w:val="20"/>
                <w:szCs w:val="20"/>
              </w:rPr>
              <w:t xml:space="preserve"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</w:t>
            </w:r>
            <w:r>
              <w:rPr>
                <w:sz w:val="20"/>
                <w:szCs w:val="20"/>
              </w:rPr>
              <w:t xml:space="preserve">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</w:t>
            </w:r>
            <w:r>
              <w:rPr>
                <w:sz w:val="20"/>
                <w:szCs w:val="20"/>
              </w:rPr>
              <w:t xml:space="preserve">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</w:t>
            </w:r>
            <w:r>
              <w:rPr>
                <w:sz w:val="20"/>
                <w:szCs w:val="20"/>
              </w:rPr>
              <w:t xml:space="preserve">овления Правительства Российской Федерации от 20.09.2014 № 963 «Об осуществлении банковского сопровождения контрактов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</w:t>
            </w:r>
            <w:r>
              <w:rPr>
                <w:sz w:val="20"/>
                <w:szCs w:val="20"/>
              </w:rPr>
              <w:t xml:space="preserve">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38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</w:t>
            </w:r>
            <w:r>
              <w:rPr>
                <w:bCs/>
                <w:sz w:val="20"/>
                <w:szCs w:val="20"/>
              </w:rPr>
              <w:t xml:space="preserve">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</w:t>
            </w:r>
            <w:r>
              <w:rPr>
                <w:sz w:val="20"/>
                <w:szCs w:val="20"/>
              </w:rPr>
              <w:t xml:space="preserve">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</w:t>
            </w:r>
            <w:r>
              <w:rPr>
                <w:sz w:val="20"/>
                <w:szCs w:val="20"/>
              </w:rPr>
              <w:t xml:space="preserve">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         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1% от суммы перевода, минимум 1000 руб., максимум 50 000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2500 руб. в месяц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по ставке тарифа, действующей на дату начисления комиссии.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использовании клиентом системы дистанционного банковского обслуживания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800 руб. в месяц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</w:t>
            </w:r>
            <w: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</w:t>
            </w:r>
            <w: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t xml:space="preserve">полн</w:t>
            </w:r>
            <w:r>
              <w:t xml:space="preserve">ом объеме вне зависимости от даты возобновления.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</w:t>
            </w:r>
            <w:r>
              <w:t xml:space="preserve">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</w:t>
            </w:r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Ведение счета в евро: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с расчетного счета в евро.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на расчетном счете в евро </w:t>
            </w:r>
            <w:r>
              <w:t xml:space="preserve">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расчете сов</w:t>
            </w:r>
            <w:r>
              <w:t xml:space="preserve">окупного среднедневного остатка учитываются остатки на </w:t>
            </w:r>
            <w:r>
              <w:t xml:space="preserve">расчетном счете в евро и соответствующем ему транзитном счете.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</w:t>
            </w:r>
            <w:r>
              <w:t xml:space="preserve">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</w:t>
            </w:r>
            <w:r>
              <w:t xml:space="preserve">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</w:t>
            </w:r>
            <w:r>
              <w:t xml:space="preserve"> счете(ах) и за который производится расчет совокупного среднедневного остатка.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</w:t>
            </w:r>
            <w:r>
              <w:t xml:space="preserve">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</w:t>
            </w:r>
            <w:r>
              <w:t xml:space="preserve">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t xml:space="preserve">преду</w:t>
            </w:r>
            <w:r>
              <w:t xml:space="preserve">-</w:t>
            </w:r>
            <w:r>
              <w:t xml:space="preserve">смотренных законодательством Российской</w:t>
            </w:r>
            <w:r>
              <w:t xml:space="preserve">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/>
          </w:p>
        </w:tc>
      </w:tr>
      <w:tr>
        <w:tblPrEx/>
        <w:trPr>
          <w:gridAfter w:val="2"/>
          <w:trHeight w:val="9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100 000 евро (включительно)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до 10</w:t>
            </w:r>
            <w:r>
              <w:t xml:space="preserve">0 000 евро (включительно) и при условии использования клиентом системы дистанционного банковского обслуживания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2750 руб. в месяц</w:t>
            </w:r>
            <w:r/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900 руб. в месяц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Кроме месяца, в котором установлена система дистанционного банковского обслуживания.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</w:t>
            </w:r>
            <w:r>
              <w:t xml:space="preserve">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</w:t>
            </w:r>
            <w:r>
              <w:t xml:space="preserve">бизнес».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совокупном среднедневном остатке более 100 000 евро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0,</w:t>
            </w:r>
            <w:r>
              <w:t xml:space="preserve">25% от совокупного среднедневного остатка 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от наличия/отсутствия операций в течение календарного месяца.</w:t>
            </w:r>
            <w:r/>
          </w:p>
        </w:tc>
      </w:tr>
      <w:tr>
        <w:tblPrEx/>
        <w:trPr>
          <w:gridAfter w:val="2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Перечисление/выдача остатка денежных средств при закрытии </w:t>
            </w:r>
            <w:r>
              <w:t xml:space="preserve">счета признается операцией по счету.</w:t>
            </w:r>
            <w:r/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</w:t>
            </w:r>
            <w:r>
              <w:t xml:space="preserve">зимания комиссии </w:t>
            </w:r>
            <w:r>
              <w:t xml:space="preserve">преду</w:t>
            </w:r>
            <w:r>
              <w:t xml:space="preserve">-смотренных законодательством Российской Федерации действу-</w:t>
            </w:r>
            <w:r>
              <w:t xml:space="preserve">ющих</w:t>
            </w:r>
            <w:r>
              <w:t xml:space="preserve"> решений уполномоченных органов об ограничении прав клиента на распоряжение денежными средствами по счету.</w:t>
            </w:r>
            <w:r/>
          </w:p>
        </w:tc>
      </w:tr>
      <w:tr>
        <w:tblPrEx/>
        <w:trPr>
          <w:gridAfter w:val="5"/>
          <w:trHeight w:val="227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</w:t>
            </w:r>
            <w:r>
              <w:rPr>
                <w:sz w:val="20"/>
                <w:szCs w:val="20"/>
              </w:rPr>
              <w:t xml:space="preserve">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</w:t>
            </w:r>
            <w:r>
              <w:rPr>
                <w:sz w:val="20"/>
                <w:szCs w:val="20"/>
              </w:rPr>
              <w:t xml:space="preserve"> вознаграждения Банку и на котором имеется доступный остаток, достаточный для оплаты комиссии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</w:t>
            </w:r>
            <w:r>
              <w:rPr>
                <w:sz w:val="20"/>
                <w:szCs w:val="20"/>
              </w:rPr>
              <w:t xml:space="preserve">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</w:t>
            </w:r>
            <w:r>
              <w:rPr>
                <w:sz w:val="20"/>
                <w:szCs w:val="20"/>
              </w:rPr>
              <w:t xml:space="preserve"> от последнего числа расчетного месяца). Расчетным </w:t>
            </w:r>
            <w:r>
              <w:rPr>
                <w:sz w:val="20"/>
                <w:szCs w:val="20"/>
              </w:rPr>
              <w:t xml:space="preserve">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</w:rPr>
              <w:t xml:space="preserve">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sz w:val="20"/>
                <w:szCs w:val="20"/>
              </w:rPr>
              <w:t xml:space="preserve">преду</w:t>
            </w:r>
            <w:r>
              <w:rPr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sz w:val="20"/>
                <w:szCs w:val="20"/>
              </w:rPr>
              <w:t xml:space="preserve">ющих</w:t>
            </w:r>
            <w:r>
              <w:rPr>
                <w:sz w:val="20"/>
                <w:szCs w:val="20"/>
              </w:rPr>
              <w:t xml:space="preserve">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8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</w:t>
            </w:r>
            <w:r>
              <w:rPr>
                <w:color w:val="000000"/>
                <w:sz w:val="20"/>
                <w:szCs w:val="20"/>
              </w:rPr>
              <w:t xml:space="preserve">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</w:t>
            </w:r>
            <w:r>
              <w:rPr>
                <w:sz w:val="20"/>
                <w:szCs w:val="20"/>
              </w:rPr>
              <w:t xml:space="preserve">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         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</w:t>
            </w:r>
            <w:r>
              <w:rPr>
                <w:sz w:val="20"/>
                <w:szCs w:val="20"/>
              </w:rPr>
              <w:t xml:space="preserve">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</w:t>
            </w:r>
            <w:r>
              <w:rPr>
                <w:sz w:val="20"/>
                <w:szCs w:val="20"/>
              </w:rPr>
              <w:t xml:space="preserve">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65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sz w:val="20"/>
                <w:szCs w:val="20"/>
              </w:rPr>
              <w:t xml:space="preserve">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non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                       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</w:t>
            </w:r>
            <w:r>
              <w:rPr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</w:t>
            </w:r>
            <w:r>
              <w:rPr>
                <w:sz w:val="20"/>
                <w:szCs w:val="20"/>
              </w:rPr>
              <w:t xml:space="preserve">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0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</w:t>
            </w:r>
            <w:r>
              <w:rPr>
                <w:sz w:val="20"/>
                <w:szCs w:val="20"/>
              </w:rPr>
              <w:t xml:space="preserve">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784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</w:t>
            </w:r>
            <w:r>
              <w:rPr>
                <w:sz w:val="20"/>
                <w:szCs w:val="20"/>
              </w:rPr>
              <w:t xml:space="preserve">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2"/>
          <w:trHeight w:val="2470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</w:rPr>
              <w:t xml:space="preserve">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iCs/>
          <w:sz w:val="20"/>
          <w:szCs w:val="20"/>
        </w:rPr>
        <w:t xml:space="preserve">* </w:t>
      </w:r>
      <w:r>
        <w:rPr>
          <w:rFonts w:eastAsia="Calibri"/>
          <w:sz w:val="20"/>
          <w:szCs w:val="20"/>
          <w:lang w:eastAsia="en-US"/>
        </w:rPr>
        <w:t xml:space="preserve">Срок действия – до 31 декабря 2025 года (включительно).</w:t>
      </w: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</w:t>
      </w:r>
      <w:r>
        <w:rPr>
          <w:bCs/>
          <w:sz w:val="20"/>
          <w:szCs w:val="20"/>
        </w:rPr>
        <w:t xml:space="preserve">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</w:t>
      </w:r>
      <w:r>
        <w:rPr>
          <w:bCs/>
          <w:sz w:val="20"/>
          <w:szCs w:val="20"/>
        </w:rPr>
        <w:t xml:space="preserve">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sz w:val="20"/>
          <w:szCs w:val="20"/>
        </w:rPr>
        <w:t xml:space="preserve">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sz w:val="20"/>
          <w:szCs w:val="20"/>
        </w:rPr>
        <w:t xml:space="preserve">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«**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***Под обязательствами перед ОА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договорам понимаются: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</w:t>
      </w:r>
      <w:r>
        <w:rPr>
          <w:sz w:val="20"/>
          <w:szCs w:val="20"/>
        </w:rPr>
        <w:t xml:space="preserve">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</w:t>
      </w:r>
      <w:r>
        <w:rPr>
          <w:sz w:val="20"/>
          <w:szCs w:val="20"/>
        </w:rPr>
        <w:t xml:space="preserve">ворам залога, договорам поручительства (в том числе прекратившим свое действие).»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>
        <w:rPr>
          <w:b/>
          <w:bCs/>
        </w:rPr>
        <w:t xml:space="preserve">2. Кассовые операции*</w:t>
      </w:r>
      <w:r>
        <w:rPr>
          <w:b/>
          <w:bCs/>
        </w:rPr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 </w:t>
            </w:r>
            <w:r>
              <w:rPr>
                <w:sz w:val="20"/>
                <w:szCs w:val="20"/>
              </w:rPr>
              <w:br/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  <w:br/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</w:t>
            </w:r>
            <w:r>
              <w:rPr>
                <w:bCs/>
                <w:sz w:val="20"/>
                <w:szCs w:val="20"/>
              </w:rPr>
              <w:t xml:space="preserve">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  <w:br/>
              <w:t xml:space="preserve">с 300 000,01 руб. </w:t>
            </w:r>
            <w:r>
              <w:rPr>
                <w:bCs/>
                <w:sz w:val="20"/>
                <w:szCs w:val="20"/>
              </w:rPr>
              <w:br/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  <w:br/>
              <w:t xml:space="preserve">с 1 500 000,01 руб. </w:t>
            </w:r>
            <w:r>
              <w:rPr>
                <w:bCs/>
                <w:sz w:val="20"/>
                <w:szCs w:val="20"/>
              </w:rPr>
              <w:br/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  <w:br/>
              <w:t xml:space="preserve">с 4 000 000,01 руб.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</w:t>
            </w:r>
            <w:r>
              <w:rPr>
                <w:bCs/>
                <w:sz w:val="20"/>
                <w:szCs w:val="20"/>
              </w:rPr>
              <w:t xml:space="preserve">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</w:t>
            </w:r>
            <w:r>
              <w:rPr>
                <w:bCs/>
                <w:sz w:val="20"/>
                <w:szCs w:val="20"/>
              </w:rPr>
              <w:t xml:space="preserve">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/>
              <w:t xml:space="preserve">до 3 500 000,00 руб</w:t>
            </w:r>
            <w:r>
              <w:rPr>
                <w:sz w:val="20"/>
                <w:szCs w:val="20"/>
              </w:rPr>
              <w:t xml:space="preserve">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</w:t>
            </w:r>
            <w:r>
              <w:rPr>
                <w:sz w:val="20"/>
                <w:szCs w:val="20"/>
              </w:rPr>
              <w:t xml:space="preserve">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</w:t>
            </w:r>
            <w:r>
              <w:rPr>
                <w:bCs/>
                <w:sz w:val="20"/>
                <w:szCs w:val="20"/>
              </w:rPr>
              <w:t xml:space="preserve">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</w:t>
            </w:r>
            <w:r>
              <w:rPr>
                <w:bCs/>
                <w:sz w:val="20"/>
                <w:szCs w:val="20"/>
              </w:rPr>
              <w:t xml:space="preserve">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</w:t>
            </w:r>
            <w:r>
              <w:rPr>
                <w:color w:val="000000"/>
                <w:sz w:val="20"/>
                <w:szCs w:val="20"/>
              </w:rPr>
              <w:t xml:space="preserve">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</w:t>
            </w:r>
            <w:r>
              <w:rPr>
                <w:bCs/>
                <w:sz w:val="20"/>
                <w:szCs w:val="20"/>
              </w:rPr>
              <w:t xml:space="preserve">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</w:t>
            </w:r>
            <w:r>
              <w:rPr>
                <w:bCs/>
                <w:sz w:val="20"/>
                <w:szCs w:val="20"/>
              </w:rPr>
              <w:t xml:space="preserve">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</w:t>
            </w:r>
            <w:r>
              <w:rPr>
                <w:sz w:val="20"/>
                <w:szCs w:val="20"/>
              </w:rPr>
              <w:t xml:space="preserve">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</w:t>
            </w:r>
            <w:r>
              <w:rPr>
                <w:bCs/>
                <w:sz w:val="20"/>
                <w:szCs w:val="20"/>
              </w:rPr>
              <w:t xml:space="preserve">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</w:t>
            </w:r>
            <w:r>
              <w:rPr>
                <w:bCs/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</w:t>
            </w:r>
            <w:r>
              <w:rPr>
                <w:bCs/>
                <w:sz w:val="20"/>
                <w:szCs w:val="20"/>
                <w:lang w:val="en-US"/>
              </w:rPr>
              <w:t xml:space="preserve">от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суммы</w:t>
            </w:r>
            <w:r>
              <w:rPr>
                <w:bCs/>
                <w:sz w:val="20"/>
                <w:szCs w:val="20"/>
                <w:lang w:val="en-US"/>
              </w:rPr>
              <w:t xml:space="preserve">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</w:t>
            </w:r>
            <w:r>
              <w:rPr>
                <w:bCs/>
                <w:sz w:val="20"/>
                <w:szCs w:val="20"/>
                <w:lang w:val="en-US"/>
              </w:rPr>
              <w:t xml:space="preserve"> 200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</w:t>
            </w:r>
            <w:r>
              <w:rPr>
                <w:bCs/>
                <w:sz w:val="20"/>
                <w:szCs w:val="20"/>
              </w:rPr>
              <w:t xml:space="preserve">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sz w:val="20"/>
          <w:szCs w:val="20"/>
        </w:rPr>
        <w:t xml:space="preserve">ого заказа, депозитных счетов нотариусов, публичных депозитных счетов, счетов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sz w:val="20"/>
          <w:szCs w:val="20"/>
        </w:rPr>
        <w:t xml:space="preserve"> операции»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**) </w:t>
      </w:r>
      <w:r>
        <w:rPr>
          <w:sz w:val="20"/>
          <w:szCs w:val="20"/>
        </w:rPr>
        <w:t xml:space="preserve">Предварительная заявка клиента – это письменное заявление клиента о намерении получить денежную наличн</w:t>
      </w:r>
      <w:r>
        <w:rPr>
          <w:sz w:val="20"/>
          <w:szCs w:val="20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sz w:val="20"/>
          <w:szCs w:val="20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если конкретным пунктом Тари</w:t>
      </w:r>
      <w:r>
        <w:rPr>
          <w:sz w:val="20"/>
          <w:szCs w:val="20"/>
        </w:rPr>
        <w:t xml:space="preserve">фов не предусмотрено иное.».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</w:t>
      </w:r>
      <w:r>
        <w:rPr>
          <w:sz w:val="20"/>
          <w:szCs w:val="20"/>
        </w:rPr>
        <w:t xml:space="preserve">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</w:t>
      </w:r>
      <w:r>
        <w:rPr>
          <w:sz w:val="20"/>
          <w:szCs w:val="20"/>
        </w:rPr>
        <w:t xml:space="preserve">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</w:t>
      </w:r>
      <w:r>
        <w:rPr>
          <w:sz w:val="20"/>
          <w:szCs w:val="20"/>
        </w:rPr>
        <w:t xml:space="preserve">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</w:t>
      </w:r>
      <w:r>
        <w:rPr>
          <w:sz w:val="20"/>
          <w:szCs w:val="20"/>
        </w:rPr>
        <w:t xml:space="preserve">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</w:t>
      </w:r>
      <w:r>
        <w:rPr>
          <w:sz w:val="20"/>
          <w:szCs w:val="20"/>
        </w:rPr>
        <w:t xml:space="preserve">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</w:t>
      </w:r>
      <w:r>
        <w:rPr>
          <w:sz w:val="20"/>
          <w:szCs w:val="20"/>
        </w:rPr>
        <w:t xml:space="preserve">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</w:t>
      </w:r>
      <w:r>
        <w:rPr>
          <w:sz w:val="20"/>
          <w:szCs w:val="20"/>
        </w:rPr>
        <w:t xml:space="preserve">пищевыми маслами</w:t>
      </w:r>
      <w:r>
        <w:rPr>
          <w:sz w:val="20"/>
          <w:szCs w:val="20"/>
        </w:rPr>
        <w:t xml:space="preserve">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</w:t>
      </w:r>
      <w:r>
        <w:rPr>
          <w:sz w:val="20"/>
          <w:szCs w:val="20"/>
        </w:rPr>
        <w:t xml:space="preserve">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</w:t>
      </w:r>
      <w:r>
        <w:rPr>
          <w:sz w:val="20"/>
          <w:szCs w:val="20"/>
        </w:rPr>
        <w:t xml:space="preserve">овощами</w:t>
      </w:r>
      <w:r>
        <w:rPr>
          <w:sz w:val="20"/>
          <w:szCs w:val="20"/>
        </w:rPr>
        <w:t xml:space="preserve"> и орехами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</w:t>
      </w:r>
      <w:r>
        <w:rPr>
          <w:sz w:val="20"/>
          <w:szCs w:val="20"/>
        </w:rPr>
        <w:t xml:space="preserve">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</w:t>
      </w:r>
      <w:r>
        <w:rPr>
          <w:sz w:val="20"/>
          <w:szCs w:val="20"/>
        </w:rPr>
        <w:t xml:space="preserve">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июля 2023 года № 304-ФЗ "О вн</w:t>
      </w:r>
      <w:r>
        <w:rPr>
          <w:sz w:val="20"/>
          <w:szCs w:val="20"/>
        </w:rPr>
        <w:t xml:space="preserve">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</w:t>
      </w:r>
      <w:r>
        <w:rPr>
          <w:sz w:val="20"/>
          <w:szCs w:val="20"/>
        </w:rPr>
        <w:t xml:space="preserve">ских лиц. При снятии наличных денежных средств на другие </w:t>
      </w:r>
      <w:r>
        <w:rPr>
          <w:sz w:val="20"/>
          <w:szCs w:val="20"/>
        </w:rPr>
        <w:t xml:space="preserve">цели,  Клиент</w:t>
      </w:r>
      <w:r>
        <w:rPr>
          <w:sz w:val="20"/>
          <w:szCs w:val="20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</w:t>
      </w:r>
      <w:r>
        <w:rPr>
          <w:bCs/>
          <w:sz w:val="20"/>
          <w:szCs w:val="20"/>
        </w:rPr>
        <w:t xml:space="preserve">т поврежденные банкноты иностранных государств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rFonts w:eastAsia="Calibri"/>
          <w:sz w:val="20"/>
          <w:szCs w:val="20"/>
        </w:rPr>
      </w:pPr>
      <w:r/>
      <w:bookmarkStart w:id="1" w:name="_Toc427767370"/>
      <w:r>
        <w:rPr>
          <w:rFonts w:eastAsia="Calibri"/>
          <w:sz w:val="20"/>
          <w:szCs w:val="20"/>
        </w:rPr>
        <w:t xml:space="preserve">3. Выполнение функций агента валютного контроля</w:t>
      </w:r>
      <w:bookmarkEnd w:id="1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(размер тарифов указан без учета </w:t>
      </w:r>
      <w:r>
        <w:rPr>
          <w:rFonts w:eastAsia="Calibri"/>
          <w:sz w:val="20"/>
          <w:szCs w:val="20"/>
        </w:rPr>
        <w:t xml:space="preserve">НДС)*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0,15 %          минимум 500 </w:t>
            </w:r>
            <w:r>
              <w:rPr>
                <w:rFonts w:eastAsia="Calibri"/>
                <w:sz w:val="20"/>
                <w:szCs w:val="20"/>
              </w:rPr>
              <w:t xml:space="preserve">руб.,.</w:t>
            </w:r>
            <w:r>
              <w:rPr>
                <w:rFonts w:eastAsia="Calibri"/>
                <w:sz w:val="20"/>
                <w:szCs w:val="20"/>
              </w:rPr>
              <w:t xml:space="preserve"> для гол</w:t>
            </w:r>
            <w:r>
              <w:rPr>
                <w:rFonts w:eastAsia="Calibri"/>
                <w:sz w:val="20"/>
                <w:szCs w:val="20"/>
              </w:rPr>
              <w:t xml:space="preserve">овного офиса (далее – ГО), «РФ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«Центр розничного и малого бизнеса» (далее – «ЦРМБ») и РФ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- «ЦКБ» (далее – ЦКБ),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минимум 300 руб., для других региональных филиалов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(далее – РФ Банка)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</w:t>
            </w:r>
            <w:r>
              <w:rPr>
                <w:rFonts w:eastAsia="Calibri"/>
                <w:sz w:val="20"/>
                <w:szCs w:val="20"/>
              </w:rPr>
              <w:t xml:space="preserve">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rFonts w:eastAsia="Calibri"/>
                <w:sz w:val="20"/>
                <w:szCs w:val="20"/>
              </w:rPr>
              <w:t xml:space="preserve">суммы  операции</w:t>
            </w:r>
            <w:r>
              <w:rPr>
                <w:rFonts w:eastAsia="Calibri"/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 н</w:t>
            </w:r>
            <w:r>
              <w:rPr>
                <w:rFonts w:eastAsia="Calibri"/>
                <w:b/>
                <w:sz w:val="20"/>
                <w:szCs w:val="20"/>
              </w:rPr>
              <w:t xml:space="preserve">е взимается: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</w:t>
            </w:r>
            <w:r>
              <w:rPr>
                <w:rFonts w:eastAsia="Calibri"/>
                <w:sz w:val="20"/>
                <w:szCs w:val="20"/>
              </w:rPr>
              <w:t xml:space="preserve">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</w:t>
            </w:r>
            <w:r>
              <w:rPr>
                <w:rFonts w:eastAsia="Calibri"/>
                <w:sz w:val="20"/>
                <w:szCs w:val="20"/>
              </w:rPr>
              <w:t xml:space="preserve">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</w:t>
            </w:r>
            <w:r>
              <w:rPr>
                <w:rFonts w:eastAsia="Calibri"/>
                <w:sz w:val="20"/>
                <w:szCs w:val="20"/>
              </w:rPr>
              <w:t xml:space="preserve">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</w:t>
            </w:r>
            <w:r>
              <w:rPr>
                <w:rFonts w:eastAsia="Calibri"/>
                <w:sz w:val="20"/>
                <w:szCs w:val="20"/>
              </w:rPr>
              <w:t xml:space="preserve">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</w:t>
            </w:r>
            <w:r>
              <w:rPr>
                <w:rFonts w:eastAsia="Calibri"/>
                <w:sz w:val="20"/>
                <w:szCs w:val="20"/>
              </w:rPr>
              <w:t xml:space="preserve">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условии предоставления клиентом </w:t>
            </w:r>
            <w:r>
              <w:rPr>
                <w:rFonts w:eastAsia="Calibri"/>
                <w:sz w:val="20"/>
                <w:szCs w:val="20"/>
              </w:rPr>
              <w:t xml:space="preserve">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</w:t>
            </w:r>
            <w:r>
              <w:rPr>
                <w:rFonts w:eastAsia="Calibri"/>
                <w:sz w:val="20"/>
                <w:szCs w:val="20"/>
              </w:rPr>
              <w:t xml:space="preserve">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с использованием системы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 </w:t>
            </w:r>
            <w:r>
              <w:rPr>
                <w:sz w:val="20"/>
                <w:szCs w:val="20"/>
              </w:rPr>
              <w:t xml:space="preserve">Порядок представления документов при выполнении Банком функций агента валютного контроля установлен </w:t>
            </w:r>
            <w:r>
              <w:rPr>
                <w:bCs/>
                <w:sz w:val="20"/>
                <w:szCs w:val="20"/>
              </w:rPr>
              <w:t xml:space="preserve">Регламентом вза</w:t>
            </w:r>
            <w:r>
              <w:rPr>
                <w:bCs/>
                <w:sz w:val="20"/>
                <w:szCs w:val="20"/>
              </w:rPr>
              <w:t xml:space="preserve">имодействия клиентов с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при осуществлении операций, подлежащих валютному контролю.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.4.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1.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rFonts w:eastAsia="Calibri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</w:t>
            </w:r>
            <w:r>
              <w:rPr>
                <w:rFonts w:eastAsia="Calibri"/>
                <w:sz w:val="20"/>
                <w:szCs w:val="20"/>
              </w:rPr>
              <w:t xml:space="preserve"> подтверждающий документ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.5.1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rFonts w:eastAsia="Calibri"/>
                <w:sz w:val="20"/>
                <w:szCs w:val="20"/>
              </w:rPr>
              <w:t xml:space="preserve">договора)  из</w:t>
            </w:r>
            <w:r>
              <w:rPr>
                <w:rFonts w:eastAsia="Calibri"/>
                <w:sz w:val="20"/>
                <w:szCs w:val="20"/>
              </w:rPr>
              <w:t xml:space="preserve"> регионального филиала Банка в головн</w:t>
            </w:r>
            <w:r>
              <w:rPr>
                <w:rFonts w:eastAsia="Calibri"/>
                <w:sz w:val="20"/>
                <w:szCs w:val="20"/>
              </w:rPr>
              <w:t xml:space="preserve">ой офис Банка;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переводе контракта (кредитного договора) на учет в другой </w:t>
            </w:r>
            <w:r>
              <w:rPr>
                <w:rFonts w:eastAsia="Calibri"/>
                <w:sz w:val="20"/>
                <w:szCs w:val="20"/>
              </w:rPr>
              <w:t xml:space="preserve">уполномоченный банк либо при закрытии резидентом в</w:t>
            </w:r>
            <w:r>
              <w:rPr>
                <w:rFonts w:eastAsia="Calibri"/>
                <w:sz w:val="20"/>
                <w:szCs w:val="20"/>
              </w:rPr>
              <w:t xml:space="preserve">сех расчетных счетов в Банке****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</w:t>
            </w:r>
            <w:r>
              <w:rPr>
                <w:rFonts w:eastAsia="Calibri"/>
                <w:sz w:val="20"/>
                <w:szCs w:val="20"/>
              </w:rPr>
              <w:t xml:space="preserve">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взимается: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rFonts w:eastAsia="Calibri"/>
                <w:sz w:val="20"/>
                <w:szCs w:val="20"/>
              </w:rPr>
              <w:t xml:space="preserve">ин и иных обязательных платежей в соответствии с </w:t>
            </w:r>
            <w:r>
              <w:rPr>
                <w:rFonts w:eastAsia="Calibri"/>
                <w:sz w:val="20"/>
                <w:szCs w:val="20"/>
              </w:rPr>
              <w:t xml:space="preserve">законодательством  Российской</w:t>
            </w:r>
            <w:r>
              <w:rPr>
                <w:rFonts w:eastAsia="Calibri"/>
                <w:sz w:val="20"/>
                <w:szCs w:val="20"/>
              </w:rPr>
              <w:t xml:space="preserve"> Федерации;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rFonts w:eastAsia="Calibri"/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rFonts w:eastAsia="Calibri"/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«ЦРМБ»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 руб. за лист, максимум 1 000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3.9.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</w:t>
            </w:r>
            <w:r>
              <w:rPr>
                <w:color w:val="000000"/>
                <w:sz w:val="20"/>
                <w:szCs w:val="20"/>
              </w:rPr>
              <w:t xml:space="preserve">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Примечание: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eastAsia="Calibri"/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eastAsia="Calibri"/>
          <w:i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eastAsia="Calibri"/>
          <w:i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eastAsia="Calibri"/>
          <w:i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eastAsia="Calibri"/>
          <w:i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 </w:t>
      </w:r>
      <w:r>
        <w:rPr>
          <w:rFonts w:eastAsia="Calibri"/>
          <w:i/>
          <w:sz w:val="20"/>
          <w:szCs w:val="20"/>
        </w:rPr>
        <w:t xml:space="preserve">В</w:t>
      </w:r>
      <w:r>
        <w:rPr>
          <w:rFonts w:eastAsia="Calibri"/>
          <w:i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eastAsia="Calibri"/>
          <w:i/>
          <w:sz w:val="20"/>
          <w:szCs w:val="20"/>
        </w:rPr>
        <w:t xml:space="preserve">онтракту (договору);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взимается: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</w:t>
      </w:r>
      <w:r>
        <w:rPr>
          <w:rFonts w:eastAsia="Calibri"/>
          <w:i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</w:t>
      </w:r>
      <w:r>
        <w:rPr>
          <w:rFonts w:eastAsia="Calibri"/>
          <w:i/>
          <w:sz w:val="20"/>
          <w:szCs w:val="20"/>
        </w:rPr>
        <w:t xml:space="preserve">его контракт (кредитный договор) на учет, и резидента (нерезидента)-принципала (комитента);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</w:t>
      </w:r>
      <w:r>
        <w:rPr>
          <w:rFonts w:eastAsia="Calibri"/>
          <w:i/>
          <w:sz w:val="20"/>
          <w:szCs w:val="20"/>
        </w:rPr>
        <w:t xml:space="preserve">зидента, поставившего контракт на учет.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</w:t>
      </w:r>
      <w:r>
        <w:rPr>
          <w:rFonts w:eastAsia="Calibri"/>
          <w:i/>
          <w:sz w:val="20"/>
          <w:szCs w:val="20"/>
        </w:rPr>
        <w:t xml:space="preserve">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1.</w:t>
      </w:r>
      <w:r>
        <w:rPr>
          <w:rFonts w:eastAsia="Calibri"/>
          <w:i/>
          <w:sz w:val="20"/>
          <w:szCs w:val="20"/>
        </w:rPr>
        <w:tab/>
        <w:t xml:space="preserve">По операциям резидентов, в том числе при переводе клиентом-резидентом</w:t>
      </w:r>
      <w:r>
        <w:rPr>
          <w:rFonts w:eastAsia="Calibri"/>
          <w:i/>
          <w:sz w:val="20"/>
          <w:szCs w:val="20"/>
        </w:rPr>
        <w:t xml:space="preserve">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 коде вида операции, </w:t>
      </w:r>
      <w:r>
        <w:rPr>
          <w:rFonts w:eastAsia="Calibri"/>
          <w:i/>
          <w:sz w:val="20"/>
          <w:szCs w:val="20"/>
        </w:rPr>
        <w:t xml:space="preserve">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документов, связанных с проведением валю</w:t>
      </w:r>
      <w:r>
        <w:rPr>
          <w:rFonts w:eastAsia="Calibri"/>
          <w:i/>
          <w:sz w:val="20"/>
          <w:szCs w:val="20"/>
        </w:rPr>
        <w:t xml:space="preserve">тной операции;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2.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резиденту информации о коде вида опе</w:t>
      </w:r>
      <w:r>
        <w:rPr>
          <w:rFonts w:eastAsia="Calibri"/>
          <w:i/>
          <w:sz w:val="20"/>
          <w:szCs w:val="20"/>
        </w:rPr>
        <w:t xml:space="preserve">рации.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3.</w:t>
      </w:r>
      <w:r>
        <w:rPr>
          <w:rFonts w:eastAsia="Calibri"/>
          <w:i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4.</w:t>
      </w:r>
      <w:r>
        <w:rPr>
          <w:rFonts w:eastAsia="Calibri"/>
          <w:i/>
          <w:sz w:val="20"/>
          <w:szCs w:val="20"/>
        </w:rPr>
        <w:tab/>
        <w:t xml:space="preserve">При проверке СПД: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п</w:t>
      </w:r>
      <w:r>
        <w:rPr>
          <w:rFonts w:eastAsia="Calibri"/>
          <w:i/>
          <w:sz w:val="20"/>
          <w:szCs w:val="20"/>
        </w:rPr>
        <w:t xml:space="preserve">ринятия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5.</w:t>
      </w:r>
      <w:r>
        <w:rPr>
          <w:rFonts w:eastAsia="Calibri"/>
          <w:i/>
          <w:sz w:val="20"/>
          <w:szCs w:val="20"/>
        </w:rPr>
        <w:tab/>
        <w:t xml:space="preserve">При оформлении Банком СПД за клиента: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оформления Банком СПД.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6.</w:t>
      </w:r>
      <w:r>
        <w:rPr>
          <w:rFonts w:eastAsia="Calibri"/>
          <w:i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7.</w:t>
      </w:r>
      <w:r>
        <w:rPr>
          <w:rFonts w:eastAsia="Calibri"/>
          <w:i/>
          <w:sz w:val="20"/>
          <w:szCs w:val="20"/>
        </w:rPr>
        <w:tab/>
        <w:t xml:space="preserve">При списании денежных средств с расчетного сч</w:t>
      </w:r>
      <w:r>
        <w:rPr>
          <w:rFonts w:eastAsia="Calibri"/>
          <w:i/>
          <w:sz w:val="20"/>
          <w:szCs w:val="20"/>
        </w:rPr>
        <w:t xml:space="preserve">ета клиента-нерезидента - юридического лица в валюте Российской Федерации: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8.</w:t>
      </w:r>
      <w:r>
        <w:rPr>
          <w:rFonts w:eastAsia="Calibri"/>
          <w:i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- день направления клиенту копий </w:t>
      </w:r>
      <w:r>
        <w:rPr>
          <w:rFonts w:eastAsia="Calibri"/>
          <w:i/>
          <w:sz w:val="20"/>
          <w:szCs w:val="20"/>
        </w:rPr>
        <w:t xml:space="preserve">документов. 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**** В случае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eastAsia="Calibri"/>
          <w:i/>
          <w:sz w:val="20"/>
          <w:szCs w:val="20"/>
        </w:rPr>
        <w:t xml:space="preserve">о  подтверждающих</w:t>
      </w:r>
      <w:r>
        <w:rPr>
          <w:rFonts w:eastAsia="Calibri"/>
          <w:i/>
          <w:sz w:val="20"/>
          <w:szCs w:val="20"/>
        </w:rPr>
        <w:t xml:space="preserve"> документах, </w:t>
      </w:r>
      <w:r>
        <w:rPr>
          <w:rFonts w:eastAsia="Calibri"/>
          <w:i/>
          <w:sz w:val="20"/>
          <w:szCs w:val="20"/>
        </w:rPr>
        <w:t xml:space="preserve">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2" w:name="_Toc427767371"/>
      <w:r>
        <w:rPr>
          <w:sz w:val="20"/>
          <w:szCs w:val="20"/>
        </w:rPr>
        <w:t xml:space="preserve">4. Операции с ценными бумагами</w:t>
      </w:r>
      <w:bookmarkEnd w:id="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69"/>
        <w:gridCol w:w="1986"/>
        <w:gridCol w:w="3544"/>
      </w:tblGrid>
      <w:tr>
        <w:tblPrEx/>
        <w:trPr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</w:t>
            </w:r>
            <w:r>
              <w:rPr>
                <w:sz w:val="20"/>
                <w:szCs w:val="20"/>
              </w:rPr>
              <w:t xml:space="preserve">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color w:val="000000"/>
                <w:sz w:val="20"/>
                <w:szCs w:val="20"/>
              </w:rPr>
              <w:t xml:space="preserve">27.03.2020 № 714-П </w:t>
            </w:r>
            <w:r>
              <w:rPr>
                <w:sz w:val="20"/>
                <w:szCs w:val="20"/>
              </w:rPr>
              <w:t xml:space="preserve">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</w:t>
            </w:r>
            <w:r>
              <w:rPr>
                <w:sz w:val="20"/>
                <w:szCs w:val="20"/>
              </w:rPr>
              <w:t xml:space="preserve">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</w:t>
            </w:r>
            <w:r>
              <w:rPr>
                <w:sz w:val="20"/>
                <w:szCs w:val="20"/>
              </w:rPr>
              <w:t xml:space="preserve">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3" w:name="_Toc42776737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5. Документарные операции</w:t>
      </w:r>
      <w:bookmarkEnd w:id="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1 000 руб.,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10 000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</w:t>
            </w:r>
            <w:r>
              <w:rPr>
                <w:iCs/>
                <w:sz w:val="20"/>
                <w:szCs w:val="20"/>
              </w:rPr>
              <w:t xml:space="preserve">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 аккредитива, увел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максимум 50000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90 последовательных календарных дней,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период, состоящий из 90 последовательных календарных дней,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5.1.3.2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1 500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5.1.6.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Открытие,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увеличение суммы,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</w:t>
            </w:r>
            <w:r>
              <w:rPr>
                <w:iCs/>
                <w:sz w:val="20"/>
                <w:szCs w:val="20"/>
              </w:rPr>
              <w:t xml:space="preserve">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</w:t>
            </w:r>
            <w:r>
              <w:rPr>
                <w:iCs/>
                <w:sz w:val="20"/>
                <w:szCs w:val="20"/>
              </w:rPr>
              <w:t xml:space="preserve">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</w:t>
            </w:r>
            <w:r>
              <w:rPr>
                <w:bCs/>
                <w:sz w:val="20"/>
                <w:szCs w:val="20"/>
              </w:rPr>
              <w:t xml:space="preserve">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долларах США, евро и иной валюте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</w:t>
            </w:r>
            <w:r>
              <w:rPr>
                <w:bCs/>
                <w:sz w:val="20"/>
                <w:szCs w:val="20"/>
              </w:rPr>
              <w:t xml:space="preserve">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5.2.1.2.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 xml:space="preserve">на основании требования Банка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5.2.6.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Предварительное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аккредитива;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авизование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5.3.3.1.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</w:t>
            </w:r>
            <w:r>
              <w:rPr>
                <w:iCs/>
                <w:sz w:val="20"/>
                <w:szCs w:val="20"/>
              </w:rPr>
              <w:t xml:space="preserve">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</w:t>
            </w:r>
            <w:r>
              <w:rPr>
                <w:iCs/>
                <w:sz w:val="20"/>
                <w:szCs w:val="20"/>
              </w:rPr>
              <w:t xml:space="preserve">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вии 100% денежного покрытия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5.3.4.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5.3.5.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jc w:val="both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5.3.6.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5.3.7.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42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2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000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497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35 000 руб.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комплект документов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Инкассо финансовых документов за исключением чеков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0,1% от суммы,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мин. 5 евро,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макс. 500 евро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5.4.5.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pStyle w:val="1188"/>
              <w:shd w:val="clear" w:color="auto" w:fill="edede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88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pStyle w:val="1188"/>
        <w:shd w:val="clear" w:color="auto" w:fill="ededed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/>
      <w:bookmarkStart w:id="4" w:name="_Toc427767373"/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</w:t>
      </w:r>
      <w:r>
        <w:rPr>
          <w:sz w:val="20"/>
          <w:szCs w:val="20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sz w:val="20"/>
          <w:szCs w:val="20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</w:t>
      </w:r>
      <w:r>
        <w:rPr>
          <w:sz w:val="20"/>
          <w:szCs w:val="20"/>
        </w:rPr>
        <w:t xml:space="preserve">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sz w:val="20"/>
          <w:szCs w:val="20"/>
        </w:rPr>
        <w:t xml:space="preserve">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sz w:val="20"/>
          <w:szCs w:val="20"/>
        </w:rPr>
        <w:t xml:space="preserve">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sz w:val="20"/>
          <w:szCs w:val="20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</w:t>
      </w:r>
      <w:r>
        <w:rPr>
          <w:sz w:val="20"/>
          <w:szCs w:val="20"/>
        </w:rPr>
        <w:t xml:space="preserve">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</w:t>
      </w:r>
      <w:r>
        <w:rPr>
          <w:sz w:val="20"/>
          <w:szCs w:val="20"/>
        </w:rPr>
        <w:t xml:space="preserve">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6. Гарантийные операции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970"/>
        <w:gridCol w:w="1986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</w:t>
            </w:r>
            <w:r>
              <w:rPr>
                <w:sz w:val="20"/>
                <w:szCs w:val="20"/>
              </w:rPr>
              <w:t xml:space="preserve">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</w:t>
            </w:r>
            <w:r>
              <w:rPr>
                <w:sz w:val="20"/>
                <w:szCs w:val="20"/>
              </w:rPr>
              <w:t xml:space="preserve">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</w:t>
            </w:r>
            <w:r>
              <w:rPr>
                <w:sz w:val="20"/>
                <w:szCs w:val="20"/>
              </w:rPr>
              <w:t xml:space="preserve">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</w:t>
            </w:r>
            <w:r>
              <w:rPr>
                <w:sz w:val="20"/>
                <w:szCs w:val="20"/>
              </w:rPr>
              <w:t xml:space="preserve">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</w:t>
            </w:r>
            <w:r>
              <w:rPr>
                <w:sz w:val="20"/>
                <w:szCs w:val="20"/>
              </w:rPr>
              <w:t xml:space="preserve">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</w:t>
            </w:r>
            <w:r>
              <w:rPr>
                <w:sz w:val="20"/>
                <w:szCs w:val="20"/>
              </w:rPr>
              <w:t xml:space="preserve">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</w:t>
            </w:r>
            <w:r>
              <w:rPr>
                <w:sz w:val="20"/>
                <w:szCs w:val="20"/>
              </w:rPr>
              <w:t xml:space="preserve">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</w:t>
            </w:r>
            <w:r>
              <w:rPr>
                <w:sz w:val="20"/>
                <w:szCs w:val="20"/>
              </w:rPr>
              <w:t xml:space="preserve">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</w:t>
            </w:r>
            <w:r>
              <w:rPr>
                <w:sz w:val="20"/>
                <w:szCs w:val="20"/>
              </w:rPr>
              <w:t xml:space="preserve">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1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</w:t>
            </w:r>
            <w:r>
              <w:rPr>
                <w:sz w:val="20"/>
                <w:szCs w:val="20"/>
              </w:rPr>
              <w:t xml:space="preserve">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</w:t>
            </w:r>
            <w:r>
              <w:rPr>
                <w:sz w:val="20"/>
                <w:szCs w:val="20"/>
              </w:rPr>
              <w:t xml:space="preserve">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</w:t>
            </w:r>
            <w:r>
              <w:rPr>
                <w:sz w:val="20"/>
                <w:szCs w:val="20"/>
              </w:rPr>
              <w:t xml:space="preserve">ций вследствие ненадлежащего исполнения принципалом своих обязательств по Соглашению о порядке и условиях выдачи банковской гарантии/Генеральному </w:t>
            </w:r>
            <w:r>
              <w:rPr>
                <w:sz w:val="20"/>
                <w:szCs w:val="20"/>
              </w:rPr>
              <w:t xml:space="preserve">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</w:t>
      </w:r>
      <w:r>
        <w:rPr>
          <w:bCs/>
          <w:iCs/>
          <w:sz w:val="20"/>
          <w:szCs w:val="20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5" w:name="_Toc427767374"/>
      <w:r>
        <w:rPr>
          <w:sz w:val="20"/>
          <w:szCs w:val="20"/>
        </w:rPr>
        <w:t xml:space="preserve">7. Дистанционное</w:t>
      </w:r>
      <w:r>
        <w:rPr>
          <w:sz w:val="20"/>
          <w:szCs w:val="20"/>
        </w:rPr>
        <w:t xml:space="preserve"> банковское обслуживание (ДБО)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20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49"/>
        <w:gridCol w:w="3924"/>
        <w:gridCol w:w="1985"/>
        <w:gridCol w:w="3590"/>
        <w:gridCol w:w="3544"/>
        <w:gridCol w:w="3544"/>
        <w:gridCol w:w="3544"/>
      </w:tblGrid>
      <w:tr>
        <w:tblPrEx/>
        <w:trPr>
          <w:gridAfter w:val="3"/>
          <w:trHeight w:val="227"/>
          <w:tblHeader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right w:val="non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Томску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Томской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none" w:color="000000" w:sz="4" w:space="0"/>
            </w:tcBorders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sz w:val="20"/>
                <w:szCs w:val="20"/>
              </w:rPr>
              <w:br/>
              <w:t xml:space="preserve">«Банк</w:t>
            </w:r>
            <w:r>
              <w:rPr>
                <w:sz w:val="20"/>
                <w:szCs w:val="20"/>
              </w:rPr>
              <w:t xml:space="preserve">-Клиент»/«Интернет-Клиент.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51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bottom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«Мобильный 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</w:t>
            </w:r>
            <w:r>
              <w:rPr>
                <w:bCs/>
                <w:sz w:val="20"/>
                <w:szCs w:val="20"/>
              </w:rPr>
              <w:t xml:space="preserve">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ведении гражданами садоводства и огородничества для собственных нужд и о внесении изменений </w:t>
            </w:r>
            <w:r>
              <w:rPr>
                <w:bCs/>
                <w:sz w:val="20"/>
                <w:szCs w:val="20"/>
              </w:rPr>
              <w:t xml:space="preserve">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</w:t>
            </w:r>
            <w:r>
              <w:rPr>
                <w:bCs/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18"/>
                <w:szCs w:val="18"/>
              </w:rPr>
              <w:t xml:space="preserve">ения комиссии.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18"/>
                <w:szCs w:val="18"/>
              </w:rPr>
              <w:t xml:space="preserve">.</w:t>
            </w:r>
            <w:r>
              <w:rPr>
                <w:bCs/>
                <w:iCs/>
                <w:sz w:val="18"/>
                <w:szCs w:val="18"/>
              </w:rPr>
            </w:r>
            <w:r>
              <w:rPr>
                <w:bCs/>
                <w:iCs/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18"/>
                <w:szCs w:val="18"/>
              </w:rPr>
              <w:t xml:space="preserve"> рабочих дней использования услуги в этом месяце.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пользовании клиентом услуг Банка по </w:t>
            </w:r>
            <w:r>
              <w:rPr>
                <w:sz w:val="18"/>
                <w:szCs w:val="18"/>
              </w:rPr>
              <w:t xml:space="preserve">п.п</w:t>
            </w:r>
            <w:r>
              <w:rPr>
                <w:sz w:val="18"/>
                <w:szCs w:val="18"/>
              </w:rPr>
              <w:t xml:space="preserve">. 7.3.2-7.3.3 комиссия по п.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7.3.1 Банком не взимается.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Мобильного приложения «Свой Бизнес </w:t>
            </w:r>
            <w:r>
              <w:rPr>
                <w:sz w:val="18"/>
                <w:szCs w:val="18"/>
              </w:rPr>
              <w:t xml:space="preserve">Мобайл</w:t>
            </w:r>
            <w:r>
              <w:rPr>
                <w:sz w:val="18"/>
                <w:szCs w:val="18"/>
              </w:rPr>
              <w:t xml:space="preserve">» возможно только при условии подключения «Свой Бизнес».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bCs/>
                <w:sz w:val="18"/>
                <w:szCs w:val="18"/>
              </w:rPr>
              <w:t xml:space="preserve"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</w:t>
            </w:r>
            <w:r>
              <w:rPr>
                <w:bCs/>
                <w:sz w:val="18"/>
                <w:szCs w:val="18"/>
              </w:rPr>
              <w:t xml:space="preserve"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 Комиссионное вознаграждение по п. 7.3.1 за обслуживание системы дистанционного ба</w:t>
            </w:r>
            <w:r>
              <w:rPr>
                <w:bCs/>
                <w:sz w:val="18"/>
                <w:szCs w:val="18"/>
              </w:rPr>
              <w:t xml:space="preserve">нковского обслуживания «Свой бизнес» </w:t>
            </w:r>
            <w:r>
              <w:rPr>
                <w:bCs/>
                <w:sz w:val="18"/>
                <w:szCs w:val="18"/>
              </w:rPr>
              <w:t xml:space="preserve">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</w:t>
            </w:r>
            <w:r>
              <w:rPr>
                <w:bCs/>
                <w:sz w:val="18"/>
                <w:szCs w:val="18"/>
              </w:rPr>
              <w:t xml:space="preserve">сяца, в котором Банком произведено приостановление.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</w:t>
            </w:r>
            <w:r>
              <w:rPr>
                <w:bCs/>
                <w:sz w:val="18"/>
                <w:szCs w:val="18"/>
              </w:rPr>
              <w:t xml:space="preserve">е зависимости от даты возобновления.».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both"/>
              <w:spacing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non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</w:t>
            </w:r>
            <w:r>
              <w:rPr>
                <w:sz w:val="20"/>
                <w:szCs w:val="20"/>
              </w:rPr>
              <w:t xml:space="preserve">обязательста</w:t>
            </w:r>
            <w:r>
              <w:rPr>
                <w:sz w:val="20"/>
                <w:szCs w:val="20"/>
              </w:rPr>
              <w:t xml:space="preserve">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 о банкротстве в соответствии 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7.3.2.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f2f2"/>
              </w:rPr>
              <w:t xml:space="preserve">2000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both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r/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hanging="766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</w:t>
            </w:r>
            <w:r>
              <w:rPr>
                <w:sz w:val="20"/>
                <w:szCs w:val="20"/>
              </w:rPr>
              <w:t xml:space="preserve">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  <w:t xml:space="preserve">После выполнения обязательств перед АО «</w:t>
            </w:r>
            <w:r>
              <w:rPr>
                <w:bCs/>
              </w:rPr>
              <w:t xml:space="preserve">Россельхозбанк</w:t>
            </w:r>
            <w:r>
              <w:rPr>
                <w:bCs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7.4.1. При подключении к «</w:t>
            </w:r>
            <w:r>
              <w:t xml:space="preserve">ИнтернетКлиент</w:t>
            </w:r>
            <w:r>
              <w:t xml:space="preserve">» / «Свой Бизнес» с использованием Личного кабинета услуга предоставляется в соответствии с 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Комиссия взимается в день подачи клиентом заявления на регистрацию </w:t>
            </w:r>
            <w:r>
              <w:t xml:space="preserve">субъекта информационного обмена в Удостоверяющем центре АО «</w:t>
            </w:r>
            <w:r>
              <w:t xml:space="preserve">Россельхозбанк</w:t>
            </w:r>
            <w:r>
              <w:t xml:space="preserve">». Услуга предоставляется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</w:t>
            </w:r>
            <w:r>
              <w:t xml:space="preserve">и не направил в Банк запрос на выдачу постоянного сертификата ключа проверки электронной подписи. Тариф включает в себя НДС (дополнительно не взимается). Тариф применяется в случае возврата клиентом ключевого носителя, ранее выданного Банком. В случае не п</w:t>
            </w:r>
            <w:r>
              <w:t xml:space="preserve">редоставления клиентом ключевого носителя, ранее </w:t>
            </w:r>
            <w:r>
              <w:t xml:space="preserve">выданного Банком, с клиента взимается комиссия в соответствии с п. 7.4.1 При недостаточности денежных средств для оплаты комиссионного вознаграждения услуга не оказывается, если иное не предусмотрено договор</w:t>
            </w:r>
            <w:r>
              <w:t xml:space="preserve">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</w:t>
            </w:r>
            <w:r>
              <w:rPr>
                <w:bCs/>
                <w:sz w:val="20"/>
                <w:szCs w:val="20"/>
                <w:lang w:val="en-US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0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Комиссия взимается в день получения клиентом ключевого носителя. Комиссия взимается за каждый ключевой носитель, предоставленный при подключении к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кабинета. Тариф включает в себя НДС (дополнительно н</w:t>
            </w:r>
            <w:r>
              <w:t xml:space="preserve">е взимается)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 </w:t>
            </w:r>
            <w:r/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t xml:space="preserve">- для клиентов, являющихся садоводческими или огородническими некоммерческими товарищест</w:t>
            </w:r>
            <w:r>
              <w:t xml:space="preserve">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90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</w:t>
            </w:r>
            <w:r>
              <w:rPr>
                <w:sz w:val="20"/>
                <w:szCs w:val="20"/>
              </w:rPr>
              <w:t xml:space="preserve">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</w:t>
            </w:r>
            <w:r>
              <w:rPr>
                <w:sz w:val="20"/>
                <w:szCs w:val="20"/>
              </w:rPr>
              <w:t xml:space="preserve">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</w:t>
            </w:r>
            <w:r>
              <w:rPr>
                <w:sz w:val="20"/>
                <w:szCs w:val="20"/>
              </w:rPr>
              <w:t xml:space="preserve">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</w:t>
            </w:r>
            <w:r>
              <w:rPr>
                <w:sz w:val="20"/>
                <w:szCs w:val="20"/>
                <w:lang w:val="en-US"/>
              </w:rPr>
              <w:t xml:space="preserve">30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</w:t>
            </w:r>
            <w:r>
              <w:rPr>
                <w:sz w:val="20"/>
                <w:szCs w:val="20"/>
              </w:rPr>
              <w:t xml:space="preserve">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3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Внеплановая смена сертификата ключа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2 050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sz w:val="20"/>
                <w:szCs w:val="20"/>
              </w:rPr>
              <w:t xml:space="preserve">Банком,  осуществляется</w:t>
            </w:r>
            <w:r>
              <w:rPr>
                <w:sz w:val="20"/>
                <w:szCs w:val="20"/>
              </w:rPr>
              <w:t xml:space="preserve"> клиентом тол</w:t>
            </w:r>
            <w:r>
              <w:rPr>
                <w:sz w:val="20"/>
                <w:szCs w:val="20"/>
              </w:rPr>
              <w:t xml:space="preserve">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</w:t>
            </w:r>
            <w:r>
              <w:rPr>
                <w:sz w:val="20"/>
                <w:szCs w:val="20"/>
              </w:rPr>
              <w:t xml:space="preserve">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7.6.1 Услуга по внеплановой смене постоянного сертификата ключа проверки электронной подписи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</w:t>
            </w:r>
            <w:r>
              <w:t xml:space="preserve">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t xml:space="preserve">Тариф применяется в случае возврата клиентом ключевого носителя, ранее выданного Банком. В случае непредставления клиентом ключевого носителя, ранее выданного Банком, с клиента взимается комиссия в соответствии с п. 7.6.1 в день </w:t>
            </w:r>
            <w:r>
              <w:t xml:space="preserve">получения клиен</w:t>
            </w:r>
            <w:r>
              <w:t xml:space="preserve">том от Банка нового ключевого носителя. Формирование постоянного 7 http://www.rshb.ru/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t xml:space="preserve">Услуга предоставляется клиенту после выполнения условий по п. 7.6.2. Услуга по внеплановой смене постоянного сертификата ключа проверки электронной подписи</w:t>
            </w:r>
            <w:r>
              <w:t xml:space="preserve"> при обслуживании клиента по «</w:t>
            </w:r>
            <w:r>
              <w:t xml:space="preserve">ИнтернетКлиент</w:t>
            </w:r>
            <w:r>
              <w:t xml:space="preserve">»/ 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7.7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t xml:space="preserve">Комиссия взимается при подключении услуги и далее ежемеся</w:t>
            </w:r>
            <w:r>
              <w:t xml:space="preserve">чно в первый рабочий день месяца. Услуга доступна в «</w:t>
            </w:r>
            <w:r>
              <w:t xml:space="preserve">ИнтернетКлиент</w:t>
            </w:r>
            <w:r>
              <w:t xml:space="preserve">», «Мобильный банк», «Свой Бизнес». За неполный месяц обслуживания плата взимается в размере установленного тарифа. Предоставление услуги приостанавливается в случае отсутствия на счете кли</w:t>
            </w:r>
            <w:r>
              <w:t xml:space="preserve">ента денежных средств в сумме, необходимой для оплаты комиссии, и возобновляется после оплаты начисленной комиссии.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t xml:space="preserve">Получение одноразового пароля (кода подтверждения) посредством </w:t>
            </w:r>
            <w:r>
              <w:t xml:space="preserve">SMSсообщения</w:t>
            </w:r>
            <w:r>
              <w:t xml:space="preserve">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В случае введения тарифа указанная комиссия облагается НДС, сумма которого взимается дополнительно</w:t>
            </w:r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Сервис «SMS информирование»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</w:tr>
      <w:tr>
        <w:tblPrEx/>
        <w:trPr>
          <w:gridAfter w:val="3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7.9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4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Комиссионное возна</w:t>
            </w:r>
            <w:r>
              <w:t xml:space="preserve">граждение (абонентская плата) за сервис «SMS информирование» (далее – Сервис) в рамках операций по счетам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189 руб. ежемесячно за каждый банковский счет, подключенный к Сервису, и за каждый </w:t>
            </w:r>
            <w:r>
              <w:t xml:space="preserve">телефонный номер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</w:t>
            </w:r>
            <w:r>
              <w:t xml:space="preserve">Сервису. 8 http://www.rshb.r</w:t>
            </w:r>
            <w:r>
              <w:t xml:space="preserve">u/ При подключении Сервиса до 15-го числа календарного месяца комиссия за текущий месяц взимается в размере 100%. При подключении Сервиса с 15-го числа календарного месяца и позднее, комиссия за текущий месяц взимается в размере 50% от расчетной величины. </w:t>
            </w:r>
            <w: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/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* Под обязательствами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кредитным сделкам понимаются: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неиспо</w:t>
      </w:r>
      <w:r>
        <w:rPr>
          <w:sz w:val="18"/>
          <w:szCs w:val="18"/>
        </w:rPr>
        <w:t xml:space="preserve">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 по вышеуказанным дого</w:t>
      </w:r>
      <w:r>
        <w:rPr>
          <w:sz w:val="18"/>
          <w:szCs w:val="18"/>
        </w:rPr>
        <w:t xml:space="preserve">ворам, в том числе по договорам залога, договорам поручительства (в том числе </w:t>
      </w:r>
      <w:r>
        <w:rPr>
          <w:sz w:val="18"/>
          <w:szCs w:val="18"/>
        </w:rPr>
        <w:t xml:space="preserve">прекратившим  свое</w:t>
      </w:r>
      <w:r>
        <w:rPr>
          <w:sz w:val="18"/>
          <w:szCs w:val="18"/>
        </w:rPr>
        <w:t xml:space="preserve"> действие)».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Примечание: Без взимания комиссии в Банке обслуживаются: - отдельные счета головного исполнителя; - отдельные счета исполнителя государственного об</w:t>
      </w:r>
      <w:r>
        <w:rPr>
          <w:sz w:val="18"/>
          <w:szCs w:val="18"/>
        </w:rPr>
        <w:t xml:space="preserve">оронного заказа; - специальные банковские счета для размещения саморегулируемыми организациями средств компенсационного фонда; - специальные банковские счета для размещения саморегулируемыми организациями средств компенсационного фонда возмещения вреда; - </w:t>
      </w:r>
      <w:r>
        <w:rPr>
          <w:sz w:val="18"/>
          <w:szCs w:val="18"/>
        </w:rPr>
        <w:t xml:space="preserve">специальные банковские счета для размещения саморегулируемыми организациями средств компенсационного фонда обеспечения договорных обязательств; - публичные депозитные счета.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тарифов».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1. Плата за услуги Банка взимается в момент оказания услуги, если конкретным пунктом тарифов не предусмотрено иное.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2. Дистанционное банковское обслуживание бюджетных учреждений/казенных учреждений/автономных у</w:t>
      </w:r>
      <w:r>
        <w:rPr>
          <w:sz w:val="18"/>
          <w:szCs w:val="18"/>
        </w:rPr>
        <w:t xml:space="preserve">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</w:t>
      </w:r>
      <w:r>
        <w:rPr>
          <w:sz w:val="18"/>
          <w:szCs w:val="18"/>
        </w:rPr>
        <w:t xml:space="preserve">кое обслуживание (ДБО)» настоящих тарифов.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3. В случае, если на момент оказания услуги клиент не имеет счетов, открытых в АО «</w:t>
      </w:r>
      <w:r>
        <w:rPr>
          <w:sz w:val="18"/>
          <w:szCs w:val="18"/>
        </w:rPr>
        <w:t xml:space="preserve">Россельхозбанк</w:t>
      </w:r>
      <w:r>
        <w:rPr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</w:t>
      </w:r>
      <w:r>
        <w:rPr>
          <w:sz w:val="18"/>
          <w:szCs w:val="18"/>
        </w:rPr>
        <w:t xml:space="preserve">счетов, открытых в других банках, в течение 5 рабочих дней с момента подачи в Банк соответствующего запроса/заявления.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4. По операциям, совершаемым через «Мобильный банк»/ Мобильное приложение «Свой Бизнес </w:t>
      </w:r>
      <w:r>
        <w:rPr>
          <w:sz w:val="18"/>
          <w:szCs w:val="18"/>
        </w:rPr>
        <w:t xml:space="preserve">Мобайл</w:t>
      </w:r>
      <w:r>
        <w:rPr>
          <w:sz w:val="18"/>
          <w:szCs w:val="18"/>
        </w:rPr>
        <w:t xml:space="preserve">», установлены следующие лимиты: - лимит на</w:t>
      </w:r>
      <w:r>
        <w:rPr>
          <w:sz w:val="18"/>
          <w:szCs w:val="18"/>
        </w:rPr>
        <w:t xml:space="preserve"> единовременную операцию – 5 000 000 (Пять миллионов) рублей; - лимит на совершение операций в течение суток - 10 000 000 (Десять миллионов) рублей. Сутки – с 0:00 до 24:00 по московскому времени. При проведении операций в иностранной валюте сумма операции</w:t>
      </w:r>
      <w:r>
        <w:rPr>
          <w:sz w:val="18"/>
          <w:szCs w:val="18"/>
        </w:rPr>
        <w:t xml:space="preserve"> определяется по курсу Банка России на дату проведения операции. 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</w:t>
      </w:r>
      <w:r>
        <w:rPr>
          <w:sz w:val="18"/>
          <w:szCs w:val="18"/>
        </w:rPr>
        <w:t xml:space="preserve">е клиенту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006"/>
        <w:rPr>
          <w:sz w:val="20"/>
          <w:szCs w:val="20"/>
        </w:rPr>
      </w:pPr>
      <w:r/>
      <w:bookmarkStart w:id="6" w:name="_Toc427767375"/>
      <w:r>
        <w:rPr>
          <w:sz w:val="20"/>
          <w:szCs w:val="20"/>
        </w:rPr>
        <w:t xml:space="preserve">8. Хранение ценностей клиентов в хранилище ценностей Банка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rFonts w:eastAsia="Calibri"/>
          <w:sz w:val="20"/>
          <w:szCs w:val="20"/>
        </w:rPr>
      </w:pPr>
      <w:r/>
      <w:bookmarkStart w:id="7" w:name="_Toc427767376"/>
      <w:r>
        <w:rPr>
          <w:rFonts w:eastAsia="Calibri"/>
          <w:sz w:val="20"/>
          <w:szCs w:val="20"/>
        </w:rPr>
        <w:t xml:space="preserve">9. Операции по предоставлению клиентам в аренду </w:t>
      </w:r>
      <w:r>
        <w:rPr>
          <w:rFonts w:eastAsia="Calibri"/>
          <w:sz w:val="20"/>
          <w:szCs w:val="20"/>
        </w:rPr>
        <w:t xml:space="preserve">индивидуальных сейфовых ячеек</w:t>
      </w:r>
      <w:bookmarkEnd w:id="7"/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29"/>
        <w:gridCol w:w="202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№ п/п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9.1.6.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сейфовой ячейки </w:t>
            </w:r>
            <w:r>
              <w:rPr>
                <w:rFonts w:eastAsia="Calibri"/>
                <w:sz w:val="20"/>
                <w:szCs w:val="20"/>
              </w:rPr>
              <w:br/>
              <w:t xml:space="preserve">от 516 (по высоте, мм)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 до 7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8 до 14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15 до 30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31 до 90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91 до 180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на срок от 181 до 365 дней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lang w:val="en-US"/>
              </w:rPr>
            </w:r>
            <w:r>
              <w:rPr>
                <w:rFonts w:eastAsia="Calibri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  <w:r>
              <w:rPr>
                <w:rFonts w:eastAsia="Calibri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9.3.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Страховой депозит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страхового депозита уплачивается в течение 3-х рабочих дней с даты заключения соответствующего договора аренды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9.4.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</w:t>
            </w:r>
            <w:r>
              <w:rPr>
                <w:rFonts w:eastAsia="Calibri"/>
                <w:sz w:val="20"/>
                <w:szCs w:val="20"/>
              </w:rPr>
              <w:t xml:space="preserve">ставляется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9.5.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</w:t>
            </w:r>
            <w:r>
              <w:rPr>
                <w:rFonts w:eastAsia="Calibri"/>
                <w:sz w:val="20"/>
                <w:szCs w:val="20"/>
              </w:rPr>
              <w:t xml:space="preserve">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9.6.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не предоставляется</w:t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  <w:r>
              <w:rPr>
                <w:rFonts w:eastAsia="Calibri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jc w:val="left"/>
        <w:tabs>
          <w:tab w:val="center" w:pos="4956" w:leader="none"/>
        </w:tabs>
        <w:rPr>
          <w:sz w:val="20"/>
          <w:szCs w:val="20"/>
        </w:rPr>
      </w:pPr>
      <w:r/>
      <w:bookmarkStart w:id="8" w:name="_Toc427767377"/>
      <w:r>
        <w:rPr>
          <w:sz w:val="20"/>
          <w:szCs w:val="20"/>
        </w:rPr>
        <w:tab/>
        <w:t xml:space="preserve">10. Услуги инкассации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</w:t>
            </w:r>
            <w:r>
              <w:rPr>
                <w:sz w:val="20"/>
                <w:szCs w:val="20"/>
              </w:rPr>
              <w:t xml:space="preserve">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</w:t>
            </w:r>
            <w:r>
              <w:rPr>
                <w:bCs/>
                <w:sz w:val="20"/>
                <w:szCs w:val="20"/>
              </w:rPr>
              <w:t xml:space="preserve">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bCs/>
          <w:sz w:val="20"/>
          <w:szCs w:val="20"/>
        </w:rPr>
        <w:t xml:space="preserve">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</w:t>
      </w:r>
      <w:r>
        <w:rPr>
          <w:b/>
          <w:sz w:val="20"/>
          <w:szCs w:val="20"/>
        </w:rPr>
        <w:t xml:space="preserve">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</w:t>
      </w:r>
      <w:r>
        <w:rPr>
          <w:color w:val="000000"/>
          <w:sz w:val="20"/>
          <w:szCs w:val="20"/>
        </w:rPr>
        <w:t xml:space="preserve">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</w:t>
      </w:r>
      <w:r>
        <w:rPr>
          <w:color w:val="000000"/>
          <w:sz w:val="20"/>
          <w:szCs w:val="20"/>
        </w:rPr>
        <w:t xml:space="preserve">рминал.».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9" w:name="_Toc427767378"/>
      <w:r>
        <w:rPr>
          <w:sz w:val="20"/>
          <w:szCs w:val="20"/>
        </w:rPr>
        <w:t xml:space="preserve">11. Операции по покупке-продаже иностранной валюты</w:t>
      </w:r>
      <w:r>
        <w:rPr>
          <w:sz w:val="20"/>
          <w:szCs w:val="20"/>
          <w:vertAlign w:val="superscript"/>
        </w:rPr>
        <w:t xml:space="preserve">1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t xml:space="preserve">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</w:t>
            </w:r>
            <w:r>
              <w:rPr>
                <w:sz w:val="20"/>
                <w:szCs w:val="20"/>
              </w:rPr>
              <w:t xml:space="preserve">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 xml:space="preserve"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 xml:space="preserve">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12.3 Тарифов, но не ниже размеров комиссионного вознаграждения,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</w:t>
            </w:r>
            <w:r>
              <w:rPr>
                <w:bCs/>
                <w:sz w:val="20"/>
                <w:szCs w:val="20"/>
              </w:rPr>
              <w:t xml:space="preserve">нк</w:t>
            </w:r>
            <w:r>
              <w:rPr>
                <w:bCs/>
                <w:sz w:val="20"/>
                <w:szCs w:val="20"/>
              </w:rPr>
              <w:t xml:space="preserve">»,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московскому времени) дня заключения договора по кредитной сделке.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</w:t>
            </w:r>
            <w:r>
              <w:rPr>
                <w:sz w:val="20"/>
                <w:szCs w:val="20"/>
              </w:rPr>
              <w:t xml:space="preserve">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</w:t>
            </w:r>
            <w:r>
              <w:rPr>
                <w:sz w:val="20"/>
                <w:szCs w:val="20"/>
              </w:rPr>
              <w:t xml:space="preserve">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</w:t>
            </w:r>
            <w:r>
              <w:rPr>
                <w:sz w:val="20"/>
                <w:szCs w:val="20"/>
              </w:rPr>
              <w:t xml:space="preserve">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</w:t>
            </w:r>
            <w:r>
              <w:rPr>
                <w:sz w:val="20"/>
                <w:szCs w:val="20"/>
              </w:rPr>
              <w:t xml:space="preserve">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426" w:leader="none"/>
                <w:tab w:val="left" w:pos="1134" w:leader="none"/>
              </w:tabs>
              <w:rPr>
                <w:bCs/>
                <w:sz w:val="20"/>
                <w:szCs w:val="20"/>
              </w:rPr>
              <w:outlineLvl w:val="0"/>
            </w:pPr>
            <w:r>
              <w:rPr>
                <w:bCs/>
                <w:sz w:val="20"/>
                <w:szCs w:val="20"/>
              </w:rPr>
              <w:t xml:space="preserve">Самостоятельно устанавливать размеры комиссионного вознаграждения за услуги, предусмотренные пунктом 12.7 Тарифов, но не ниже размеров комиссионного возна</w:t>
            </w:r>
            <w:r>
              <w:rPr>
                <w:bCs/>
                <w:sz w:val="20"/>
                <w:szCs w:val="20"/>
              </w:rPr>
              <w:t xml:space="preserve">граждения, утвержденных Комитетом по управлению активами и пассивами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в зависимости от срока, оставшегося до погашения</w:t>
            </w:r>
            <w:r>
              <w:rPr>
                <w:rStyle w:val="1181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и размещенных на корпоративном портале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разделе «Справочники» по состоянию на 09:00 (по моско</w:t>
            </w:r>
            <w:r>
              <w:rPr>
                <w:bCs/>
                <w:sz w:val="20"/>
                <w:szCs w:val="20"/>
              </w:rPr>
              <w:t xml:space="preserve">вскому времени) дня заключения договора по кредитной сделке, если размер комиссионного вознаграждения или порядок его расчета не предусмотрен решением уполномоченного органа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об установлении/изменении лимита кредитного риска на конкретно</w:t>
            </w:r>
            <w:r>
              <w:rPr>
                <w:bCs/>
                <w:sz w:val="20"/>
                <w:szCs w:val="20"/>
              </w:rPr>
              <w:t xml:space="preserve">го заемщика/группу заемщиков.».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hd w:val="clear" w:color="auto" w:fill="ffffff"/>
              <w:tabs>
                <w:tab w:val="left" w:pos="0" w:leader="none"/>
                <w:tab w:val="left" w:pos="567" w:leader="none"/>
                <w:tab w:val="left" w:pos="993" w:leader="none"/>
                <w:tab w:val="left" w:pos="1276" w:leader="none"/>
                <w:tab w:val="left" w:pos="2268" w:leader="none"/>
              </w:tabs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</w:t>
            </w:r>
            <w:r>
              <w:rPr>
                <w:sz w:val="20"/>
                <w:szCs w:val="20"/>
              </w:rPr>
              <w:t xml:space="preserve">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</w:t>
            </w:r>
            <w:r>
              <w:rPr>
                <w:sz w:val="20"/>
                <w:szCs w:val="20"/>
              </w:rPr>
              <w:t xml:space="preserve">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Операции по обязательной продаже части валютной выручки на внутреннем валютном рынке Российской Федерации осуществляются Банком по правилам пункта 11.</w:t>
      </w:r>
      <w:r>
        <w:rPr>
          <w:i/>
          <w:sz w:val="20"/>
          <w:szCs w:val="20"/>
        </w:rPr>
        <w:t xml:space="preserve">1 настоящих Тарифов с учетом требований нормативных документов Банка России.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Примечание: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</w:t>
      </w:r>
      <w:r>
        <w:rPr>
          <w:i/>
          <w:sz w:val="20"/>
          <w:szCs w:val="20"/>
        </w:rPr>
        <w:t xml:space="preserve">(Курс(ы) Банка).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</w:t>
      </w:r>
      <w:r>
        <w:rPr>
          <w:i/>
          <w:sz w:val="20"/>
          <w:szCs w:val="20"/>
        </w:rPr>
        <w:t xml:space="preserve">ие</w:t>
      </w:r>
      <w:r>
        <w:rPr>
          <w:i/>
          <w:sz w:val="20"/>
          <w:szCs w:val="20"/>
        </w:rPr>
        <w:t xml:space="preserve">) на</w:t>
      </w:r>
      <w:r>
        <w:rPr>
          <w:i/>
          <w:sz w:val="20"/>
          <w:szCs w:val="20"/>
        </w:rPr>
        <w:t xml:space="preserve">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center"/>
        <w:keepNext/>
        <w:spacing w:before="120" w:after="40"/>
        <w:rPr>
          <w:b/>
          <w:bCs/>
          <w:sz w:val="20"/>
          <w:szCs w:val="20"/>
        </w:rPr>
        <w:outlineLvl w:val="4"/>
      </w:pPr>
      <w:r>
        <w:rPr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  <w:t xml:space="preserve">12. Кредитные операции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</w:t>
            </w:r>
            <w:r>
              <w:rPr>
                <w:sz w:val="20"/>
                <w:szCs w:val="20"/>
              </w:rPr>
              <w:t xml:space="preserve">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</w:t>
            </w:r>
            <w:r>
              <w:rPr>
                <w:bCs/>
                <w:sz w:val="20"/>
                <w:szCs w:val="20"/>
              </w:rPr>
              <w:t xml:space="preserve">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</w:t>
            </w:r>
            <w:r>
              <w:rPr>
                <w:bCs/>
                <w:sz w:val="20"/>
                <w:szCs w:val="20"/>
              </w:rPr>
              <w:t xml:space="preserve">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</w:t>
            </w:r>
            <w:r>
              <w:rPr>
                <w:bCs/>
                <w:sz w:val="20"/>
                <w:szCs w:val="20"/>
              </w:rPr>
              <w:t xml:space="preserve">и № 376-П в рамках кредитных продуктов </w:t>
            </w:r>
            <w:r>
              <w:rPr>
                <w:sz w:val="20"/>
                <w:szCs w:val="20"/>
              </w:rPr>
              <w:t xml:space="preserve">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81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 xml:space="preserve">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9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sz w:val="20"/>
                <w:szCs w:val="20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205"/>
              <w:numPr>
                <w:ilvl w:val="0"/>
                <w:numId w:val="49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t xml:space="preserve">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</w:t>
            </w:r>
            <w:r>
              <w:rPr>
                <w:bCs/>
                <w:sz w:val="20"/>
                <w:szCs w:val="20"/>
              </w:rPr>
              <w:t xml:space="preserve">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</w:t>
            </w:r>
            <w:r>
              <w:rPr>
                <w:bCs/>
                <w:sz w:val="20"/>
                <w:szCs w:val="20"/>
              </w:rPr>
              <w:t xml:space="preserve">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81"/>
                <w:bCs/>
                <w:sz w:val="20"/>
                <w:szCs w:val="20"/>
              </w:rPr>
              <w:footnoteReference w:id="4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</w:t>
            </w:r>
            <w:r>
              <w:rPr>
                <w:bCs/>
                <w:sz w:val="20"/>
                <w:szCs w:val="20"/>
              </w:rPr>
              <w:t xml:space="preserve">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</w:t>
            </w:r>
            <w:r>
              <w:rPr>
                <w:bCs/>
                <w:sz w:val="20"/>
                <w:szCs w:val="20"/>
              </w:rPr>
              <w:t xml:space="preserve">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</w:t>
            </w:r>
            <w:r>
              <w:rPr>
                <w:sz w:val="20"/>
                <w:szCs w:val="20"/>
              </w:rPr>
              <w:t xml:space="preserve">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</w:t>
            </w:r>
            <w:r>
              <w:rPr>
                <w:sz w:val="20"/>
                <w:szCs w:val="20"/>
              </w:rPr>
              <w:t xml:space="preserve">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</w:t>
            </w:r>
            <w:r>
              <w:rPr>
                <w:bCs/>
                <w:sz w:val="20"/>
                <w:szCs w:val="20"/>
              </w:rPr>
              <w:t xml:space="preserve">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bCs/>
                <w:sz w:val="20"/>
                <w:szCs w:val="20"/>
              </w:rPr>
              <w:t xml:space="preserve">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</w:t>
            </w:r>
            <w:r>
              <w:rPr>
                <w:sz w:val="20"/>
                <w:szCs w:val="20"/>
              </w:rPr>
              <w:t xml:space="preserve">ения </w:t>
            </w:r>
            <w:r>
              <w:rPr>
                <w:sz w:val="20"/>
                <w:szCs w:val="20"/>
              </w:rPr>
              <w:t xml:space="preserve">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6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 xml:space="preserve">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 xml:space="preserve">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</w:t>
            </w:r>
            <w:r>
              <w:rPr>
                <w:sz w:val="20"/>
                <w:szCs w:val="20"/>
              </w:rPr>
              <w:t xml:space="preserve">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</w:t>
            </w:r>
            <w:r>
              <w:rPr>
                <w:bCs/>
                <w:sz w:val="20"/>
                <w:szCs w:val="20"/>
              </w:rPr>
              <w:t xml:space="preserve">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1,5%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</w:t>
            </w:r>
            <w:r>
              <w:rPr>
                <w:bCs/>
                <w:sz w:val="20"/>
                <w:szCs w:val="20"/>
              </w:rPr>
              <w:t xml:space="preserve">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</w:t>
            </w:r>
            <w:r>
              <w:rPr>
                <w:bCs/>
                <w:sz w:val="20"/>
                <w:szCs w:val="20"/>
              </w:rPr>
              <w:t xml:space="preserve">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</w:t>
      </w:r>
      <w:r>
        <w:rPr>
          <w:bCs/>
          <w:iCs/>
          <w:sz w:val="20"/>
          <w:szCs w:val="20"/>
        </w:rPr>
        <w:t xml:space="preserve">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</w:t>
      </w:r>
      <w:r>
        <w:rPr>
          <w:sz w:val="20"/>
          <w:szCs w:val="20"/>
        </w:rPr>
        <w:t xml:space="preserve">.09.2022 № 1570) (далее – ППРФ от 06.09.2022 № 1570)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bCs/>
          <w:iCs/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№258-Р)», принятого в соответствии с постановление</w:t>
      </w:r>
      <w:r>
        <w:rPr>
          <w:bCs/>
          <w:iCs/>
          <w:sz w:val="20"/>
          <w:szCs w:val="20"/>
        </w:rPr>
        <w:t xml:space="preserve"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bCs/>
          <w:iCs/>
          <w:sz w:val="20"/>
          <w:szCs w:val="20"/>
        </w:rPr>
        <w:t xml:space="preserve">изическим лицам - производителям товаров, работ, услуг»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</w:t>
      </w:r>
      <w:r>
        <w:rPr>
          <w:bCs/>
          <w:iCs/>
          <w:sz w:val="20"/>
          <w:szCs w:val="20"/>
        </w:rPr>
        <w:t xml:space="preserve">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</w:t>
      </w:r>
      <w:r>
        <w:rPr>
          <w:bCs/>
          <w:iCs/>
          <w:sz w:val="20"/>
          <w:szCs w:val="20"/>
        </w:rPr>
        <w:t xml:space="preserve">ребительских кооперативов), организациям</w:t>
      </w:r>
      <w:r>
        <w:rPr>
          <w:bCs/>
          <w:iCs/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(далее- Решение № 358 – Р)»</w:t>
      </w:r>
      <w:r>
        <w:rPr>
          <w:bCs/>
          <w:iCs/>
          <w:sz w:val="20"/>
          <w:szCs w:val="20"/>
        </w:rPr>
        <w:t xml:space="preserve">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bCs/>
          <w:iCs/>
          <w:sz w:val="20"/>
          <w:szCs w:val="20"/>
        </w:rPr>
        <w:outlineLvl w:val="5"/>
      </w:pPr>
      <w:r>
        <w:t xml:space="preserve">- </w:t>
      </w:r>
      <w:r>
        <w:rPr>
          <w:bCs/>
          <w:iCs/>
          <w:sz w:val="20"/>
          <w:szCs w:val="20"/>
        </w:rPr>
        <w:t xml:space="preserve"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</w:t>
      </w:r>
      <w:r>
        <w:rPr>
          <w:bCs/>
          <w:iCs/>
          <w:sz w:val="20"/>
          <w:szCs w:val="20"/>
        </w:rPr>
        <w:t xml:space="preserve">тиционных проектов по созданию туристической инфраструктуры в форме льготного кредитования (далее – Решение № 1201 – Р)», принятого в соответствии с ППРФ от 25.10.2023 № 1780.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</w:t>
      </w:r>
      <w:r>
        <w:rPr>
          <w:bCs/>
          <w:iCs/>
          <w:sz w:val="20"/>
          <w:szCs w:val="20"/>
        </w:rPr>
        <w:t xml:space="preserve">Федерации о порядке предоставления субсидии </w:t>
      </w:r>
      <w:r>
        <w:rPr>
          <w:bCs/>
          <w:iCs/>
          <w:sz w:val="20"/>
          <w:szCs w:val="20"/>
        </w:rPr>
        <w:br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</w:t>
      </w:r>
      <w:r>
        <w:rPr>
          <w:bCs/>
          <w:iCs/>
          <w:sz w:val="20"/>
          <w:szCs w:val="20"/>
        </w:rPr>
        <w:t xml:space="preserve">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</w:t>
      </w:r>
      <w:r>
        <w:rPr>
          <w:bCs/>
          <w:iCs/>
          <w:sz w:val="20"/>
          <w:szCs w:val="20"/>
        </w:rPr>
        <w:t xml:space="preserve">10.2023 </w:t>
      </w:r>
      <w:r>
        <w:rPr>
          <w:bCs/>
          <w:iCs/>
          <w:sz w:val="20"/>
          <w:szCs w:val="20"/>
        </w:rPr>
        <w:br/>
        <w:t xml:space="preserve">№ 1780.».</w:t>
      </w:r>
      <w:bookmarkStart w:id="10" w:name="_Toc427767380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bCs/>
          <w:iCs/>
          <w:sz w:val="20"/>
          <w:szCs w:val="20"/>
        </w:rPr>
        <w:outlineLvl w:val="5"/>
      </w:pPr>
      <w:r>
        <w:t xml:space="preserve">-</w:t>
      </w:r>
      <w:r>
        <w:rPr>
          <w:bCs/>
          <w:iCs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</w:t>
      </w:r>
      <w:r>
        <w:rPr>
          <w:bCs/>
          <w:iCs/>
          <w:sz w:val="20"/>
          <w:szCs w:val="20"/>
        </w:rPr>
        <w:t xml:space="preserve">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</w:t>
      </w:r>
      <w:r>
        <w:rPr>
          <w:bCs/>
          <w:iCs/>
          <w:sz w:val="20"/>
          <w:szCs w:val="20"/>
        </w:rPr>
        <w:t xml:space="preserve">), принятого в соответствии с ППРФ от 25.10.2023 № 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</w:t>
      </w:r>
      <w:r>
        <w:rPr>
          <w:bCs/>
          <w:iCs/>
          <w:sz w:val="20"/>
          <w:szCs w:val="20"/>
        </w:rPr>
        <w:t xml:space="preserve">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</w:t>
      </w:r>
      <w:r>
        <w:rPr>
          <w:bCs/>
          <w:iCs/>
          <w:sz w:val="20"/>
          <w:szCs w:val="20"/>
        </w:rPr>
        <w:t xml:space="preserve">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bCs/>
          <w:iCs/>
          <w:sz w:val="20"/>
          <w:szCs w:val="20"/>
        </w:rPr>
        <w:br/>
        <w:t xml:space="preserve">№ 1780.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</w:t>
      </w:r>
      <w:r>
        <w:rPr>
          <w:sz w:val="20"/>
          <w:szCs w:val="20"/>
        </w:rPr>
        <w:t xml:space="preserve">оссийской Федерации о порядке предоставления субсидии № </w:t>
      </w:r>
      <w:hyperlink w:history="1">
        <w:r>
          <w:rPr>
            <w:sz w:val="20"/>
            <w:szCs w:val="20"/>
          </w:rPr>
          <w:t xml:space="preserve">25-66428-01969-Р</w:t>
        </w:r>
      </w:hyperlink>
      <w:r>
        <w:rPr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</w:t>
      </w:r>
      <w:r>
        <w:rPr>
          <w:sz w:val="20"/>
          <w:szCs w:val="20"/>
        </w:rPr>
        <w:t xml:space="preserve"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sz w:val="20"/>
          <w:szCs w:val="20"/>
        </w:rPr>
        <w:t xml:space="preserve">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</w:t>
      </w:r>
      <w:r>
        <w:rPr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</w:t>
      </w:r>
      <w:r>
        <w:rPr>
          <w:sz w:val="20"/>
          <w:szCs w:val="20"/>
        </w:rPr>
        <w:t xml:space="preserve">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</w:t>
      </w:r>
      <w:r>
        <w:rPr>
          <w:sz w:val="20"/>
          <w:szCs w:val="20"/>
        </w:rPr>
        <w:t xml:space="preserve">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</w:t>
      </w:r>
      <w:r>
        <w:rPr>
          <w:sz w:val="20"/>
          <w:szCs w:val="20"/>
        </w:rPr>
        <w:t xml:space="preserve">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</w:t>
      </w:r>
      <w:r>
        <w:rPr>
          <w:sz w:val="20"/>
          <w:szCs w:val="20"/>
        </w:rPr>
        <w:t xml:space="preserve">ии с ППРФ от 25.10.2023 № 1780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</w:t>
            </w:r>
            <w:r>
              <w:rPr>
                <w:b/>
                <w:bCs/>
                <w:iCs/>
                <w:sz w:val="20"/>
                <w:szCs w:val="20"/>
              </w:rPr>
              <w:t xml:space="preserve">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/>
            <w:bookmarkStart w:id="11" w:name="_GoBack"/>
            <w:r>
              <w:rPr>
                <w:bCs/>
                <w:iCs/>
                <w:sz w:val="20"/>
                <w:szCs w:val="20"/>
              </w:rPr>
              <w:t xml:space="preserve">«17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bookmarkEnd w:id="11"/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*Льготные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</w:t>
      </w:r>
      <w:r>
        <w:rPr>
          <w:bCs/>
          <w:iCs/>
          <w:sz w:val="20"/>
          <w:szCs w:val="20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t xml:space="preserve">13. Обслуживание торгово-сервисных предприятий*, принимающих к оплате платежные карты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1985"/>
        <w:gridCol w:w="3544"/>
      </w:tblGrid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совершение операции: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</w:t>
            </w:r>
            <w:r>
              <w:rPr>
                <w:sz w:val="20"/>
                <w:szCs w:val="20"/>
              </w:rPr>
              <w:t xml:space="preserve">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</w:t>
            </w:r>
            <w:r>
              <w:rPr>
                <w:sz w:val="20"/>
                <w:szCs w:val="20"/>
              </w:rPr>
              <w:t xml:space="preserve">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 благотворительных орга</w:t>
            </w:r>
            <w:r>
              <w:rPr>
                <w:sz w:val="20"/>
                <w:szCs w:val="20"/>
              </w:rPr>
              <w:t xml:space="preserve">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</w:t>
            </w:r>
            <w:r>
              <w:rPr>
                <w:sz w:val="20"/>
                <w:szCs w:val="20"/>
              </w:rPr>
              <w:t xml:space="preserve">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797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«13.6.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за совершение операции с использованием сервиса быстрых платежей платежной системы Банка России, при </w:t>
            </w:r>
            <w:r>
              <w:t xml:space="preserve">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t xml:space="preserve">:»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отправителями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37 руб. за операцию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лимит одного перевода – 999 999,99 руб.</w:t>
            </w:r>
            <w:r/>
          </w:p>
        </w:tc>
      </w:tr>
      <w:tr>
        <w:tblPrEx/>
        <w:trPr>
          <w:trHeight w:val="227"/>
        </w:trPr>
        <w:tc>
          <w:tcPr>
            <w:shd w:val="clear" w:color="auto" w:fill="ffffff" w:themeFill="background1"/>
            <w:tcW w:w="10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13.6.2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9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- уплачиваемая клиентами Банка, являющимися получателями денежных средств</w:t>
            </w:r>
            <w:r/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взимается»</w:t>
            </w:r>
            <w:r/>
          </w:p>
        </w:tc>
        <w:tc>
          <w:tcPr>
            <w:shd w:val="clear" w:color="auto" w:fill="ffffff" w:themeFill="background1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rFonts w:ascii="Symbol" w:hAnsi="Symbol" w:eastAsia="Symbol" w:cs="Symbol"/>
          <w:i/>
          <w:sz w:val="20"/>
          <w:szCs w:val="20"/>
        </w:rPr>
        <w:t xml:space="preserve"></w:t>
      </w:r>
      <w:r>
        <w:rPr>
          <w:i/>
          <w:sz w:val="20"/>
          <w:szCs w:val="20"/>
        </w:rPr>
        <w:t xml:space="preserve"> 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i/>
          <w:sz w:val="20"/>
          <w:szCs w:val="20"/>
        </w:rPr>
        <w:t xml:space="preserve">и и организационно-правовой формы, заключившие с Банком договор </w:t>
      </w:r>
      <w:r>
        <w:rPr>
          <w:i/>
          <w:sz w:val="20"/>
          <w:szCs w:val="20"/>
        </w:rPr>
        <w:t xml:space="preserve">эквайринга</w:t>
      </w:r>
      <w:r>
        <w:rPr>
          <w:i/>
          <w:sz w:val="20"/>
          <w:szCs w:val="20"/>
        </w:rPr>
        <w:t xml:space="preserve"> 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after="60"/>
        <w:tabs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«Обслуживание бюджетных учреждений, принимающих к оплате платежные карты, осуществляется без взимания комиссионного вознаграждения.»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1006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bookmarkStart w:id="12" w:name="_Toc427767381"/>
      <w:r>
        <w:rPr>
          <w:sz w:val="20"/>
          <w:szCs w:val="20"/>
        </w:rPr>
        <w:t xml:space="preserve">14. Депозитарные услуги**</w:t>
      </w:r>
      <w:bookmarkEnd w:id="12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80" w:firstRow="0" w:lastRow="0" w:firstColumn="1" w:lastColumn="0" w:noHBand="0" w:noVBand="0"/>
      </w:tblPr>
      <w:tblGrid>
        <w:gridCol w:w="993"/>
        <w:gridCol w:w="3969"/>
        <w:gridCol w:w="1134"/>
        <w:gridCol w:w="992"/>
        <w:gridCol w:w="355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дополнительных торговых разделов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ЗАО </w:t>
            </w:r>
            <w:r>
              <w:rPr>
                <w:sz w:val="20"/>
                <w:szCs w:val="20"/>
              </w:rPr>
              <w:t xml:space="preserve">НРД и в других депозитариях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</w:t>
            </w:r>
            <w:r>
              <w:rPr>
                <w:sz w:val="20"/>
                <w:szCs w:val="20"/>
              </w:rPr>
              <w:t xml:space="preserve">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</w:t>
            </w:r>
            <w:r>
              <w:rPr>
                <w:sz w:val="20"/>
                <w:szCs w:val="20"/>
              </w:rPr>
              <w:t xml:space="preserve">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</w:t>
            </w:r>
            <w:r>
              <w:rPr>
                <w:sz w:val="20"/>
                <w:szCs w:val="20"/>
              </w:rPr>
              <w:t xml:space="preserve">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sz w:val="20"/>
                <w:szCs w:val="20"/>
              </w:rPr>
              <w:t xml:space="preserve">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</w:t>
            </w:r>
            <w:r>
              <w:rPr>
                <w:sz w:val="20"/>
                <w:szCs w:val="20"/>
              </w:rPr>
              <w:t xml:space="preserve">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</w:t>
            </w:r>
            <w:r>
              <w:rPr>
                <w:sz w:val="20"/>
                <w:szCs w:val="20"/>
              </w:rPr>
              <w:t xml:space="preserve">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  <w:t xml:space="preserve">от коли</w:t>
            </w:r>
            <w:r>
              <w:rPr>
                <w:sz w:val="20"/>
                <w:szCs w:val="20"/>
              </w:rPr>
              <w:t xml:space="preserve">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</w:t>
            </w:r>
            <w:r>
              <w:rPr>
                <w:bCs/>
                <w:iCs/>
                <w:sz w:val="20"/>
                <w:szCs w:val="20"/>
              </w:rPr>
              <w:t xml:space="preserve">Россельхозбанк</w:t>
            </w:r>
            <w:r>
              <w:rPr>
                <w:bCs/>
                <w:iCs/>
                <w:sz w:val="20"/>
                <w:szCs w:val="20"/>
              </w:rPr>
              <w:t xml:space="preserve">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81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0"/>
                <w:szCs w:val="20"/>
              </w:rPr>
              <w:t xml:space="preserve">паев инвестиционных фондов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</w:t>
            </w:r>
            <w:r>
              <w:rPr>
                <w:bCs/>
                <w:color w:val="auto"/>
                <w:sz w:val="20"/>
                <w:szCs w:val="20"/>
              </w:rPr>
              <w:t xml:space="preserve">имости».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f2f2f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2f2f2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</w:t>
            </w:r>
            <w:r>
              <w:rPr>
                <w:bCs/>
                <w:sz w:val="20"/>
                <w:szCs w:val="20"/>
              </w:rPr>
              <w:t xml:space="preserve">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shd w:val="clear" w:color="auto" w:fill="f2f2f2"/>
            <w:tcW w:w="2126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f2f2f2"/>
            <w:tcW w:w="3553" w:type="dxa"/>
            <w:textDirection w:val="lrTb"/>
            <w:noWrap w:val="false"/>
          </w:tcPr>
          <w:p>
            <w:pPr>
              <w:pStyle w:val="1196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</w:t>
            </w:r>
            <w:r>
              <w:rPr>
                <w:sz w:val="20"/>
                <w:szCs w:val="20"/>
              </w:rPr>
              <w:t xml:space="preserve">зависимости </w:t>
            </w:r>
            <w:r>
              <w:rPr>
                <w:sz w:val="20"/>
                <w:szCs w:val="20"/>
              </w:rPr>
              <w:br/>
              <w:t xml:space="preserve">от количества паев)».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96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 на </w:t>
            </w:r>
            <w:r>
              <w:rPr>
                <w:bCs/>
                <w:sz w:val="20"/>
                <w:szCs w:val="20"/>
              </w:rPr>
              <w:t xml:space="preserve">междепозитарные</w:t>
            </w:r>
            <w:r>
              <w:rPr>
                <w:bCs/>
                <w:sz w:val="20"/>
                <w:szCs w:val="20"/>
              </w:rPr>
              <w:t xml:space="preserve"> счета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196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196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реестрах/</w:t>
            </w:r>
            <w:r>
              <w:rPr>
                <w:bCs/>
                <w:sz w:val="20"/>
                <w:szCs w:val="20"/>
              </w:rPr>
              <w:t xml:space="preserve">междепозитарных</w:t>
            </w:r>
            <w:r>
              <w:rPr>
                <w:bCs/>
                <w:sz w:val="20"/>
                <w:szCs w:val="20"/>
              </w:rPr>
              <w:t xml:space="preserve"> счетов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196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</w:t>
            </w:r>
            <w:r>
              <w:rPr>
                <w:sz w:val="20"/>
                <w:szCs w:val="20"/>
                <w:lang w:val="en-US"/>
              </w:rPr>
              <w:t xml:space="preserve">руб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pStyle w:val="1196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pageBreakBefor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bCs/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648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19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pStyle w:val="1196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64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</w:t>
            </w:r>
            <w:r>
              <w:rPr>
                <w:bCs/>
                <w:sz w:val="20"/>
                <w:szCs w:val="20"/>
              </w:rPr>
              <w:t xml:space="preserve">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.8.5.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6"/>
        <w:rPr>
          <w:sz w:val="20"/>
          <w:szCs w:val="20"/>
        </w:rPr>
      </w:pPr>
      <w:r/>
      <w:bookmarkStart w:id="13" w:name="_Toc427767382"/>
      <w:r>
        <w:rPr>
          <w:sz w:val="20"/>
          <w:szCs w:val="20"/>
        </w:rPr>
        <w:t xml:space="preserve">15.Операции с монетами из драгоценных металлов</w:t>
      </w:r>
      <w:bookmarkEnd w:id="13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  <w:between w:val="single" w:color="000000" w:sz="4" w:space="1"/>
              </w:pBd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Операции с драгоценными металлами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798"/>
        <w:gridCol w:w="2722"/>
        <w:gridCol w:w="2665"/>
      </w:tblGrid>
      <w:tr>
        <w:tblPrEx/>
        <w:trPr/>
        <w:tc>
          <w:tcPr>
            <w:shd w:val="clear" w:color="auto" w:fill="auto"/>
            <w:tcW w:w="116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«16.2.</w:t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  <w:r>
              <w:rPr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185" w:type="dxa"/>
            <w:textDirection w:val="lrTb"/>
            <w:noWrap w:val="false"/>
          </w:tcPr>
          <w:p>
            <w:pPr>
              <w:pStyle w:val="1184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/>
                <w:iCs/>
                <w:smallCaps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  <w:r>
              <w:rPr>
                <w:rFonts w:ascii="Times New Roman" w:hAnsi="Times New Roman"/>
                <w:bCs/>
                <w:i/>
                <w:iCs/>
                <w:smallCaps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777"/>
            </w:tblGrid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Весовая номенклат</w:t>
                  </w:r>
                  <w:r>
                    <w:rPr>
                      <w:sz w:val="20"/>
                      <w:szCs w:val="20"/>
                    </w:rPr>
                    <w:t xml:space="preserve">ура (грамм)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9 000,00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777" w:type="dxa"/>
                  <w:textDirection w:val="lrTb"/>
                  <w:noWrap w:val="false"/>
                </w:tcPr>
                <w:p>
                  <w:pPr>
                    <w:pStyle w:val="1184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17 000,00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p>
            <w:pPr>
              <w:pStyle w:val="1184"/>
              <w:jc w:val="center"/>
              <w:tabs>
                <w:tab w:val="left" w:pos="28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1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98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722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ind w:right="-108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1 200,00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1 900,00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2 300,00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84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2 500,00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4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184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  <w:t xml:space="preserve">17. Обслуживание с использованием Торговой системы</w:t>
      </w:r>
      <w:r>
        <w:rPr>
          <w:b/>
          <w:bCs/>
          <w:sz w:val="20"/>
          <w:szCs w:val="20"/>
        </w:rPr>
        <w:br/>
        <w:t xml:space="preserve">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АО «</w:t>
      </w:r>
      <w:r>
        <w:rPr>
          <w:b/>
          <w:bCs/>
          <w:sz w:val="20"/>
          <w:szCs w:val="20"/>
        </w:rPr>
        <w:t xml:space="preserve">Россельхозбанк</w:t>
      </w:r>
      <w:r>
        <w:rPr>
          <w:b/>
          <w:bCs/>
          <w:sz w:val="20"/>
          <w:szCs w:val="20"/>
        </w:rPr>
        <w:t xml:space="preserve">», Торговой системы РСХБ-</w:t>
      </w:r>
      <w:r>
        <w:rPr>
          <w:b/>
          <w:bCs/>
          <w:sz w:val="20"/>
          <w:szCs w:val="20"/>
        </w:rPr>
        <w:t xml:space="preserve">Дилинг</w:t>
      </w:r>
      <w:r>
        <w:rPr>
          <w:b/>
          <w:bCs/>
          <w:sz w:val="20"/>
          <w:szCs w:val="20"/>
        </w:rPr>
        <w:t xml:space="preserve"> 2.0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720"/>
        <w:jc w:val="center"/>
        <w:keepNext/>
        <w:spacing w:after="40"/>
        <w:shd w:val="clear" w:color="auto" w:fill="f2f2f2"/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"/>
        <w:gridCol w:w="2887"/>
        <w:gridCol w:w="1788"/>
        <w:gridCol w:w="4125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</w:t>
            </w:r>
            <w:r>
              <w:rPr>
                <w:bCs/>
                <w:sz w:val="20"/>
                <w:szCs w:val="20"/>
              </w:rPr>
              <w:t xml:space="preserve">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</w:t>
            </w:r>
            <w:r>
              <w:rPr>
                <w:bCs/>
                <w:sz w:val="20"/>
                <w:szCs w:val="20"/>
              </w:rPr>
              <w:t xml:space="preserve">ьного ключевого носителя, ранее выданного Банком, с клиента взимается комиссия в соответствии с п. 17.1.5.1 в день </w:t>
            </w:r>
            <w:r>
              <w:rPr>
                <w:bCs/>
                <w:sz w:val="20"/>
                <w:szCs w:val="20"/>
              </w:rPr>
              <w:t xml:space="preserve">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shd w:val="clear" w:color="auto" w:fill="f2f2f2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</w:t>
            </w:r>
            <w:r>
              <w:rPr>
                <w:bCs/>
                <w:sz w:val="20"/>
                <w:szCs w:val="20"/>
              </w:rPr>
              <w:t xml:space="preserve">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hd w:val="clear" w:color="auto" w:fill="f2f2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shd w:val="clear" w:color="auto" w:fill="f2f2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hd w:val="clear" w:color="auto" w:fill="f2f2f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shd w:val="clear" w:color="auto" w:fill="f2f2f2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shd w:val="clear" w:color="auto" w:fill="f2f2f2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sz w:val="20"/>
          <w:szCs w:val="20"/>
          <w:highlight w:val="none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</w:t>
      </w:r>
      <w:r>
        <w:rPr>
          <w:bCs/>
          <w:iCs/>
          <w:sz w:val="20"/>
          <w:szCs w:val="20"/>
        </w:rPr>
        <w:t xml:space="preserve">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</w:t>
      </w:r>
      <w:r>
        <w:rPr>
          <w:bCs/>
          <w:iCs/>
          <w:sz w:val="20"/>
          <w:szCs w:val="20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002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1 Логин для до</w:t>
      </w:r>
      <w:r>
        <w:rPr>
          <w:bCs/>
          <w:i/>
          <w:iCs/>
          <w:sz w:val="20"/>
          <w:szCs w:val="20"/>
          <w:lang w:eastAsia="en-US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pStyle w:val="1002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2 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bCs/>
          <w:i/>
          <w:iCs/>
          <w:sz w:val="20"/>
          <w:szCs w:val="20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002"/>
        <w:rPr>
          <w:bCs/>
          <w:i/>
          <w:iCs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</w:r>
    </w:p>
    <w:p>
      <w:pPr>
        <w:jc w:val="both"/>
        <w:keepNext/>
        <w:spacing w:after="40"/>
        <w:shd w:val="clear" w:color="auto" w:fill="f2f2f2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  <w:highlight w:val="none"/>
        </w:rPr>
      </w:r>
      <w:r>
        <w:rPr>
          <w:bCs/>
          <w:iCs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</w:p>
    <w:p>
      <w:pPr>
        <w:pStyle w:val="1006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6"/>
        <w:rPr>
          <w:highlight w:val="none"/>
        </w:rPr>
      </w:pPr>
      <w:r/>
      <w:bookmarkStart w:id="14" w:name="_Toc185517142"/>
      <w:r>
        <w:t xml:space="preserve">18. Операции с использованием цифрового рубля</w:t>
      </w:r>
      <w:bookmarkEnd w:id="14"/>
      <w:r>
        <w:rPr>
          <w:highlight w:val="none"/>
        </w:rPr>
      </w:r>
      <w:r>
        <w:rPr>
          <w:highlight w:val="none"/>
        </w:rPr>
      </w:r>
    </w:p>
    <w:tbl>
      <w:tblPr>
        <w:tblW w:w="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</w:t>
            </w:r>
            <w:r>
              <w:rPr>
                <w:sz w:val="20"/>
                <w:szCs w:val="20"/>
              </w:rPr>
              <w:t xml:space="preserve">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</w:t>
            </w:r>
            <w:r>
              <w:rPr>
                <w:sz w:val="20"/>
                <w:szCs w:val="20"/>
              </w:rPr>
              <w:t xml:space="preserve">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  <w:lang w:val="en-US"/>
        </w:rPr>
        <w:t xml:space="preserve">5 </w:t>
      </w:r>
      <w:r>
        <w:rPr>
          <w:sz w:val="20"/>
          <w:szCs w:val="20"/>
        </w:rPr>
        <w:t xml:space="preserve">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/>
          <w:bCs/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4120" cy="3290466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593872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9388"/>
                        <a:stretch/>
                      </pic:blipFill>
                      <pic:spPr bwMode="auto">
                        <a:xfrm rot="0" flipH="0" flipV="0">
                          <a:off x="0" y="0"/>
                          <a:ext cx="6294119" cy="329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5.60pt;height:259.09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shd w:val="clear" w:color="auto" w:fill="f2f2f2"/>
        <w:rPr>
          <w:b/>
          <w:bCs/>
          <w:sz w:val="14"/>
          <w:szCs w:val="14"/>
        </w:rPr>
        <w:outlineLvl w:val="3"/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jc w:val="both"/>
        <w:rPr>
          <w:sz w:val="14"/>
          <w:szCs w:val="14"/>
          <w:highlight w:val="none"/>
          <w14:ligatures w14:val="none"/>
        </w:rPr>
      </w:pPr>
      <w:r>
        <w:rPr>
          <w:sz w:val="14"/>
          <w:szCs w:val="14"/>
        </w:rPr>
        <w:t xml:space="preserve">Порядок применения Тарифа:</w:t>
      </w:r>
      <w:r>
        <w:rPr>
          <w:sz w:val="14"/>
          <w:szCs w:val="14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«</w:t>
      </w:r>
      <w:r>
        <w:rPr>
          <w:sz w:val="14"/>
          <w:szCs w:val="14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sz w:val="14"/>
          <w:szCs w:val="14"/>
        </w:rPr>
        <w:t xml:space="preserve">есяце, приходящегося на один э</w:t>
      </w:r>
      <w:r>
        <w:rPr>
          <w:sz w:val="14"/>
          <w:szCs w:val="14"/>
        </w:rPr>
        <w:t xml:space="preserve">лектронный терминал/</w:t>
      </w:r>
      <w:r>
        <w:rPr>
          <w:sz w:val="14"/>
          <w:szCs w:val="14"/>
        </w:rPr>
        <w:t xml:space="preserve">сервис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.»</w:t>
      </w:r>
      <w:r>
        <w:rPr>
          <w:sz w:val="14"/>
          <w:szCs w:val="14"/>
        </w:rPr>
        <w:t xml:space="preserve">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  <w:t xml:space="preserve">2. </w:t>
      </w:r>
      <w:r>
        <w:rPr>
          <w:sz w:val="14"/>
          <w:szCs w:val="14"/>
        </w:rPr>
        <w:t xml:space="preserve">В концевой сноске «**» </w:t>
      </w:r>
      <w:r>
        <w:rPr>
          <w:sz w:val="14"/>
          <w:szCs w:val="14"/>
        </w:rPr>
        <w:t xml:space="preserve">предложение </w:t>
      </w:r>
      <w:r>
        <w:rPr>
          <w:sz w:val="14"/>
          <w:szCs w:val="14"/>
        </w:rPr>
        <w:t xml:space="preserve">первое </w:t>
      </w:r>
      <w:r>
        <w:rPr>
          <w:sz w:val="14"/>
          <w:szCs w:val="14"/>
        </w:rPr>
        <w:t xml:space="preserve">изложить в следующей редакции: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14"/>
          <w:szCs w:val="14"/>
        </w:rPr>
      </w:r>
      <w:r>
        <w:rPr>
          <w:sz w:val="14"/>
          <w:szCs w:val="14"/>
        </w:rPr>
        <w:t xml:space="preserve">«Комиссия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sz w:val="14"/>
          <w:szCs w:val="14"/>
        </w:rPr>
        <w:t xml:space="preserve">(комиссия за технологическое взаимодействие для сервиса «</w:t>
      </w:r>
      <w:r>
        <w:rPr>
          <w:sz w:val="14"/>
          <w:szCs w:val="14"/>
        </w:rPr>
        <w:t xml:space="preserve">SoftPOS решение»</w:t>
      </w:r>
      <w:r>
        <w:rPr>
          <w:sz w:val="14"/>
          <w:szCs w:val="14"/>
        </w:rPr>
        <w:t xml:space="preserve"> не взимается</w:t>
      </w:r>
      <w:r>
        <w:rPr>
          <w:sz w:val="14"/>
          <w:szCs w:val="14"/>
        </w:rPr>
        <w:t xml:space="preserve">).</w:t>
      </w:r>
      <w:r>
        <w:rPr>
          <w:sz w:val="14"/>
          <w:szCs w:val="14"/>
        </w:rPr>
        <w:t xml:space="preserve">»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rPr>
          <w:sz w:val="14"/>
          <w:szCs w:val="14"/>
          <w14:ligatures w14:val="none"/>
        </w:rPr>
      </w:pPr>
      <w:r>
        <w:rPr>
          <w:sz w:val="14"/>
          <w:szCs w:val="14"/>
          <w:highlight w:val="none"/>
        </w:rPr>
      </w:r>
      <w:r>
        <w:rPr>
          <w:sz w:val="14"/>
          <w:szCs w:val="14"/>
          <w:highlight w:val="none"/>
        </w:rPr>
      </w:r>
    </w:p>
    <w:sectPr>
      <w:headerReference w:type="default" r:id="rId9"/>
      <w:headerReference w:type="first" r:id="rId10"/>
      <w:footnotePr>
        <w:numFmt w:val="chicago"/>
      </w:footnotePr>
      <w:endnotePr/>
      <w:type w:val="continuous"/>
      <w:pgSz w:w="11906" w:h="16838" w:orient="portrait"/>
      <w:pgMar w:top="720" w:right="707" w:bottom="568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83"/>
        <w:jc w:val="both"/>
      </w:pPr>
      <w:r>
        <w:rPr>
          <w:rStyle w:val="1181"/>
        </w:rPr>
        <w:footnoteRef/>
      </w:r>
      <w:r>
        <w:t xml:space="preserve"> До 180 календарных дней (включительно), от 181 до 365 календарных дней (включительно), свыше 365 календарных дней.</w:t>
      </w:r>
      <w:r/>
    </w:p>
  </w:footnote>
  <w:footnote w:id="3">
    <w:p>
      <w:pPr>
        <w:pStyle w:val="1183"/>
      </w:pPr>
      <w:r>
        <w:rPr>
          <w:rStyle w:val="1181"/>
        </w:rPr>
        <w:footnoteRef/>
      </w:r>
      <w:r>
        <w:t xml:space="preserve"> [номер сноски указывается в соответстви</w:t>
      </w:r>
      <w:r>
        <w:t xml:space="preserve">и с нумерацией сносок в Тарифах]</w:t>
      </w:r>
      <w:r/>
    </w:p>
    <w:p>
      <w:pPr>
        <w:pStyle w:val="1183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4">
    <w:p>
      <w:pPr>
        <w:pStyle w:val="1183"/>
      </w:pPr>
      <w:r>
        <w:rPr>
          <w:rStyle w:val="1181"/>
        </w:rPr>
        <w:footnoteRef/>
      </w:r>
      <w:r>
        <w:t xml:space="preserve"> [н</w:t>
      </w:r>
      <w:r>
        <w:t xml:space="preserve">омер сноски указывается в соответствии с нумерацией сносок в Тарифах]</w:t>
      </w:r>
      <w:r/>
    </w:p>
    <w:p>
      <w:pPr>
        <w:pStyle w:val="1183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83"/>
      </w:pPr>
      <w:r/>
      <w:r/>
    </w:p>
  </w:footnote>
  <w:footnote w:id="5">
    <w:p>
      <w:pPr>
        <w:pStyle w:val="1183"/>
        <w:jc w:val="both"/>
      </w:pPr>
      <w:r>
        <w:rPr>
          <w:rStyle w:val="1181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83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183"/>
      </w:pPr>
      <w:r>
        <w:rPr>
          <w:rStyle w:val="1181"/>
        </w:rPr>
        <w:footnoteRef/>
      </w:r>
      <w:r>
        <w:t xml:space="preserve">   [номер с</w:t>
      </w:r>
      <w:r>
        <w:t xml:space="preserve">носки указывается в соответствии с нумерацией сносок в Тарифах]</w:t>
      </w:r>
      <w:r/>
    </w:p>
    <w:p>
      <w:pPr>
        <w:pStyle w:val="1183"/>
      </w:pPr>
      <w:r>
        <w:t xml:space="preserve">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81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</w:t>
      </w:r>
      <w:r>
        <w:rPr>
          <w:bCs/>
          <w:sz w:val="20"/>
          <w:szCs w:val="20"/>
        </w:rPr>
        <w:t xml:space="preserve">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</w:t>
      </w:r>
      <w:r>
        <w:rPr>
          <w:bCs/>
          <w:sz w:val="20"/>
          <w:szCs w:val="20"/>
        </w:rPr>
        <w:t xml:space="preserve">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83"/>
        <w:rPr>
          <w:sz w:val="18"/>
          <w:szCs w:val="18"/>
        </w:rPr>
      </w:pPr>
      <w:r>
        <w:rPr>
          <w:rStyle w:val="1181"/>
          <w:sz w:val="18"/>
          <w:szCs w:val="18"/>
        </w:rPr>
        <w:footnoteRef/>
      </w:r>
      <w:r>
        <w:rPr>
          <w:sz w:val="18"/>
          <w:szCs w:val="18"/>
        </w:rPr>
        <w:t xml:space="preserve"> 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83"/>
        <w:rPr>
          <w:sz w:val="18"/>
          <w:szCs w:val="18"/>
        </w:rPr>
      </w:pP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83"/>
        <w:jc w:val="both"/>
        <w:rPr>
          <w:sz w:val="18"/>
          <w:szCs w:val="18"/>
        </w:rPr>
      </w:pPr>
      <w:r>
        <w:rPr>
          <w:rStyle w:val="1181"/>
        </w:rPr>
        <w:footnoteRef/>
      </w:r>
      <w:r>
        <w:t xml:space="preserve"> </w:t>
      </w:r>
      <w:r>
        <w:rPr>
          <w:sz w:val="18"/>
          <w:szCs w:val="18"/>
        </w:rPr>
        <w:t xml:space="preserve">[Номер</w:t>
      </w:r>
      <w:r>
        <w:rPr>
          <w:sz w:val="18"/>
          <w:szCs w:val="18"/>
        </w:rPr>
        <w:t xml:space="preserve">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83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</w:t>
      </w:r>
      <w:r>
        <w:rPr>
          <w:sz w:val="18"/>
          <w:szCs w:val="18"/>
        </w:rPr>
        <w:t xml:space="preserve">нной Банком России на день совершения операции.</w:t>
      </w:r>
      <w:r/>
    </w:p>
  </w:footnote>
  <w:footnote w:id="10">
    <w:p>
      <w:pPr>
        <w:pStyle w:val="1183"/>
        <w:jc w:val="both"/>
        <w:rPr>
          <w:sz w:val="18"/>
          <w:szCs w:val="18"/>
        </w:rPr>
      </w:pPr>
      <w:r>
        <w:rPr>
          <w:rStyle w:val="1181"/>
        </w:rPr>
        <w:footnoteRef/>
      </w:r>
      <w:r>
        <w:t xml:space="preserve"> </w:t>
      </w:r>
      <w:r>
        <w:rPr>
          <w:sz w:val="18"/>
          <w:szCs w:val="18"/>
        </w:rPr>
        <w:t xml:space="preserve">[Номер сноски указывается в соответствии с нумерацией сносок в Тарифах]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83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</w:t>
      </w:r>
      <w:r>
        <w:rPr>
          <w:sz w:val="18"/>
          <w:szCs w:val="18"/>
        </w:rPr>
        <w:t xml:space="preserve">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8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</w:t>
      </w:r>
      <w:r>
        <w:rPr>
          <w:bCs/>
          <w:sz w:val="18"/>
          <w:szCs w:val="18"/>
        </w:rPr>
        <w:t xml:space="preserve">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83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8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</w:t>
      </w:r>
      <w:r>
        <w:rPr>
          <w:bCs/>
          <w:sz w:val="18"/>
          <w:szCs w:val="18"/>
        </w:rPr>
        <w:t xml:space="preserve">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  <w:t xml:space="preserve">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</w:t>
      </w:r>
      <w:r>
        <w:rPr>
          <w:bCs/>
          <w:sz w:val="18"/>
          <w:szCs w:val="18"/>
        </w:rPr>
        <w:t xml:space="preserve"> законодательством Российской Федерации порядке частной практикой]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83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</w:t>
      </w:r>
      <w:r>
        <w:rPr>
          <w:bCs/>
          <w:sz w:val="18"/>
          <w:szCs w:val="18"/>
        </w:rPr>
        <w:t xml:space="preserve">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rPr>
        <w:rStyle w:val="1179"/>
        <w:sz w:val="20"/>
        <w:szCs w:val="20"/>
      </w:rPr>
      <w:framePr w:wrap="auto" w:vAnchor="text" w:hAnchor="margin" w:xAlign="center" w:y="1"/>
    </w:pPr>
    <w:r>
      <w:rPr>
        <w:rStyle w:val="1179"/>
        <w:sz w:val="20"/>
        <w:szCs w:val="20"/>
      </w:rPr>
      <w:fldChar w:fldCharType="begin"/>
    </w:r>
    <w:r>
      <w:rPr>
        <w:rStyle w:val="1179"/>
        <w:sz w:val="20"/>
        <w:szCs w:val="20"/>
      </w:rPr>
      <w:instrText xml:space="preserve">PAGE  </w:instrText>
    </w:r>
    <w:r>
      <w:rPr>
        <w:rStyle w:val="1179"/>
        <w:sz w:val="20"/>
        <w:szCs w:val="20"/>
      </w:rPr>
      <w:fldChar w:fldCharType="separate"/>
    </w:r>
    <w:r>
      <w:rPr>
        <w:rStyle w:val="1179"/>
        <w:sz w:val="20"/>
        <w:szCs w:val="20"/>
      </w:rPr>
      <w:t xml:space="preserve">65</w:t>
    </w:r>
    <w:r>
      <w:rPr>
        <w:rStyle w:val="1179"/>
        <w:sz w:val="20"/>
        <w:szCs w:val="20"/>
      </w:rPr>
      <w:fldChar w:fldCharType="end"/>
    </w:r>
    <w:r>
      <w:rPr>
        <w:rStyle w:val="1179"/>
        <w:sz w:val="20"/>
        <w:szCs w:val="20"/>
      </w:rPr>
    </w:r>
    <w:r>
      <w:rPr>
        <w:rStyle w:val="1179"/>
        <w:sz w:val="20"/>
        <w:szCs w:val="20"/>
      </w:rPr>
    </w:r>
  </w:p>
  <w:p>
    <w:pPr>
      <w:pStyle w:val="11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rPr>
        <w:color w:val="ffffff"/>
      </w:rPr>
    </w:pPr>
    <w:r>
      <w:rPr>
        <w:color w:val="ffffff"/>
      </w:rPr>
      <w:t xml:space="preserve">2013.11.07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1">
    <w:multiLevelType w:val="hybridMultilevel"/>
    <w:lvl w:ilvl="0">
      <w:start w:val="7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4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40"/>
  </w:num>
  <w:num w:numId="2">
    <w:abstractNumId w:val="22"/>
  </w:num>
  <w:num w:numId="3">
    <w:abstractNumId w:val="48"/>
  </w:num>
  <w:num w:numId="4">
    <w:abstractNumId w:val="36"/>
  </w:num>
  <w:num w:numId="5">
    <w:abstractNumId w:val="34"/>
  </w:num>
  <w:num w:numId="6">
    <w:abstractNumId w:val="47"/>
  </w:num>
  <w:num w:numId="7">
    <w:abstractNumId w:val="4"/>
  </w:num>
  <w:num w:numId="8">
    <w:abstractNumId w:val="3"/>
  </w:num>
  <w:num w:numId="9">
    <w:abstractNumId w:val="8"/>
  </w:num>
  <w:num w:numId="10">
    <w:abstractNumId w:val="32"/>
  </w:num>
  <w:num w:numId="11">
    <w:abstractNumId w:val="5"/>
  </w:num>
  <w:num w:numId="12">
    <w:abstractNumId w:val="11"/>
  </w:num>
  <w:num w:numId="13">
    <w:abstractNumId w:val="33"/>
  </w:num>
  <w:num w:numId="14">
    <w:abstractNumId w:val="45"/>
  </w:num>
  <w:num w:numId="15">
    <w:abstractNumId w:val="28"/>
  </w:num>
  <w:num w:numId="16">
    <w:abstractNumId w:val="31"/>
  </w:num>
  <w:num w:numId="17">
    <w:abstractNumId w:val="29"/>
  </w:num>
  <w:num w:numId="18">
    <w:abstractNumId w:val="1"/>
  </w:num>
  <w:num w:numId="19">
    <w:abstractNumId w:val="30"/>
  </w:num>
  <w:num w:numId="20">
    <w:abstractNumId w:val="19"/>
  </w:num>
  <w:num w:numId="21">
    <w:abstractNumId w:val="49"/>
  </w:num>
  <w:num w:numId="22">
    <w:abstractNumId w:val="13"/>
  </w:num>
  <w:num w:numId="23">
    <w:abstractNumId w:val="18"/>
  </w:num>
  <w:num w:numId="24">
    <w:abstractNumId w:val="16"/>
  </w:num>
  <w:num w:numId="25">
    <w:abstractNumId w:val="14"/>
  </w:num>
  <w:num w:numId="26">
    <w:abstractNumId w:val="43"/>
  </w:num>
  <w:num w:numId="27">
    <w:abstractNumId w:val="44"/>
  </w:num>
  <w:num w:numId="28">
    <w:abstractNumId w:val="26"/>
  </w:num>
  <w:num w:numId="29">
    <w:abstractNumId w:val="2"/>
  </w:num>
  <w:num w:numId="30">
    <w:abstractNumId w:val="39"/>
  </w:num>
  <w:num w:numId="31">
    <w:abstractNumId w:val="15"/>
  </w:num>
  <w:num w:numId="32">
    <w:abstractNumId w:val="20"/>
  </w:num>
  <w:num w:numId="33">
    <w:abstractNumId w:val="41"/>
  </w:num>
  <w:num w:numId="34">
    <w:abstractNumId w:val="37"/>
  </w:num>
  <w:num w:numId="35">
    <w:abstractNumId w:val="10"/>
  </w:num>
  <w:num w:numId="36">
    <w:abstractNumId w:val="0"/>
  </w:num>
  <w:num w:numId="37">
    <w:abstractNumId w:val="42"/>
  </w:num>
  <w:num w:numId="38">
    <w:abstractNumId w:val="9"/>
  </w:num>
  <w:num w:numId="39">
    <w:abstractNumId w:val="38"/>
  </w:num>
  <w:num w:numId="40">
    <w:abstractNumId w:val="7"/>
  </w:num>
  <w:num w:numId="41">
    <w:abstractNumId w:val="24"/>
  </w:num>
  <w:num w:numId="42">
    <w:abstractNumId w:val="46"/>
  </w:num>
  <w:num w:numId="43">
    <w:abstractNumId w:val="17"/>
  </w:num>
  <w:num w:numId="44">
    <w:abstractNumId w:val="2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27"/>
  </w:num>
  <w:num w:numId="48">
    <w:abstractNumId w:val="23"/>
  </w:num>
  <w:num w:numId="49">
    <w:abstractNumId w:val="12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9">
    <w:name w:val="Heading 1 Char"/>
    <w:basedOn w:val="1012"/>
    <w:link w:val="1003"/>
    <w:uiPriority w:val="9"/>
    <w:rPr>
      <w:rFonts w:ascii="Arial" w:hAnsi="Arial" w:eastAsia="Arial" w:cs="Arial"/>
      <w:sz w:val="40"/>
      <w:szCs w:val="40"/>
    </w:rPr>
  </w:style>
  <w:style w:type="character" w:styleId="990">
    <w:name w:val="Heading 2 Char"/>
    <w:basedOn w:val="1012"/>
    <w:link w:val="1004"/>
    <w:uiPriority w:val="9"/>
    <w:rPr>
      <w:rFonts w:ascii="Arial" w:hAnsi="Arial" w:eastAsia="Arial" w:cs="Arial"/>
      <w:sz w:val="34"/>
    </w:rPr>
  </w:style>
  <w:style w:type="character" w:styleId="991">
    <w:name w:val="Heading 3 Char"/>
    <w:basedOn w:val="1012"/>
    <w:link w:val="1005"/>
    <w:uiPriority w:val="9"/>
    <w:rPr>
      <w:rFonts w:ascii="Arial" w:hAnsi="Arial" w:eastAsia="Arial" w:cs="Arial"/>
      <w:sz w:val="30"/>
      <w:szCs w:val="30"/>
    </w:rPr>
  </w:style>
  <w:style w:type="character" w:styleId="992">
    <w:name w:val="Heading 4 Char"/>
    <w:basedOn w:val="1012"/>
    <w:link w:val="1006"/>
    <w:uiPriority w:val="9"/>
    <w:rPr>
      <w:rFonts w:ascii="Arial" w:hAnsi="Arial" w:eastAsia="Arial" w:cs="Arial"/>
      <w:b/>
      <w:bCs/>
      <w:sz w:val="26"/>
      <w:szCs w:val="26"/>
    </w:rPr>
  </w:style>
  <w:style w:type="character" w:styleId="993">
    <w:name w:val="Heading 5 Char"/>
    <w:basedOn w:val="1012"/>
    <w:link w:val="1007"/>
    <w:uiPriority w:val="9"/>
    <w:rPr>
      <w:rFonts w:ascii="Arial" w:hAnsi="Arial" w:eastAsia="Arial" w:cs="Arial"/>
      <w:b/>
      <w:bCs/>
      <w:sz w:val="24"/>
      <w:szCs w:val="24"/>
    </w:rPr>
  </w:style>
  <w:style w:type="character" w:styleId="994">
    <w:name w:val="Heading 6 Char"/>
    <w:basedOn w:val="1012"/>
    <w:link w:val="1008"/>
    <w:uiPriority w:val="9"/>
    <w:rPr>
      <w:rFonts w:ascii="Arial" w:hAnsi="Arial" w:eastAsia="Arial" w:cs="Arial"/>
      <w:b/>
      <w:bCs/>
      <w:sz w:val="22"/>
      <w:szCs w:val="22"/>
    </w:rPr>
  </w:style>
  <w:style w:type="character" w:styleId="995">
    <w:name w:val="Heading 7 Char"/>
    <w:basedOn w:val="1012"/>
    <w:link w:val="10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6">
    <w:name w:val="Heading 8 Char"/>
    <w:basedOn w:val="1012"/>
    <w:link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997">
    <w:name w:val="Heading 9 Char"/>
    <w:basedOn w:val="1012"/>
    <w:link w:val="1011"/>
    <w:uiPriority w:val="9"/>
    <w:rPr>
      <w:rFonts w:ascii="Arial" w:hAnsi="Arial" w:eastAsia="Arial" w:cs="Arial"/>
      <w:i/>
      <w:iCs/>
      <w:sz w:val="21"/>
      <w:szCs w:val="21"/>
    </w:rPr>
  </w:style>
  <w:style w:type="character" w:styleId="998">
    <w:name w:val="Title Char"/>
    <w:basedOn w:val="1012"/>
    <w:link w:val="1024"/>
    <w:uiPriority w:val="10"/>
    <w:rPr>
      <w:sz w:val="48"/>
      <w:szCs w:val="48"/>
    </w:rPr>
  </w:style>
  <w:style w:type="character" w:styleId="999">
    <w:name w:val="Subtitle Char"/>
    <w:basedOn w:val="1012"/>
    <w:link w:val="1026"/>
    <w:uiPriority w:val="11"/>
    <w:rPr>
      <w:sz w:val="24"/>
      <w:szCs w:val="24"/>
    </w:rPr>
  </w:style>
  <w:style w:type="character" w:styleId="1000">
    <w:name w:val="Quote Char"/>
    <w:link w:val="1028"/>
    <w:uiPriority w:val="29"/>
    <w:rPr>
      <w:i/>
    </w:rPr>
  </w:style>
  <w:style w:type="character" w:styleId="1001">
    <w:name w:val="Intense Quote Char"/>
    <w:link w:val="1030"/>
    <w:uiPriority w:val="30"/>
    <w:rPr>
      <w:i/>
    </w:rPr>
  </w:style>
  <w:style w:type="paragraph" w:styleId="1002" w:default="1">
    <w:name w:val="Normal"/>
    <w:qFormat/>
    <w:rPr>
      <w:sz w:val="24"/>
      <w:szCs w:val="24"/>
    </w:rPr>
  </w:style>
  <w:style w:type="paragraph" w:styleId="1003">
    <w:name w:val="Heading 1"/>
    <w:basedOn w:val="1002"/>
    <w:next w:val="1002"/>
    <w:link w:val="101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04">
    <w:name w:val="Heading 2"/>
    <w:basedOn w:val="1002"/>
    <w:next w:val="1002"/>
    <w:link w:val="101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05">
    <w:name w:val="Heading 3"/>
    <w:basedOn w:val="1002"/>
    <w:next w:val="1002"/>
    <w:link w:val="10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06">
    <w:name w:val="Heading 4"/>
    <w:basedOn w:val="1002"/>
    <w:next w:val="1002"/>
    <w:link w:val="1018"/>
    <w:qFormat/>
    <w:pPr>
      <w:jc w:val="center"/>
      <w:keepNext/>
      <w:outlineLvl w:val="3"/>
    </w:pPr>
    <w:rPr>
      <w:b/>
      <w:bCs/>
      <w:sz w:val="22"/>
    </w:rPr>
  </w:style>
  <w:style w:type="paragraph" w:styleId="1007">
    <w:name w:val="Heading 5"/>
    <w:basedOn w:val="1002"/>
    <w:next w:val="1002"/>
    <w:link w:val="1019"/>
    <w:qFormat/>
    <w:pPr>
      <w:keepNext/>
      <w:outlineLvl w:val="4"/>
    </w:pPr>
    <w:rPr>
      <w:b/>
      <w:bCs/>
      <w:sz w:val="28"/>
      <w:szCs w:val="28"/>
    </w:rPr>
  </w:style>
  <w:style w:type="paragraph" w:styleId="1008">
    <w:name w:val="Heading 6"/>
    <w:basedOn w:val="1002"/>
    <w:next w:val="1002"/>
    <w:link w:val="1020"/>
    <w:qFormat/>
    <w:pPr>
      <w:jc w:val="center"/>
      <w:keepNext/>
      <w:outlineLvl w:val="5"/>
    </w:pPr>
    <w:rPr>
      <w:b/>
      <w:bCs/>
    </w:rPr>
  </w:style>
  <w:style w:type="paragraph" w:styleId="1009">
    <w:name w:val="Heading 7"/>
    <w:basedOn w:val="1002"/>
    <w:next w:val="1002"/>
    <w:link w:val="102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10">
    <w:name w:val="Heading 8"/>
    <w:basedOn w:val="1002"/>
    <w:next w:val="1002"/>
    <w:link w:val="1022"/>
    <w:qFormat/>
    <w:pPr>
      <w:keepNext/>
      <w:outlineLvl w:val="7"/>
    </w:pPr>
    <w:rPr>
      <w:b/>
      <w:bCs/>
    </w:rPr>
  </w:style>
  <w:style w:type="paragraph" w:styleId="1011">
    <w:name w:val="Heading 9"/>
    <w:basedOn w:val="1002"/>
    <w:next w:val="1002"/>
    <w:link w:val="1023"/>
    <w:qFormat/>
    <w:pPr>
      <w:keepNext/>
      <w:outlineLvl w:val="8"/>
    </w:pPr>
    <w:rPr>
      <w:b/>
      <w:bCs/>
      <w:sz w:val="20"/>
      <w:szCs w:val="20"/>
    </w:rPr>
  </w:style>
  <w:style w:type="character" w:styleId="1012" w:default="1">
    <w:name w:val="Default Paragraph Font"/>
    <w:uiPriority w:val="1"/>
    <w:semiHidden/>
    <w:unhideWhenUsed/>
  </w:style>
  <w:style w:type="table" w:styleId="10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4" w:default="1">
    <w:name w:val="No List"/>
    <w:uiPriority w:val="99"/>
    <w:semiHidden/>
    <w:unhideWhenUsed/>
  </w:style>
  <w:style w:type="character" w:styleId="1015" w:customStyle="1">
    <w:name w:val="Заголовок 1 Знак"/>
    <w:basedOn w:val="1012"/>
    <w:link w:val="1003"/>
    <w:uiPriority w:val="9"/>
    <w:rPr>
      <w:rFonts w:ascii="Arial" w:hAnsi="Arial" w:eastAsia="Arial" w:cs="Arial"/>
      <w:sz w:val="40"/>
      <w:szCs w:val="40"/>
    </w:rPr>
  </w:style>
  <w:style w:type="character" w:styleId="1016" w:customStyle="1">
    <w:name w:val="Заголовок 2 Знак"/>
    <w:basedOn w:val="1012"/>
    <w:link w:val="1004"/>
    <w:uiPriority w:val="9"/>
    <w:rPr>
      <w:rFonts w:ascii="Arial" w:hAnsi="Arial" w:eastAsia="Arial" w:cs="Arial"/>
      <w:sz w:val="34"/>
    </w:rPr>
  </w:style>
  <w:style w:type="character" w:styleId="1017" w:customStyle="1">
    <w:name w:val="Заголовок 3 Знак"/>
    <w:basedOn w:val="1012"/>
    <w:link w:val="1005"/>
    <w:uiPriority w:val="9"/>
    <w:rPr>
      <w:rFonts w:ascii="Arial" w:hAnsi="Arial" w:eastAsia="Arial" w:cs="Arial"/>
      <w:sz w:val="30"/>
      <w:szCs w:val="30"/>
    </w:rPr>
  </w:style>
  <w:style w:type="character" w:styleId="1018" w:customStyle="1">
    <w:name w:val="Заголовок 4 Знак"/>
    <w:basedOn w:val="1012"/>
    <w:link w:val="1006"/>
    <w:uiPriority w:val="9"/>
    <w:rPr>
      <w:rFonts w:ascii="Arial" w:hAnsi="Arial" w:eastAsia="Arial" w:cs="Arial"/>
      <w:b/>
      <w:bCs/>
      <w:sz w:val="26"/>
      <w:szCs w:val="26"/>
    </w:rPr>
  </w:style>
  <w:style w:type="character" w:styleId="1019" w:customStyle="1">
    <w:name w:val="Заголовок 5 Знак"/>
    <w:basedOn w:val="1012"/>
    <w:link w:val="1007"/>
    <w:uiPriority w:val="9"/>
    <w:rPr>
      <w:rFonts w:ascii="Arial" w:hAnsi="Arial" w:eastAsia="Arial" w:cs="Arial"/>
      <w:b/>
      <w:bCs/>
      <w:sz w:val="24"/>
      <w:szCs w:val="24"/>
    </w:rPr>
  </w:style>
  <w:style w:type="character" w:styleId="1020" w:customStyle="1">
    <w:name w:val="Заголовок 6 Знак"/>
    <w:basedOn w:val="1012"/>
    <w:link w:val="1008"/>
    <w:uiPriority w:val="9"/>
    <w:rPr>
      <w:rFonts w:ascii="Arial" w:hAnsi="Arial" w:eastAsia="Arial" w:cs="Arial"/>
      <w:b/>
      <w:bCs/>
      <w:sz w:val="22"/>
      <w:szCs w:val="22"/>
    </w:rPr>
  </w:style>
  <w:style w:type="character" w:styleId="1021" w:customStyle="1">
    <w:name w:val="Заголовок 7 Знак"/>
    <w:basedOn w:val="1012"/>
    <w:link w:val="10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2" w:customStyle="1">
    <w:name w:val="Заголовок 8 Знак"/>
    <w:basedOn w:val="1012"/>
    <w:link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1023" w:customStyle="1">
    <w:name w:val="Заголовок 9 Знак"/>
    <w:basedOn w:val="1012"/>
    <w:link w:val="1011"/>
    <w:uiPriority w:val="9"/>
    <w:rPr>
      <w:rFonts w:ascii="Arial" w:hAnsi="Arial" w:eastAsia="Arial" w:cs="Arial"/>
      <w:i/>
      <w:iCs/>
      <w:sz w:val="21"/>
      <w:szCs w:val="21"/>
    </w:rPr>
  </w:style>
  <w:style w:type="paragraph" w:styleId="1024">
    <w:name w:val="Title"/>
    <w:basedOn w:val="1002"/>
    <w:next w:val="1002"/>
    <w:link w:val="10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5" w:customStyle="1">
    <w:name w:val="Заголовок Знак"/>
    <w:basedOn w:val="1012"/>
    <w:link w:val="1024"/>
    <w:uiPriority w:val="10"/>
    <w:rPr>
      <w:sz w:val="48"/>
      <w:szCs w:val="48"/>
    </w:rPr>
  </w:style>
  <w:style w:type="paragraph" w:styleId="1026">
    <w:name w:val="Subtitle"/>
    <w:basedOn w:val="1002"/>
    <w:next w:val="1002"/>
    <w:link w:val="1027"/>
    <w:uiPriority w:val="11"/>
    <w:qFormat/>
    <w:pPr>
      <w:spacing w:before="200" w:after="200"/>
    </w:pPr>
  </w:style>
  <w:style w:type="character" w:styleId="1027" w:customStyle="1">
    <w:name w:val="Подзаголовок Знак"/>
    <w:basedOn w:val="1012"/>
    <w:link w:val="1026"/>
    <w:uiPriority w:val="11"/>
    <w:rPr>
      <w:sz w:val="24"/>
      <w:szCs w:val="24"/>
    </w:rPr>
  </w:style>
  <w:style w:type="paragraph" w:styleId="1028">
    <w:name w:val="Quote"/>
    <w:basedOn w:val="1002"/>
    <w:next w:val="1002"/>
    <w:link w:val="1029"/>
    <w:uiPriority w:val="29"/>
    <w:qFormat/>
    <w:pPr>
      <w:ind w:left="720" w:right="720"/>
    </w:pPr>
    <w:rPr>
      <w:i/>
    </w:rPr>
  </w:style>
  <w:style w:type="character" w:styleId="1029" w:customStyle="1">
    <w:name w:val="Цитата 2 Знак"/>
    <w:link w:val="1028"/>
    <w:uiPriority w:val="29"/>
    <w:rPr>
      <w:i/>
    </w:rPr>
  </w:style>
  <w:style w:type="paragraph" w:styleId="1030">
    <w:name w:val="Intense Quote"/>
    <w:basedOn w:val="1002"/>
    <w:next w:val="1002"/>
    <w:link w:val="10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1" w:customStyle="1">
    <w:name w:val="Выделенная цитата Знак"/>
    <w:link w:val="1030"/>
    <w:uiPriority w:val="30"/>
    <w:rPr>
      <w:i/>
    </w:rPr>
  </w:style>
  <w:style w:type="character" w:styleId="1032" w:customStyle="1">
    <w:name w:val="Header Char"/>
    <w:basedOn w:val="1012"/>
    <w:uiPriority w:val="99"/>
  </w:style>
  <w:style w:type="character" w:styleId="1033" w:customStyle="1">
    <w:name w:val="Footer Char"/>
    <w:basedOn w:val="1012"/>
    <w:uiPriority w:val="99"/>
  </w:style>
  <w:style w:type="paragraph" w:styleId="1034">
    <w:name w:val="Caption"/>
    <w:basedOn w:val="1002"/>
    <w:next w:val="100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035" w:customStyle="1">
    <w:name w:val="Caption Char"/>
    <w:uiPriority w:val="99"/>
  </w:style>
  <w:style w:type="table" w:styleId="1036" w:customStyle="1">
    <w:name w:val="Table Grid Light"/>
    <w:basedOn w:val="10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37">
    <w:name w:val="Plain Table 1"/>
    <w:basedOn w:val="10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8">
    <w:name w:val="Plain Table 2"/>
    <w:basedOn w:val="10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9">
    <w:name w:val="Plain Table 3"/>
    <w:basedOn w:val="10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0">
    <w:name w:val="Plain Table 4"/>
    <w:basedOn w:val="10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Plain Table 5"/>
    <w:basedOn w:val="10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2">
    <w:name w:val="Grid Table 1 Light"/>
    <w:basedOn w:val="10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Grid Table 1 Light - Accent 1"/>
    <w:basedOn w:val="10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Grid Table 1 Light - Accent 2"/>
    <w:basedOn w:val="10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Grid Table 1 Light - Accent 3"/>
    <w:basedOn w:val="10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Grid Table 1 Light - Accent 4"/>
    <w:basedOn w:val="10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Grid Table 1 Light - Accent 5"/>
    <w:basedOn w:val="10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Grid Table 1 Light - Accent 6"/>
    <w:basedOn w:val="10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2"/>
    <w:basedOn w:val="10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2 - Accent 1"/>
    <w:basedOn w:val="10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2 - Accent 2"/>
    <w:basedOn w:val="10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3"/>
    <w:basedOn w:val="10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2 - Accent 4"/>
    <w:basedOn w:val="10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2 - Accent 5"/>
    <w:basedOn w:val="10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2 - Accent 6"/>
    <w:basedOn w:val="10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"/>
    <w:basedOn w:val="10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3 - Accent 1"/>
    <w:basedOn w:val="10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3 - Accent 2"/>
    <w:basedOn w:val="10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3"/>
    <w:basedOn w:val="10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3 - Accent 4"/>
    <w:basedOn w:val="10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3 - Accent 5"/>
    <w:basedOn w:val="10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3 - Accent 6"/>
    <w:basedOn w:val="10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4"/>
    <w:basedOn w:val="10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4" w:customStyle="1">
    <w:name w:val="Grid Table 4 - Accent 1"/>
    <w:basedOn w:val="10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65" w:customStyle="1">
    <w:name w:val="Grid Table 4 - Accent 2"/>
    <w:basedOn w:val="10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66" w:customStyle="1">
    <w:name w:val="Grid Table 4 - Accent 3"/>
    <w:basedOn w:val="10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67" w:customStyle="1">
    <w:name w:val="Grid Table 4 - Accent 4"/>
    <w:basedOn w:val="10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68" w:customStyle="1">
    <w:name w:val="Grid Table 4 - Accent 5"/>
    <w:basedOn w:val="10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69" w:customStyle="1">
    <w:name w:val="Grid Table 4 - Accent 6"/>
    <w:basedOn w:val="10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70">
    <w:name w:val="Grid Table 5 Dark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71" w:customStyle="1">
    <w:name w:val="Grid Table 5 Dark- Accent 1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72" w:customStyle="1">
    <w:name w:val="Grid Table 5 Dark - Accent 2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 - Accent 3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74" w:customStyle="1">
    <w:name w:val="Grid Table 5 Dark- Accent 4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75" w:customStyle="1">
    <w:name w:val="Grid Table 5 Dark - Accent 5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76" w:customStyle="1">
    <w:name w:val="Grid Table 5 Dark - Accent 6"/>
    <w:basedOn w:val="10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77">
    <w:name w:val="Grid Table 6 Colorful"/>
    <w:basedOn w:val="10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8" w:customStyle="1">
    <w:name w:val="Grid Table 6 Colorful - Accent 1"/>
    <w:basedOn w:val="10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79" w:customStyle="1">
    <w:name w:val="Grid Table 6 Colorful - Accent 2"/>
    <w:basedOn w:val="10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80" w:customStyle="1">
    <w:name w:val="Grid Table 6 Colorful - Accent 3"/>
    <w:basedOn w:val="10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81" w:customStyle="1">
    <w:name w:val="Grid Table 6 Colorful - Accent 4"/>
    <w:basedOn w:val="10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82" w:customStyle="1">
    <w:name w:val="Grid Table 6 Colorful - Accent 5"/>
    <w:basedOn w:val="10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83" w:customStyle="1">
    <w:name w:val="Grid Table 6 Colorful - Accent 6"/>
    <w:basedOn w:val="10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84">
    <w:name w:val="Grid Table 7 Colorful"/>
    <w:basedOn w:val="10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5" w:customStyle="1">
    <w:name w:val="Grid Table 7 Colorful - Accent 1"/>
    <w:basedOn w:val="10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6" w:customStyle="1">
    <w:name w:val="Grid Table 7 Colorful - Accent 2"/>
    <w:basedOn w:val="10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7" w:customStyle="1">
    <w:name w:val="Grid Table 7 Colorful - Accent 3"/>
    <w:basedOn w:val="10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8" w:customStyle="1">
    <w:name w:val="Grid Table 7 Colorful - Accent 4"/>
    <w:basedOn w:val="10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89" w:customStyle="1">
    <w:name w:val="Grid Table 7 Colorful - Accent 5"/>
    <w:basedOn w:val="10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0" w:customStyle="1">
    <w:name w:val="Grid Table 7 Colorful - Accent 6"/>
    <w:basedOn w:val="10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91">
    <w:name w:val="List Table 1 Light"/>
    <w:basedOn w:val="10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List Table 1 Light - Accent 1"/>
    <w:basedOn w:val="10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List Table 1 Light - Accent 2"/>
    <w:basedOn w:val="10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3"/>
    <w:basedOn w:val="10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List Table 1 Light - Accent 4"/>
    <w:basedOn w:val="10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List Table 1 Light - Accent 5"/>
    <w:basedOn w:val="10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List Table 1 Light - Accent 6"/>
    <w:basedOn w:val="10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2"/>
    <w:basedOn w:val="10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99" w:customStyle="1">
    <w:name w:val="List Table 2 - Accent 1"/>
    <w:basedOn w:val="10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100" w:customStyle="1">
    <w:name w:val="List Table 2 - Accent 2"/>
    <w:basedOn w:val="10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101" w:customStyle="1">
    <w:name w:val="List Table 2 - Accent 3"/>
    <w:basedOn w:val="10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102" w:customStyle="1">
    <w:name w:val="List Table 2 - Accent 4"/>
    <w:basedOn w:val="10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103" w:customStyle="1">
    <w:name w:val="List Table 2 - Accent 5"/>
    <w:basedOn w:val="10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104" w:customStyle="1">
    <w:name w:val="List Table 2 - Accent 6"/>
    <w:basedOn w:val="10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105">
    <w:name w:val="List Table 3"/>
    <w:basedOn w:val="10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3 - Accent 1"/>
    <w:basedOn w:val="10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3 - Accent 2"/>
    <w:basedOn w:val="10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3"/>
    <w:basedOn w:val="10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 w:customStyle="1">
    <w:name w:val="List Table 3 - Accent 4"/>
    <w:basedOn w:val="10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3 - Accent 5"/>
    <w:basedOn w:val="10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 w:customStyle="1">
    <w:name w:val="List Table 3 - Accent 6"/>
    <w:basedOn w:val="10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"/>
    <w:basedOn w:val="10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1"/>
    <w:basedOn w:val="10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2"/>
    <w:basedOn w:val="10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3"/>
    <w:basedOn w:val="10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List Table 4 - Accent 4"/>
    <w:basedOn w:val="10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4 - Accent 5"/>
    <w:basedOn w:val="10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 w:customStyle="1">
    <w:name w:val="List Table 4 - Accent 6"/>
    <w:basedOn w:val="10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5 Dark"/>
    <w:basedOn w:val="10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0" w:customStyle="1">
    <w:name w:val="List Table 5 Dark - Accent 1"/>
    <w:basedOn w:val="10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1" w:customStyle="1">
    <w:name w:val="List Table 5 Dark - Accent 2"/>
    <w:basedOn w:val="10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2" w:customStyle="1">
    <w:name w:val="List Table 5 Dark - Accent 3"/>
    <w:basedOn w:val="10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3" w:customStyle="1">
    <w:name w:val="List Table 5 Dark - Accent 4"/>
    <w:basedOn w:val="10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4" w:customStyle="1">
    <w:name w:val="List Table 5 Dark - Accent 5"/>
    <w:basedOn w:val="10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5" w:customStyle="1">
    <w:name w:val="List Table 5 Dark - Accent 6"/>
    <w:basedOn w:val="10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26">
    <w:name w:val="List Table 6 Colorful"/>
    <w:basedOn w:val="10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27" w:customStyle="1">
    <w:name w:val="List Table 6 Colorful - Accent 1"/>
    <w:basedOn w:val="10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128" w:customStyle="1">
    <w:name w:val="List Table 6 Colorful - Accent 2"/>
    <w:basedOn w:val="10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129" w:customStyle="1">
    <w:name w:val="List Table 6 Colorful - Accent 3"/>
    <w:basedOn w:val="10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130" w:customStyle="1">
    <w:name w:val="List Table 6 Colorful - Accent 4"/>
    <w:basedOn w:val="10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131" w:customStyle="1">
    <w:name w:val="List Table 6 Colorful - Accent 5"/>
    <w:basedOn w:val="10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132" w:customStyle="1">
    <w:name w:val="List Table 6 Colorful - Accent 6"/>
    <w:basedOn w:val="10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133">
    <w:name w:val="List Table 7 Colorful"/>
    <w:basedOn w:val="10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4" w:customStyle="1">
    <w:name w:val="List Table 7 Colorful - Accent 1"/>
    <w:basedOn w:val="10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5" w:customStyle="1">
    <w:name w:val="List Table 7 Colorful - Accent 2"/>
    <w:basedOn w:val="10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6" w:customStyle="1">
    <w:name w:val="List Table 7 Colorful - Accent 3"/>
    <w:basedOn w:val="10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7" w:customStyle="1">
    <w:name w:val="List Table 7 Colorful - Accent 4"/>
    <w:basedOn w:val="10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8" w:customStyle="1">
    <w:name w:val="List Table 7 Colorful - Accent 5"/>
    <w:basedOn w:val="10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39" w:customStyle="1">
    <w:name w:val="List Table 7 Colorful - Accent 6"/>
    <w:basedOn w:val="10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40" w:customStyle="1">
    <w:name w:val="Lined - Accent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41" w:customStyle="1">
    <w:name w:val="Lined - Accent 1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42" w:customStyle="1">
    <w:name w:val="Lined - Accent 2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43" w:customStyle="1">
    <w:name w:val="Lined - Accent 3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44" w:customStyle="1">
    <w:name w:val="Lined - Accent 4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45" w:customStyle="1">
    <w:name w:val="Lined - Accent 5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46" w:customStyle="1">
    <w:name w:val="Lined - Accent 6"/>
    <w:basedOn w:val="10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47" w:customStyle="1">
    <w:name w:val="Bordered &amp; Lined - Accent"/>
    <w:basedOn w:val="10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48" w:customStyle="1">
    <w:name w:val="Bordered &amp; Lined - Accent 1"/>
    <w:basedOn w:val="10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149" w:customStyle="1">
    <w:name w:val="Bordered &amp; Lined - Accent 2"/>
    <w:basedOn w:val="10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150" w:customStyle="1">
    <w:name w:val="Bordered &amp; Lined - Accent 3"/>
    <w:basedOn w:val="10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151" w:customStyle="1">
    <w:name w:val="Bordered &amp; Lined - Accent 4"/>
    <w:basedOn w:val="10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152" w:customStyle="1">
    <w:name w:val="Bordered &amp; Lined - Accent 5"/>
    <w:basedOn w:val="10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153" w:customStyle="1">
    <w:name w:val="Bordered &amp; Lined - Accent 6"/>
    <w:basedOn w:val="10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154" w:customStyle="1">
    <w:name w:val="Bordered"/>
    <w:basedOn w:val="10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55" w:customStyle="1">
    <w:name w:val="Bordered - Accent 1"/>
    <w:basedOn w:val="10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56" w:customStyle="1">
    <w:name w:val="Bordered - Accent 2"/>
    <w:basedOn w:val="10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157" w:customStyle="1">
    <w:name w:val="Bordered - Accent 3"/>
    <w:basedOn w:val="10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158" w:customStyle="1">
    <w:name w:val="Bordered - Accent 4"/>
    <w:basedOn w:val="10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159" w:customStyle="1">
    <w:name w:val="Bordered - Accent 5"/>
    <w:basedOn w:val="10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60" w:customStyle="1">
    <w:name w:val="Bordered - Accent 6"/>
    <w:basedOn w:val="10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61" w:customStyle="1">
    <w:name w:val="Footnote Text Char"/>
    <w:uiPriority w:val="99"/>
    <w:rPr>
      <w:sz w:val="18"/>
    </w:rPr>
  </w:style>
  <w:style w:type="character" w:styleId="1162" w:customStyle="1">
    <w:name w:val="Endnote Text Char"/>
    <w:uiPriority w:val="99"/>
    <w:rPr>
      <w:sz w:val="20"/>
    </w:rPr>
  </w:style>
  <w:style w:type="paragraph" w:styleId="1163">
    <w:name w:val="toc 2"/>
    <w:basedOn w:val="1002"/>
    <w:next w:val="1002"/>
    <w:uiPriority w:val="39"/>
    <w:unhideWhenUsed/>
    <w:pPr>
      <w:ind w:left="283"/>
      <w:spacing w:after="57"/>
    </w:pPr>
  </w:style>
  <w:style w:type="paragraph" w:styleId="1164">
    <w:name w:val="toc 3"/>
    <w:basedOn w:val="1002"/>
    <w:next w:val="1002"/>
    <w:uiPriority w:val="39"/>
    <w:unhideWhenUsed/>
    <w:pPr>
      <w:ind w:left="567"/>
      <w:spacing w:after="57"/>
    </w:pPr>
  </w:style>
  <w:style w:type="paragraph" w:styleId="1165">
    <w:name w:val="toc 5"/>
    <w:basedOn w:val="1002"/>
    <w:next w:val="1002"/>
    <w:uiPriority w:val="39"/>
    <w:unhideWhenUsed/>
    <w:pPr>
      <w:ind w:left="1134"/>
      <w:spacing w:after="57"/>
    </w:pPr>
  </w:style>
  <w:style w:type="paragraph" w:styleId="1166">
    <w:name w:val="toc 6"/>
    <w:basedOn w:val="1002"/>
    <w:next w:val="1002"/>
    <w:uiPriority w:val="39"/>
    <w:unhideWhenUsed/>
    <w:pPr>
      <w:ind w:left="1417"/>
      <w:spacing w:after="57"/>
    </w:pPr>
  </w:style>
  <w:style w:type="paragraph" w:styleId="1167">
    <w:name w:val="toc 7"/>
    <w:basedOn w:val="1002"/>
    <w:next w:val="1002"/>
    <w:uiPriority w:val="39"/>
    <w:unhideWhenUsed/>
    <w:pPr>
      <w:ind w:left="1701"/>
      <w:spacing w:after="57"/>
    </w:pPr>
  </w:style>
  <w:style w:type="paragraph" w:styleId="1168">
    <w:name w:val="toc 8"/>
    <w:basedOn w:val="1002"/>
    <w:next w:val="1002"/>
    <w:uiPriority w:val="39"/>
    <w:unhideWhenUsed/>
    <w:pPr>
      <w:ind w:left="1984"/>
      <w:spacing w:after="57"/>
    </w:pPr>
  </w:style>
  <w:style w:type="paragraph" w:styleId="1169">
    <w:name w:val="toc 9"/>
    <w:basedOn w:val="1002"/>
    <w:next w:val="1002"/>
    <w:uiPriority w:val="39"/>
    <w:unhideWhenUsed/>
    <w:pPr>
      <w:ind w:left="2268"/>
      <w:spacing w:after="57"/>
    </w:pPr>
  </w:style>
  <w:style w:type="paragraph" w:styleId="1170">
    <w:name w:val="TOC Heading"/>
    <w:uiPriority w:val="39"/>
    <w:unhideWhenUsed/>
  </w:style>
  <w:style w:type="paragraph" w:styleId="1171">
    <w:name w:val="table of figures"/>
    <w:basedOn w:val="1002"/>
    <w:next w:val="1002"/>
    <w:uiPriority w:val="99"/>
    <w:unhideWhenUsed/>
  </w:style>
  <w:style w:type="paragraph" w:styleId="1172">
    <w:name w:val="Body Text Indent"/>
    <w:basedOn w:val="1002"/>
    <w:link w:val="1200"/>
    <w:pPr>
      <w:jc w:val="both"/>
    </w:pPr>
    <w:rPr>
      <w:b/>
      <w:bCs/>
    </w:rPr>
  </w:style>
  <w:style w:type="paragraph" w:styleId="1173" w:customStyle="1">
    <w:name w:val="Название"/>
    <w:basedOn w:val="1002"/>
    <w:link w:val="1209"/>
    <w:qFormat/>
    <w:pPr>
      <w:jc w:val="center"/>
    </w:pPr>
    <w:rPr>
      <w:b/>
      <w:bCs/>
      <w:sz w:val="28"/>
      <w:szCs w:val="28"/>
    </w:rPr>
  </w:style>
  <w:style w:type="paragraph" w:styleId="1174">
    <w:name w:val="Body Text"/>
    <w:basedOn w:val="1002"/>
    <w:link w:val="1204"/>
    <w:uiPriority w:val="99"/>
    <w:rPr>
      <w:b/>
      <w:bCs/>
    </w:rPr>
  </w:style>
  <w:style w:type="paragraph" w:styleId="1175">
    <w:name w:val="Body Text Indent 2"/>
    <w:basedOn w:val="1002"/>
    <w:link w:val="1203"/>
    <w:uiPriority w:val="99"/>
    <w:pPr>
      <w:ind w:firstLine="708"/>
      <w:jc w:val="both"/>
    </w:pPr>
    <w:rPr>
      <w:sz w:val="22"/>
      <w:szCs w:val="22"/>
    </w:rPr>
  </w:style>
  <w:style w:type="paragraph" w:styleId="1176">
    <w:name w:val="Body Text Indent 3"/>
    <w:basedOn w:val="1002"/>
    <w:pPr>
      <w:ind w:firstLine="708"/>
      <w:jc w:val="both"/>
    </w:pPr>
  </w:style>
  <w:style w:type="paragraph" w:styleId="1177">
    <w:name w:val="Body Text 3"/>
    <w:basedOn w:val="1002"/>
    <w:pPr>
      <w:jc w:val="both"/>
    </w:pPr>
  </w:style>
  <w:style w:type="paragraph" w:styleId="1178">
    <w:name w:val="Footer"/>
    <w:basedOn w:val="1002"/>
    <w:link w:val="1207"/>
    <w:uiPriority w:val="99"/>
    <w:pPr>
      <w:tabs>
        <w:tab w:val="center" w:pos="4677" w:leader="none"/>
        <w:tab w:val="right" w:pos="9355" w:leader="none"/>
      </w:tabs>
    </w:pPr>
  </w:style>
  <w:style w:type="character" w:styleId="1179">
    <w:name w:val="page number"/>
    <w:rPr>
      <w:rFonts w:ascii="Times New Roman" w:hAnsi="Times New Roman" w:cs="Times New Roman"/>
    </w:rPr>
  </w:style>
  <w:style w:type="paragraph" w:styleId="1180">
    <w:name w:val="Header"/>
    <w:basedOn w:val="1002"/>
    <w:link w:val="1202"/>
    <w:uiPriority w:val="99"/>
    <w:pPr>
      <w:tabs>
        <w:tab w:val="center" w:pos="4677" w:leader="none"/>
        <w:tab w:val="right" w:pos="9355" w:leader="none"/>
      </w:tabs>
    </w:pPr>
  </w:style>
  <w:style w:type="character" w:styleId="1181">
    <w:name w:val="footnote reference"/>
    <w:qFormat/>
    <w:rPr>
      <w:rFonts w:ascii="Times New Roman" w:hAnsi="Times New Roman" w:cs="Times New Roman"/>
      <w:vertAlign w:val="superscript"/>
    </w:rPr>
  </w:style>
  <w:style w:type="paragraph" w:styleId="1182">
    <w:name w:val="Block Text"/>
    <w:basedOn w:val="1002"/>
    <w:pPr>
      <w:ind w:left="1440" w:right="201" w:hanging="720"/>
      <w:jc w:val="both"/>
    </w:pPr>
    <w:rPr>
      <w:i/>
      <w:iCs/>
      <w:sz w:val="20"/>
      <w:szCs w:val="20"/>
    </w:rPr>
  </w:style>
  <w:style w:type="paragraph" w:styleId="1183">
    <w:name w:val="footnote text"/>
    <w:basedOn w:val="1002"/>
    <w:link w:val="1201"/>
    <w:qFormat/>
    <w:rPr>
      <w:sz w:val="20"/>
      <w:szCs w:val="20"/>
    </w:rPr>
  </w:style>
  <w:style w:type="paragraph" w:styleId="1184" w:customStyle="1">
    <w:name w:val="Нормальный"/>
    <w:rPr>
      <w:rFonts w:ascii="TimesET" w:hAnsi="TimesET"/>
      <w:sz w:val="24"/>
      <w:szCs w:val="24"/>
    </w:rPr>
  </w:style>
  <w:style w:type="paragraph" w:styleId="1185" w:customStyle="1">
    <w:name w:val="Основной текст с отступом1"/>
    <w:basedOn w:val="1002"/>
    <w:pPr>
      <w:ind w:left="283"/>
      <w:spacing w:after="120"/>
    </w:pPr>
  </w:style>
  <w:style w:type="paragraph" w:styleId="1186">
    <w:name w:val="Body Text 2"/>
    <w:basedOn w:val="1002"/>
    <w:rPr>
      <w:b/>
      <w:bCs/>
      <w:sz w:val="20"/>
      <w:szCs w:val="22"/>
    </w:rPr>
  </w:style>
  <w:style w:type="paragraph" w:styleId="1187">
    <w:name w:val="Balloon Text"/>
    <w:basedOn w:val="1002"/>
    <w:link w:val="1206"/>
    <w:uiPriority w:val="99"/>
    <w:semiHidden/>
    <w:rPr>
      <w:rFonts w:ascii="Tahoma" w:hAnsi="Tahoma"/>
      <w:sz w:val="16"/>
      <w:szCs w:val="16"/>
    </w:rPr>
  </w:style>
  <w:style w:type="paragraph" w:styleId="1188">
    <w:name w:val="No Spacing"/>
    <w:link w:val="1189"/>
    <w:qFormat/>
    <w:rPr>
      <w:rFonts w:ascii="Calibri" w:hAnsi="Calibri"/>
      <w:sz w:val="22"/>
      <w:szCs w:val="22"/>
      <w:lang w:eastAsia="en-US"/>
    </w:rPr>
  </w:style>
  <w:style w:type="character" w:styleId="1189" w:customStyle="1">
    <w:name w:val="Без интервала Знак"/>
    <w:link w:val="1188"/>
    <w:rPr>
      <w:rFonts w:ascii="Calibri" w:hAnsi="Calibri"/>
      <w:sz w:val="22"/>
      <w:szCs w:val="22"/>
      <w:lang w:val="ru-RU" w:eastAsia="en-US" w:bidi="ar-SA"/>
    </w:rPr>
  </w:style>
  <w:style w:type="paragraph" w:styleId="1190">
    <w:name w:val="toc 4"/>
    <w:basedOn w:val="1002"/>
    <w:next w:val="1002"/>
    <w:pPr>
      <w:ind w:right="-710"/>
      <w:tabs>
        <w:tab w:val="right" w:pos="9923" w:leader="dot"/>
      </w:tabs>
    </w:pPr>
  </w:style>
  <w:style w:type="character" w:styleId="1191">
    <w:name w:val="Hyperlink"/>
    <w:uiPriority w:val="99"/>
    <w:unhideWhenUsed/>
    <w:rPr>
      <w:color w:val="0000ff"/>
      <w:u w:val="single"/>
    </w:rPr>
  </w:style>
  <w:style w:type="paragraph" w:styleId="1192">
    <w:name w:val="toc 1"/>
    <w:basedOn w:val="1002"/>
    <w:next w:val="1002"/>
    <w:uiPriority w:val="39"/>
    <w:pPr>
      <w:ind w:right="-24"/>
      <w:spacing w:line="360" w:lineRule="auto"/>
      <w:tabs>
        <w:tab w:val="right" w:pos="10065" w:leader="dot"/>
      </w:tabs>
    </w:pPr>
    <w:rPr>
      <w:sz w:val="22"/>
    </w:rPr>
  </w:style>
  <w:style w:type="character" w:styleId="1193">
    <w:name w:val="annotation reference"/>
    <w:semiHidden/>
    <w:rPr>
      <w:sz w:val="16"/>
      <w:szCs w:val="16"/>
    </w:rPr>
  </w:style>
  <w:style w:type="paragraph" w:styleId="1194">
    <w:name w:val="annotation text"/>
    <w:basedOn w:val="1002"/>
    <w:semiHidden/>
    <w:rPr>
      <w:sz w:val="20"/>
      <w:szCs w:val="20"/>
    </w:rPr>
  </w:style>
  <w:style w:type="paragraph" w:styleId="1195">
    <w:name w:val="annotation subject"/>
    <w:basedOn w:val="1194"/>
    <w:next w:val="1194"/>
    <w:semiHidden/>
    <w:rPr>
      <w:b/>
      <w:bCs/>
    </w:rPr>
  </w:style>
  <w:style w:type="paragraph" w:styleId="1196" w:customStyle="1">
    <w:name w:val="Default"/>
    <w:rPr>
      <w:color w:val="000000"/>
      <w:sz w:val="24"/>
      <w:szCs w:val="24"/>
    </w:rPr>
  </w:style>
  <w:style w:type="paragraph" w:styleId="1197">
    <w:name w:val="endnote text"/>
    <w:basedOn w:val="1002"/>
    <w:link w:val="1198"/>
    <w:rPr>
      <w:sz w:val="20"/>
      <w:szCs w:val="20"/>
    </w:rPr>
  </w:style>
  <w:style w:type="character" w:styleId="1198" w:customStyle="1">
    <w:name w:val="Текст концевой сноски Знак"/>
    <w:basedOn w:val="1012"/>
    <w:link w:val="1197"/>
  </w:style>
  <w:style w:type="character" w:styleId="1199">
    <w:name w:val="endnote reference"/>
    <w:rPr>
      <w:vertAlign w:val="superscript"/>
    </w:rPr>
  </w:style>
  <w:style w:type="character" w:styleId="1200" w:customStyle="1">
    <w:name w:val="Основной текст с отступом Знак"/>
    <w:link w:val="1172"/>
    <w:rPr>
      <w:b/>
      <w:bCs/>
      <w:sz w:val="24"/>
      <w:szCs w:val="24"/>
    </w:rPr>
  </w:style>
  <w:style w:type="character" w:styleId="1201" w:customStyle="1">
    <w:name w:val="Текст сноски Знак"/>
    <w:link w:val="1183"/>
  </w:style>
  <w:style w:type="character" w:styleId="1202" w:customStyle="1">
    <w:name w:val="Верхний колонтитул Знак"/>
    <w:link w:val="1180"/>
    <w:uiPriority w:val="99"/>
    <w:rPr>
      <w:sz w:val="24"/>
      <w:szCs w:val="24"/>
      <w:lang w:val="ru-RU" w:eastAsia="ru-RU" w:bidi="ar-SA"/>
    </w:rPr>
  </w:style>
  <w:style w:type="character" w:styleId="1203" w:customStyle="1">
    <w:name w:val="Основной текст с отступом 2 Знак"/>
    <w:link w:val="1175"/>
    <w:uiPriority w:val="99"/>
    <w:rPr>
      <w:sz w:val="22"/>
      <w:szCs w:val="22"/>
    </w:rPr>
  </w:style>
  <w:style w:type="character" w:styleId="1204" w:customStyle="1">
    <w:name w:val="Основной текст Знак"/>
    <w:link w:val="1174"/>
    <w:uiPriority w:val="99"/>
    <w:rPr>
      <w:b/>
      <w:bCs/>
      <w:sz w:val="24"/>
      <w:szCs w:val="24"/>
    </w:rPr>
  </w:style>
  <w:style w:type="paragraph" w:styleId="1205">
    <w:name w:val="List Paragraph"/>
    <w:basedOn w:val="10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206" w:customStyle="1">
    <w:name w:val="Текст выноски Знак"/>
    <w:link w:val="1187"/>
    <w:uiPriority w:val="99"/>
    <w:semiHidden/>
    <w:rPr>
      <w:rFonts w:ascii="Tahoma" w:hAnsi="Tahoma" w:cs="Tahoma"/>
      <w:sz w:val="16"/>
      <w:szCs w:val="16"/>
    </w:rPr>
  </w:style>
  <w:style w:type="character" w:styleId="1207" w:customStyle="1">
    <w:name w:val="Нижний колонтитул Знак"/>
    <w:link w:val="1178"/>
    <w:uiPriority w:val="99"/>
    <w:rPr>
      <w:sz w:val="24"/>
      <w:szCs w:val="24"/>
    </w:rPr>
  </w:style>
  <w:style w:type="table" w:styleId="1208">
    <w:name w:val="Table Grid"/>
    <w:basedOn w:val="1013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09" w:customStyle="1">
    <w:name w:val="Название Знак"/>
    <w:link w:val="1173"/>
    <w:rPr>
      <w:b/>
      <w:bCs/>
      <w:sz w:val="28"/>
      <w:szCs w:val="28"/>
    </w:rPr>
  </w:style>
  <w:style w:type="paragraph" w:styleId="1210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211" w:customStyle="1">
    <w:name w:val="Оглавление 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12" w:customStyle="1">
    <w:name w:val="Гиперссылка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6B43-05C2-4B2C-86F5-FB8598CD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Тихонова Кристина Михайловна</dc:creator>
  <cp:keywords/>
  <cp:revision>7</cp:revision>
  <dcterms:created xsi:type="dcterms:W3CDTF">2024-12-24T03:03:00Z</dcterms:created>
  <dcterms:modified xsi:type="dcterms:W3CDTF">2025-05-28T03:28:37Z</dcterms:modified>
</cp:coreProperties>
</file>