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7"/>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7"/>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7"/>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7"/>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w:t>
            </w:r>
            <w:r>
              <w:rPr>
                <w:rFonts w:ascii="Calibri" w:hAnsi="Calibri"/>
                <w:bCs/>
                <w:sz w:val="32"/>
                <w:szCs w:val="32"/>
                <w:lang w:eastAsia="en-US"/>
              </w:rPr>
              <w:t xml:space="preserve">30.</w:t>
            </w:r>
            <w:r>
              <w:rPr>
                <w:rFonts w:ascii="Calibri" w:hAnsi="Calibri"/>
                <w:bCs/>
                <w:sz w:val="32"/>
                <w:szCs w:val="32"/>
                <w:lang w:eastAsia="en-US"/>
              </w:rPr>
              <w:t xml:space="preserve">06.20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7"/>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206"/>
      </w:pPr>
      <w:r/>
      <w:r/>
    </w:p>
    <w:p>
      <w:pPr>
        <w:pStyle w:val="1206"/>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"_Toc446937095"</w:instrText>
      </w:r>
      <w:r>
        <w:rPr>
          <w:rStyle w:val="1207"/>
        </w:rPr>
        <w:instrText xml:space="preserve"> </w:instrText>
      </w:r>
      <w:r>
        <w:rPr>
          <w:rStyle w:val="1207"/>
        </w:rPr>
        <w:fldChar w:fldCharType="separate"/>
      </w:r>
      <w:r>
        <w:rPr>
          <w:rStyle w:val="1207"/>
        </w:rPr>
        <w:t xml:space="preserve">2. Кассовые операции*</w:t>
      </w:r>
      <w:r>
        <w:tab/>
      </w:r>
      <w:r>
        <w:rPr>
          <w:rStyle w:val="1207"/>
        </w:rPr>
        <w:fldChar w:fldCharType="end"/>
      </w:r>
      <w:r>
        <w:rPr>
          <w:rStyle w:val="1207"/>
        </w:rPr>
        <w:t xml:space="preserve">1</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"_Toc446937096"</w:instrText>
      </w:r>
      <w:r>
        <w:rPr>
          <w:rStyle w:val="1207"/>
        </w:rPr>
        <w:instrText xml:space="preserve"> </w:instrText>
      </w:r>
      <w:r>
        <w:rPr>
          <w:rStyle w:val="1207"/>
        </w:rPr>
        <w:fldChar w:fldCharType="separate"/>
      </w:r>
      <w:r>
        <w:rPr>
          <w:rStyle w:val="1207"/>
          <w:rFonts w:eastAsia="Calibri"/>
        </w:rPr>
        <w:t xml:space="preserve">3. Выполнение функций агента валютного контроля</w:t>
      </w:r>
      <w:r>
        <w:tab/>
      </w:r>
      <w:r>
        <w:rPr>
          <w:rStyle w:val="1207"/>
        </w:rPr>
        <w:fldChar w:fldCharType="end"/>
      </w:r>
      <w:r>
        <w:rPr>
          <w:rStyle w:val="1207"/>
        </w:rPr>
        <w:t xml:space="preserve">20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"_Toc446937097"</w:instrText>
      </w:r>
      <w:r>
        <w:rPr>
          <w:rStyle w:val="1207"/>
        </w:rPr>
        <w:instrText xml:space="preserve"> </w:instrText>
      </w:r>
      <w:r>
        <w:rPr>
          <w:rStyle w:val="1207"/>
        </w:rPr>
        <w:fldChar w:fldCharType="separate"/>
      </w:r>
      <w:r>
        <w:rPr>
          <w:rStyle w:val="1207"/>
        </w:rPr>
        <w:t xml:space="preserve">4. Операции с ценными бумагами</w:t>
      </w:r>
      <w:r>
        <w:tab/>
      </w:r>
      <w:r>
        <w:rPr>
          <w:rStyle w:val="1207"/>
        </w:rPr>
        <w:fldChar w:fldCharType="end"/>
      </w:r>
      <w:r>
        <w:rPr>
          <w:rStyle w:val="1207"/>
        </w:rPr>
        <w:t xml:space="preserve">2</w:t>
      </w:r>
      <w:r>
        <w:rPr>
          <w:rStyle w:val="1207"/>
        </w:rPr>
        <w:t xml:space="preserve">5</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"_Toc446937098"</w:instrText>
      </w:r>
      <w:r>
        <w:rPr>
          <w:rStyle w:val="1207"/>
        </w:rPr>
        <w:instrText xml:space="preserve"> </w:instrText>
      </w:r>
      <w:r>
        <w:rPr>
          <w:rStyle w:val="1207"/>
        </w:rPr>
        <w:fldChar w:fldCharType="separate"/>
      </w:r>
      <w:r>
        <w:rPr>
          <w:rStyle w:val="1207"/>
        </w:rPr>
        <w:t xml:space="preserve">5. Документарные операции</w:t>
      </w:r>
      <w:r>
        <w:tab/>
      </w:r>
      <w:r>
        <w:rPr>
          <w:rStyle w:val="1207"/>
        </w:rPr>
        <w:fldChar w:fldCharType="end"/>
      </w:r>
      <w:r>
        <w:rPr>
          <w:rStyle w:val="1207"/>
        </w:rPr>
        <w:t xml:space="preserve">2</w:t>
      </w:r>
      <w:r>
        <w:rPr>
          <w:rStyle w:val="1207"/>
        </w:rPr>
        <w:t xml:space="preserve">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"_Toc446937099"</w:instrText>
      </w:r>
      <w:r>
        <w:rPr>
          <w:rStyle w:val="1207"/>
        </w:rPr>
        <w:instrText xml:space="preserve"> </w:instrText>
      </w:r>
      <w:r>
        <w:rPr>
          <w:rStyle w:val="1207"/>
        </w:rPr>
        <w:fldChar w:fldCharType="separate"/>
      </w:r>
      <w:r>
        <w:rPr>
          <w:rStyle w:val="1207"/>
        </w:rPr>
        <w:t xml:space="preserve">6. Гарантийные операции</w:t>
      </w:r>
      <w:r>
        <w:tab/>
      </w:r>
      <w:r>
        <w:rPr>
          <w:rStyle w:val="1207"/>
        </w:rPr>
        <w:fldChar w:fldCharType="end"/>
      </w:r>
      <w:r>
        <w:rPr>
          <w:rStyle w:val="1207"/>
        </w:rPr>
        <w:t xml:space="preserve">3</w:t>
      </w:r>
      <w:r>
        <w:rPr>
          <w:rStyle w:val="1207"/>
        </w:rPr>
        <w:t xml:space="preserve">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"_Toc446937100"</w:instrText>
      </w:r>
      <w:r>
        <w:rPr>
          <w:rStyle w:val="1207"/>
        </w:rPr>
        <w:instrText xml:space="preserve"> </w:instrText>
      </w:r>
      <w:r>
        <w:rPr>
          <w:rStyle w:val="1207"/>
        </w:rPr>
        <w:fldChar w:fldCharType="separate"/>
      </w:r>
      <w:r>
        <w:rPr>
          <w:rStyle w:val="1207"/>
        </w:rPr>
        <w:t xml:space="preserve">7. Дистанционное банковское обслуживание (ДБО)</w:t>
      </w:r>
      <w:r>
        <w:tab/>
      </w:r>
      <w:r>
        <w:rPr>
          <w:rStyle w:val="1207"/>
        </w:rPr>
        <w:fldChar w:fldCharType="end"/>
      </w:r>
      <w:r>
        <w:rPr>
          <w:rStyle w:val="1207"/>
        </w:rPr>
        <w:t xml:space="preserve">33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"_Toc446937101"</w:instrText>
      </w:r>
      <w:r>
        <w:rPr>
          <w:rStyle w:val="1207"/>
        </w:rPr>
        <w:instrText xml:space="preserve"> </w:instrText>
      </w:r>
      <w:r>
        <w:rPr>
          <w:rStyle w:val="1207"/>
        </w:rPr>
        <w:fldChar w:fldCharType="separate"/>
      </w:r>
      <w:r>
        <w:rPr>
          <w:rStyle w:val="1207"/>
        </w:rPr>
        <w:t xml:space="preserve">8. Хранение ценностей клиентов в хранилище ценностей Банка</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"_Toc446937102"</w:instrText>
      </w:r>
      <w:r>
        <w:rPr>
          <w:rStyle w:val="1207"/>
        </w:rPr>
        <w:instrText xml:space="preserve"> </w:instrText>
      </w:r>
      <w:r>
        <w:rPr>
          <w:rStyle w:val="1207"/>
        </w:rPr>
        <w:fldChar w:fldCharType="separate"/>
      </w:r>
      <w:r>
        <w:rPr>
          <w:rStyle w:val="1207"/>
        </w:rPr>
        <w:t xml:space="preserve">9. Аренда клиентами индивидуальных сейфовых ячеек</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"_Toc446937103"</w:instrText>
      </w:r>
      <w:r>
        <w:rPr>
          <w:rStyle w:val="1207"/>
        </w:rPr>
        <w:instrText xml:space="preserve"> </w:instrText>
      </w:r>
      <w:r>
        <w:rPr>
          <w:rStyle w:val="1207"/>
        </w:rPr>
        <w:fldChar w:fldCharType="separate"/>
      </w:r>
      <w:r>
        <w:rPr>
          <w:rStyle w:val="1207"/>
        </w:rPr>
        <w:t xml:space="preserve">10. Услуги инкассации по отдельному договору с Российским объединением инкассации Банка России</w:t>
      </w:r>
      <w:r>
        <w:tab/>
      </w:r>
      <w:r>
        <w:rPr>
          <w:rStyle w:val="1207"/>
        </w:rPr>
        <w:fldChar w:fldCharType="end"/>
      </w:r>
      <w:r>
        <w:rPr>
          <w:rStyle w:val="1207"/>
        </w:rPr>
        <w:t xml:space="preserve">39</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"_Toc446937104"</w:instrText>
      </w:r>
      <w:r>
        <w:rPr>
          <w:rStyle w:val="1207"/>
        </w:rPr>
        <w:instrText xml:space="preserve"> </w:instrText>
      </w:r>
      <w:r>
        <w:rPr>
          <w:rStyle w:val="1207"/>
        </w:rPr>
        <w:fldChar w:fldCharType="separate"/>
      </w:r>
      <w:r>
        <w:rPr>
          <w:rStyle w:val="1207"/>
        </w:rPr>
        <w:t xml:space="preserve">11. Операции по покупке-продаже иностранной валюты</w:t>
      </w:r>
      <w:r>
        <w:tab/>
      </w:r>
      <w:r>
        <w:rPr>
          <w:rStyle w:val="1207"/>
        </w:rPr>
        <w:fldChar w:fldCharType="end"/>
      </w:r>
      <w:r>
        <w:rPr>
          <w:rStyle w:val="1207"/>
        </w:rPr>
        <w:t xml:space="preserve">40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"_Toc446937105"</w:instrText>
      </w:r>
      <w:r>
        <w:rPr>
          <w:rStyle w:val="1207"/>
        </w:rPr>
        <w:instrText xml:space="preserve"> </w:instrText>
      </w:r>
      <w:r>
        <w:rPr>
          <w:rStyle w:val="1207"/>
        </w:rPr>
        <w:fldChar w:fldCharType="separate"/>
      </w:r>
      <w:r>
        <w:rPr>
          <w:rStyle w:val="1207"/>
        </w:rPr>
        <w:t xml:space="preserve">12. Кредитные операции</w:t>
      </w:r>
      <w:r>
        <w:tab/>
      </w:r>
      <w:bookmarkStart w:id="0" w:name="_Hlt447302832"/>
      <w:r/>
      <w:bookmarkEnd w:id="0"/>
      <w:r/>
      <w:bookmarkStart w:id="1" w:name="_Hlt447302833"/>
      <w:r/>
      <w:bookmarkEnd w:id="1"/>
      <w:r>
        <w:rPr>
          <w:rStyle w:val="1207"/>
        </w:rPr>
        <w:fldChar w:fldCharType="end"/>
      </w:r>
      <w:r>
        <w:rPr>
          <w:rStyle w:val="1207"/>
        </w:rPr>
        <w:t xml:space="preserve">41</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"_Toc446937106"</w:instrText>
      </w:r>
      <w:r>
        <w:rPr>
          <w:rStyle w:val="1207"/>
        </w:rPr>
        <w:instrText xml:space="preserve"> </w:instrText>
      </w:r>
      <w:r>
        <w:rPr>
          <w:rStyle w:val="1207"/>
        </w:rPr>
        <w:fldChar w:fldCharType="separate"/>
      </w:r>
      <w:r>
        <w:rPr>
          <w:rStyle w:val="1207"/>
        </w:rPr>
        <w:t xml:space="preserve">13. Обслуживание торгово-сервисных предприятий*, принимающих к оплате платежные карты</w:t>
      </w:r>
      <w:r>
        <w:rPr>
          <w:rStyle w:val="1207"/>
        </w:rPr>
        <w:t xml:space="preserve"> а также принимающих оплату через сервис быстрых платежей платежной системы Банка России</w:t>
      </w:r>
      <w:r>
        <w:rPr>
          <w:rStyle w:val="1207"/>
        </w:rP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14. Депозитарные услуги</w:t>
      </w:r>
      <w: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Style w:val="1207"/>
        </w:rPr>
      </w:pPr>
      <w:r>
        <w:rPr>
          <w:rStyle w:val="1207"/>
        </w:rPr>
        <w:fldChar w:fldCharType="begin"/>
      </w:r>
      <w:r>
        <w:rPr>
          <w:rStyle w:val="1207"/>
        </w:rPr>
        <w:instrText xml:space="preserve"> </w:instrText>
      </w:r>
      <w:r>
        <w:instrText xml:space="preserve">HYPERLINK \l "_Toc446937108"</w:instrText>
      </w:r>
      <w:r>
        <w:rPr>
          <w:rStyle w:val="1207"/>
        </w:rPr>
        <w:instrText xml:space="preserve"> </w:instrText>
      </w:r>
      <w:r>
        <w:rPr>
          <w:rStyle w:val="1207"/>
        </w:rPr>
        <w:fldChar w:fldCharType="separate"/>
      </w:r>
      <w:r>
        <w:rPr>
          <w:rStyle w:val="1207"/>
        </w:rPr>
        <w:t xml:space="preserve">15. Операции с монетами из д</w:t>
      </w:r>
      <w:bookmarkStart w:id="2" w:name="_Hlt509398157"/>
      <w:r/>
      <w:bookmarkStart w:id="3" w:name="_Hlt509398158"/>
      <w:r>
        <w:rPr>
          <w:rStyle w:val="1207"/>
        </w:rPr>
        <w:t xml:space="preserve">р</w:t>
      </w:r>
      <w:bookmarkEnd w:id="2"/>
      <w:r/>
      <w:bookmarkEnd w:id="3"/>
      <w:r>
        <w:rPr>
          <w:rStyle w:val="1207"/>
        </w:rPr>
        <w:t xml:space="preserve">агоценных металлов</w:t>
      </w:r>
      <w:r>
        <w:tab/>
      </w:r>
      <w:r>
        <w:rPr>
          <w:rStyle w:val="1207"/>
        </w:rPr>
        <w:fldChar w:fldCharType="end"/>
      </w:r>
      <w:r>
        <w:rPr>
          <w:rStyle w:val="1207"/>
        </w:rPr>
        <w:t xml:space="preserve">61</w:t>
      </w:r>
      <w:r>
        <w:rPr>
          <w:rStyle w:val="1207"/>
        </w:rPr>
      </w:r>
      <w:r>
        <w:rPr>
          <w:rStyle w:val="1207"/>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6. </w:t>
      </w:r>
      <w:r>
        <w:rPr>
          <w:rStyle w:val="1207"/>
        </w:rPr>
        <w:t xml:space="preserve">Операции с драгоценными металлами</w:t>
      </w:r>
      <w:r>
        <w:tab/>
      </w:r>
      <w:r>
        <w:rPr>
          <w:rStyle w:val="1207"/>
        </w:rPr>
        <w:fldChar w:fldCharType="end"/>
      </w:r>
      <w:r>
        <w:rPr>
          <w:rStyle w:val="1207"/>
        </w:rPr>
        <w:t xml:space="preserve">6</w:t>
      </w:r>
      <w:r>
        <w:rPr>
          <w:rStyle w:val="1207"/>
        </w:rPr>
        <w:t xml:space="preserve">2</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7. </w:t>
      </w:r>
      <w:r>
        <w:rPr>
          <w:rStyle w:val="1207"/>
        </w:rPr>
        <w:t xml:space="preserve">Обслуживание с использованием Торговой системы РСХБ-Дилинг АО «Россельхозбанк»</w:t>
      </w:r>
      <w:r>
        <w:tab/>
      </w:r>
      <w:r>
        <w:rPr>
          <w:rStyle w:val="1207"/>
        </w:rPr>
        <w:fldChar w:fldCharType="end"/>
      </w:r>
      <w:r>
        <w:rPr>
          <w:rStyle w:val="1207"/>
        </w:rPr>
        <w:t xml:space="preserve">6</w:t>
      </w:r>
      <w:r>
        <w:rPr>
          <w:rStyle w:val="1207"/>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8. </w:t>
      </w:r>
      <w:r>
        <w:t xml:space="preserve">Операции с использованием цифрового рубля </w:t>
      </w:r>
      <w:r>
        <w:rPr>
          <w:rStyle w:val="1207"/>
        </w:rPr>
        <w:t xml:space="preserve">   </w:t>
      </w:r>
      <w:r>
        <w:t xml:space="preserve">               </w:t>
        <w:tab/>
        <w:t xml:space="preserve">                                                      </w:t>
      </w:r>
      <w:r>
        <w:rPr>
          <w:rStyle w:val="1207"/>
        </w:rPr>
        <w:fldChar w:fldCharType="end"/>
      </w:r>
      <w:hyperlink w:tooltip="#_18._Операц" w:anchor="_18._Операц" w:history="1">
        <w:r>
          <w:rPr>
            <w:rStyle w:val="1207"/>
          </w:rPr>
        </w:r>
        <w:r>
          <w:rPr>
            <w:rStyle w:val="1207"/>
            <w:highlight w:val="none"/>
          </w:rPr>
          <w:t xml:space="preserve">72</w:t>
        </w:r>
        <w:r>
          <w:rPr>
            <w:rStyle w:val="1207"/>
            <w:highlight w:val="none"/>
          </w:rPr>
        </w:r>
      </w:hyperlink>
      <w:r>
        <w:rPr>
          <w:highlight w:val="none"/>
        </w:rPr>
      </w:r>
      <w:r>
        <w:rPr>
          <w:highlight w:val="none"/>
        </w:rPr>
      </w:r>
    </w:p>
    <w:p>
      <w:pPr>
        <w:pStyle w:val="1177"/>
      </w:pPr>
      <w:r/>
      <w:r/>
    </w:p>
    <w:p>
      <w:pPr>
        <w:pStyle w:val="1181"/>
        <w:jc w:val="both"/>
      </w:pPr>
      <w:r>
        <w:fldChar w:fldCharType="end"/>
      </w:r>
      <w:r/>
    </w:p>
    <w:p>
      <w:pPr>
        <w:pStyle w:val="1177"/>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25"/>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7"/>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7"/>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34"/>
              <w:spacing w:after="40"/>
              <w:rPr>
                <w:sz w:val="20"/>
                <w:szCs w:val="20"/>
              </w:rPr>
            </w:pPr>
            <w:r>
              <w:rPr>
                <w:sz w:val="20"/>
                <w:szCs w:val="20"/>
              </w:rPr>
            </w:r>
            <w:r>
              <w:rPr>
                <w:sz w:val="20"/>
                <w:szCs w:val="20"/>
              </w:rPr>
            </w:r>
            <w:r>
              <w:rPr>
                <w:sz w:val="20"/>
                <w:szCs w:val="20"/>
              </w:rPr>
            </w:r>
          </w:p>
          <w:p>
            <w:pPr>
              <w:pStyle w:val="1177"/>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after="40"/>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7"/>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7"/>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7"/>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7"/>
              <w:jc w:val="both"/>
              <w:rPr>
                <w:sz w:val="20"/>
                <w:szCs w:val="20"/>
              </w:rPr>
            </w:pPr>
            <w:r>
              <w:rPr>
                <w:sz w:val="20"/>
                <w:szCs w:val="20"/>
              </w:rPr>
              <w:t xml:space="preserve">- перечисление алиментов, пенсий,</w:t>
            </w:r>
            <w:r>
              <w:rPr>
                <w:sz w:val="20"/>
                <w:szCs w:val="20"/>
              </w:rPr>
            </w:r>
            <w:r>
              <w:rPr>
                <w:sz w:val="20"/>
                <w:szCs w:val="20"/>
              </w:rPr>
            </w:r>
          </w:p>
          <w:p>
            <w:pPr>
              <w:pStyle w:val="117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7"/>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7"/>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0,33%</w:t>
            </w:r>
            <w:r>
              <w:rPr>
                <w:sz w:val="20"/>
                <w:szCs w:val="20"/>
              </w:rPr>
            </w:r>
            <w:r>
              <w:rPr>
                <w:sz w:val="20"/>
                <w:szCs w:val="20"/>
              </w:rPr>
            </w:r>
          </w:p>
          <w:p>
            <w:pPr>
              <w:pStyle w:val="1177"/>
              <w:jc w:val="center"/>
              <w:rPr>
                <w:sz w:val="20"/>
                <w:szCs w:val="20"/>
              </w:rPr>
            </w:pPr>
            <w:r>
              <w:rPr>
                <w:sz w:val="20"/>
                <w:szCs w:val="20"/>
              </w:rPr>
              <w:t xml:space="preserve">минимум </w:t>
            </w:r>
            <w:r>
              <w:rPr>
                <w:sz w:val="20"/>
                <w:szCs w:val="20"/>
              </w:rPr>
            </w:r>
            <w:r>
              <w:rPr>
                <w:sz w:val="20"/>
                <w:szCs w:val="20"/>
              </w:rPr>
            </w:r>
          </w:p>
          <w:p>
            <w:pPr>
              <w:pStyle w:val="117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7"/>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7"/>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7"/>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7"/>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7"/>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7"/>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7"/>
        <w:jc w:val="both"/>
        <w:tabs>
          <w:tab w:val="left" w:pos="1080" w:leader="none"/>
        </w:tabs>
        <w:rPr>
          <w:sz w:val="20"/>
          <w:szCs w:val="20"/>
        </w:rPr>
      </w:pPr>
      <w:r>
        <w:rPr>
          <w:sz w:val="20"/>
          <w:szCs w:val="20"/>
        </w:rPr>
      </w:r>
      <w:r>
        <w:rPr>
          <w:sz w:val="20"/>
          <w:szCs w:val="20"/>
        </w:rPr>
      </w:r>
      <w:r>
        <w:rPr>
          <w:sz w:val="20"/>
          <w:szCs w:val="20"/>
        </w:rPr>
      </w:r>
    </w:p>
    <w:p>
      <w:pPr>
        <w:pStyle w:val="117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7"/>
        <w:jc w:val="center"/>
        <w:keepNext/>
        <w:spacing w:before="120" w:after="40"/>
        <w:rPr>
          <w:sz w:val="20"/>
          <w:szCs w:val="20"/>
        </w:rPr>
        <w:outlineLvl w:val="1"/>
      </w:pPr>
      <w:r>
        <w:rPr>
          <w:sz w:val="20"/>
          <w:szCs w:val="20"/>
        </w:rPr>
      </w:r>
      <w:r>
        <w:rPr>
          <w:sz w:val="20"/>
          <w:szCs w:val="20"/>
        </w:rPr>
      </w:r>
      <w:r>
        <w:rPr>
          <w:sz w:val="20"/>
          <w:szCs w:val="20"/>
        </w:rPr>
      </w:r>
    </w:p>
    <w:p>
      <w:pPr>
        <w:pStyle w:val="1181"/>
        <w:rPr>
          <w:lang w:val="ru-RU"/>
        </w:rPr>
      </w:pPr>
      <w:r>
        <w:rPr>
          <w:lang w:val="ru-RU"/>
        </w:rPr>
      </w:r>
      <w:r>
        <w:rPr>
          <w:lang w:val="ru-RU"/>
        </w:rPr>
      </w:r>
      <w:r>
        <w:rPr>
          <w:lang w:val="ru-RU"/>
        </w:rPr>
      </w:r>
    </w:p>
    <w:p>
      <w:pPr>
        <w:pStyle w:val="1181"/>
      </w:pPr>
      <w:r>
        <w:t xml:space="preserve">2.</w:t>
      </w:r>
      <w:r>
        <w:t xml:space="preserve"> </w:t>
      </w:r>
      <w:r>
        <w:t xml:space="preserve">Кассовые</w:t>
      </w:r>
      <w:r>
        <w:t xml:space="preserve"> </w:t>
      </w:r>
      <w:r>
        <w:t xml:space="preserve">операции*</w:t>
      </w:r>
      <w:bookmarkEnd w:id="4"/>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7"/>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2.4.</w:t>
            </w:r>
            <w:r>
              <w:rPr>
                <w:sz w:val="20"/>
                <w:szCs w:val="20"/>
              </w:rPr>
            </w:r>
            <w:r>
              <w:rPr>
                <w:sz w:val="20"/>
                <w:szCs w:val="20"/>
              </w:rPr>
            </w:r>
          </w:p>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7"/>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7"/>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7"/>
        <w:rPr>
          <w:bCs/>
          <w:sz w:val="20"/>
          <w:szCs w:val="20"/>
          <w:u w:val="single"/>
        </w:rPr>
      </w:pPr>
      <w:r>
        <w:rPr>
          <w:bCs/>
          <w:sz w:val="20"/>
          <w:szCs w:val="20"/>
          <w:u w:val="single"/>
        </w:rPr>
      </w:r>
      <w:r>
        <w:rPr>
          <w:bCs/>
          <w:sz w:val="20"/>
          <w:szCs w:val="20"/>
          <w:u w:val="single"/>
        </w:rPr>
      </w:r>
      <w:r>
        <w:rPr>
          <w:bCs/>
          <w:sz w:val="20"/>
          <w:szCs w:val="20"/>
          <w:u w:val="single"/>
        </w:rPr>
      </w:r>
    </w:p>
    <w:p>
      <w:pPr>
        <w:pStyle w:val="1177"/>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7"/>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7"/>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7"/>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7"/>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7"/>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7"/>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7"/>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7"/>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7"/>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7"/>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7"/>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7"/>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7"/>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7"/>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7"/>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3 000 руб.</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rPr>
                <w:sz w:val="20"/>
                <w:szCs w:val="20"/>
              </w:rPr>
            </w:pPr>
            <w:r>
              <w:rPr>
                <w:sz w:val="20"/>
                <w:szCs w:val="20"/>
              </w:rPr>
              <w:t xml:space="preserve">Комиссия взимается:</w:t>
            </w:r>
            <w:r>
              <w:rPr>
                <w:sz w:val="20"/>
                <w:szCs w:val="20"/>
              </w:rPr>
            </w:r>
            <w:r>
              <w:rPr>
                <w:sz w:val="20"/>
                <w:szCs w:val="20"/>
              </w:rPr>
            </w:r>
          </w:p>
          <w:p>
            <w:pPr>
              <w:pStyle w:val="117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7"/>
              <w:contextualSpacing/>
              <w:jc w:val="center"/>
              <w:rPr>
                <w:sz w:val="20"/>
                <w:szCs w:val="20"/>
              </w:rPr>
            </w:pPr>
            <w:r>
              <w:rPr>
                <w:sz w:val="20"/>
                <w:szCs w:val="20"/>
              </w:rPr>
              <w:t xml:space="preserve">0,12%</w:t>
            </w:r>
            <w:r>
              <w:rPr>
                <w:sz w:val="20"/>
                <w:szCs w:val="20"/>
              </w:rPr>
            </w:r>
            <w:r>
              <w:rPr>
                <w:sz w:val="20"/>
                <w:szCs w:val="20"/>
              </w:rPr>
            </w:r>
          </w:p>
          <w:p>
            <w:pPr>
              <w:pStyle w:val="1177"/>
              <w:contextualSpacing/>
              <w:jc w:val="center"/>
              <w:rPr>
                <w:sz w:val="20"/>
                <w:szCs w:val="20"/>
              </w:rPr>
            </w:pPr>
            <w:r>
              <w:rPr>
                <w:sz w:val="20"/>
                <w:szCs w:val="20"/>
              </w:rPr>
              <w:t xml:space="preserve">минимум 250 руб.,</w:t>
            </w:r>
            <w:r>
              <w:rPr>
                <w:sz w:val="20"/>
                <w:szCs w:val="20"/>
              </w:rPr>
            </w:r>
            <w:r>
              <w:rPr>
                <w:sz w:val="20"/>
                <w:szCs w:val="20"/>
              </w:rPr>
            </w:r>
          </w:p>
          <w:p>
            <w:pPr>
              <w:pStyle w:val="1177"/>
              <w:contextualSpacing/>
              <w:jc w:val="center"/>
              <w:rPr>
                <w:sz w:val="20"/>
                <w:szCs w:val="20"/>
              </w:rPr>
            </w:pPr>
            <w:r>
              <w:rPr>
                <w:sz w:val="20"/>
                <w:szCs w:val="20"/>
              </w:rPr>
              <w:t xml:space="preserve">максимум 10 000 руб.</w:t>
            </w:r>
            <w:r>
              <w:rPr>
                <w:sz w:val="20"/>
                <w:szCs w:val="20"/>
              </w:rPr>
            </w:r>
            <w:r>
              <w:rPr>
                <w:sz w:val="20"/>
                <w:szCs w:val="20"/>
              </w:rPr>
            </w:r>
          </w:p>
          <w:p>
            <w:pPr>
              <w:pStyle w:val="1177"/>
              <w:contextualSpacing/>
              <w:jc w:val="center"/>
              <w:rPr>
                <w:sz w:val="20"/>
                <w:szCs w:val="20"/>
              </w:rPr>
            </w:pPr>
            <w:r>
              <w:rPr>
                <w:sz w:val="20"/>
                <w:szCs w:val="20"/>
              </w:rPr>
              <w:t xml:space="preserve">для ГО, ЦРМБ и ЦКБ,</w:t>
            </w:r>
            <w:r>
              <w:rPr>
                <w:sz w:val="20"/>
                <w:szCs w:val="20"/>
              </w:rPr>
            </w:r>
            <w:r>
              <w:rPr>
                <w:sz w:val="20"/>
                <w:szCs w:val="20"/>
              </w:rPr>
            </w:r>
          </w:p>
          <w:p>
            <w:pPr>
              <w:pStyle w:val="1177"/>
              <w:contextualSpacing/>
              <w:jc w:val="center"/>
              <w:rPr>
                <w:sz w:val="20"/>
                <w:szCs w:val="20"/>
              </w:rPr>
            </w:pPr>
            <w:r>
              <w:rPr>
                <w:sz w:val="20"/>
                <w:szCs w:val="20"/>
              </w:rPr>
              <w:t xml:space="preserve">минимум 150 руб.,</w:t>
            </w:r>
            <w:r>
              <w:rPr>
                <w:sz w:val="20"/>
                <w:szCs w:val="20"/>
              </w:rPr>
            </w:r>
            <w:r>
              <w:rPr>
                <w:sz w:val="20"/>
                <w:szCs w:val="20"/>
              </w:rPr>
            </w:r>
          </w:p>
          <w:p>
            <w:pPr>
              <w:pStyle w:val="1177"/>
              <w:contextualSpacing/>
              <w:jc w:val="center"/>
              <w:rPr>
                <w:sz w:val="20"/>
                <w:szCs w:val="20"/>
              </w:rPr>
            </w:pPr>
            <w:r>
              <w:rPr>
                <w:sz w:val="20"/>
                <w:szCs w:val="20"/>
              </w:rPr>
              <w:t xml:space="preserve">максимум 5 000 руб.</w:t>
            </w:r>
            <w:r>
              <w:rPr>
                <w:sz w:val="20"/>
                <w:szCs w:val="20"/>
              </w:rPr>
            </w:r>
            <w:r>
              <w:rPr>
                <w:sz w:val="20"/>
                <w:szCs w:val="20"/>
              </w:rPr>
            </w:r>
          </w:p>
          <w:p>
            <w:pPr>
              <w:pStyle w:val="1177"/>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7"/>
              <w:jc w:val="both"/>
              <w:rPr>
                <w:b/>
                <w:sz w:val="20"/>
                <w:szCs w:val="20"/>
              </w:rPr>
            </w:pPr>
            <w:r>
              <w:rPr>
                <w:b/>
                <w:sz w:val="20"/>
                <w:szCs w:val="20"/>
              </w:rPr>
              <w:t xml:space="preserve">Комиссия не взимается:</w:t>
            </w:r>
            <w:r>
              <w:rPr>
                <w:b/>
                <w:sz w:val="20"/>
                <w:szCs w:val="20"/>
              </w:rPr>
            </w:r>
            <w:r>
              <w:rPr>
                <w:b/>
                <w:sz w:val="20"/>
                <w:szCs w:val="20"/>
              </w:rPr>
            </w:r>
          </w:p>
          <w:p>
            <w:pPr>
              <w:pStyle w:val="117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7"/>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7"/>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7"/>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7"/>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7"/>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7"/>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7"/>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7"/>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7"/>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7"/>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7"/>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7"/>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7"/>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7"/>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7"/>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7"/>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7"/>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7"/>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7"/>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7"/>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7"/>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7"/>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7"/>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7"/>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7"/>
        <w:jc w:val="both"/>
        <w:spacing w:before="120"/>
        <w:rPr>
          <w:sz w:val="20"/>
          <w:szCs w:val="20"/>
        </w:rPr>
      </w:pPr>
      <w:r>
        <w:rPr>
          <w:sz w:val="20"/>
          <w:szCs w:val="20"/>
        </w:rPr>
      </w:r>
      <w:r>
        <w:rPr>
          <w:sz w:val="20"/>
          <w:szCs w:val="20"/>
        </w:rPr>
      </w:r>
      <w:r>
        <w:rPr>
          <w:sz w:val="20"/>
          <w:szCs w:val="20"/>
        </w:rPr>
      </w:r>
    </w:p>
    <w:p>
      <w:pPr>
        <w:pStyle w:val="1177"/>
      </w:pPr>
      <w:r/>
      <w:r/>
    </w:p>
    <w:p>
      <w:pPr>
        <w:pStyle w:val="1177"/>
      </w:pPr>
      <w:r>
        <w:rPr>
          <w:rFonts w:eastAsia="Calibri"/>
          <w:sz w:val="20"/>
          <w:szCs w:val="20"/>
          <w:lang w:eastAsia="en-US"/>
        </w:rPr>
        <w:t xml:space="preserve">        </w:t>
      </w:r>
      <w:r/>
    </w:p>
    <w:p>
      <w:pPr>
        <w:pStyle w:val="1181"/>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7"/>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7"/>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7"/>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7"/>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7"/>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7"/>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7"/>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7"/>
      </w:pPr>
      <w:r/>
      <w:r/>
    </w:p>
    <w:p>
      <w:pPr>
        <w:pStyle w:val="1181"/>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sz w:val="20"/>
                <w:szCs w:val="20"/>
              </w:rPr>
            </w:pPr>
            <w:r>
              <w:rPr>
                <w:bCs/>
                <w:sz w:val="20"/>
                <w:szCs w:val="20"/>
              </w:rPr>
              <w:t xml:space="preserve">максимум 50 000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7"/>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7"/>
        <w:rPr>
          <w:lang w:eastAsia="en-US"/>
        </w:rPr>
      </w:pPr>
      <w:r>
        <w:rPr>
          <w:lang w:eastAsia="en-US"/>
        </w:rPr>
      </w:r>
      <w:r>
        <w:rPr>
          <w:lang w:eastAsia="en-US"/>
        </w:rPr>
      </w:r>
      <w:r>
        <w:rPr>
          <w:lang w:eastAsia="en-US"/>
        </w:rPr>
      </w:r>
    </w:p>
    <w:p>
      <w:pPr>
        <w:pStyle w:val="1177"/>
      </w:pPr>
      <w:r/>
      <w:r/>
    </w:p>
    <w:p>
      <w:pPr>
        <w:pStyle w:val="1177"/>
        <w:rPr>
          <w:sz w:val="20"/>
          <w:szCs w:val="20"/>
        </w:rPr>
      </w:pPr>
      <w:r>
        <w:rPr>
          <w:sz w:val="20"/>
          <w:szCs w:val="20"/>
        </w:rPr>
      </w:r>
      <w:r>
        <w:rPr>
          <w:sz w:val="20"/>
          <w:szCs w:val="20"/>
        </w:rPr>
      </w:r>
      <w:r>
        <w:rPr>
          <w:sz w:val="20"/>
          <w:szCs w:val="20"/>
        </w:rPr>
      </w:r>
    </w:p>
    <w:p>
      <w:pPr>
        <w:pStyle w:val="1181"/>
      </w:pPr>
      <w:r/>
      <w:bookmarkStart w:id="7" w:name="_Toc446937099"/>
      <w:r>
        <w:t xml:space="preserve">6.</w:t>
      </w:r>
      <w:r>
        <w:t xml:space="preserve"> </w:t>
      </w:r>
      <w:r>
        <w:t xml:space="preserve">Гарантийные</w:t>
      </w:r>
      <w:r>
        <w:t xml:space="preserve"> </w:t>
      </w:r>
      <w:r>
        <w:t xml:space="preserve">операции</w:t>
      </w:r>
      <w:bookmarkEnd w:id="7"/>
      <w:r/>
      <w:r/>
    </w:p>
    <w:p>
      <w:pPr>
        <w:pStyle w:val="1177"/>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6.2.2.</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7"/>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7"/>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7"/>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7 500 руб.</w:t>
            </w:r>
            <w:r>
              <w:rPr>
                <w:bCs/>
                <w:sz w:val="20"/>
                <w:szCs w:val="20"/>
              </w:rPr>
            </w:r>
            <w:r>
              <w:rPr>
                <w:bCs/>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3 500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2 500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7"/>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7"/>
        <w:rPr>
          <w:sz w:val="20"/>
          <w:szCs w:val="20"/>
        </w:rPr>
      </w:pPr>
      <w:r>
        <w:rPr>
          <w:sz w:val="20"/>
          <w:szCs w:val="20"/>
        </w:rPr>
      </w:r>
      <w:r>
        <w:rPr>
          <w:sz w:val="20"/>
          <w:szCs w:val="20"/>
        </w:rPr>
      </w:r>
      <w:r>
        <w:rPr>
          <w:sz w:val="20"/>
          <w:szCs w:val="20"/>
        </w:rPr>
      </w:r>
    </w:p>
    <w:p>
      <w:pPr>
        <w:pStyle w:val="1181"/>
      </w:pPr>
      <w:r/>
      <w:bookmarkStart w:id="8" w:name="_Toc315277219"/>
      <w:r/>
      <w:bookmarkStart w:id="9" w:name="_Toc446937100"/>
      <w:r/>
      <w:r/>
    </w:p>
    <w:p>
      <w:pPr>
        <w:pStyle w:val="1181"/>
      </w:pPr>
      <w:r/>
      <w:r/>
    </w:p>
    <w:p>
      <w:pPr>
        <w:pStyle w:val="1181"/>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7"/>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7"/>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sz w:val="20"/>
                <w:szCs w:val="20"/>
              </w:rPr>
            </w:pPr>
            <w:r>
              <w:rPr>
                <w:sz w:val="20"/>
                <w:szCs w:val="20"/>
              </w:rPr>
            </w:r>
            <w:r>
              <w:rPr>
                <w:sz w:val="20"/>
                <w:szCs w:val="20"/>
              </w:rPr>
            </w:r>
            <w:r>
              <w:rPr>
                <w:sz w:val="20"/>
                <w:szCs w:val="20"/>
              </w:rPr>
            </w:r>
          </w:p>
          <w:p>
            <w:pPr>
              <w:pStyle w:val="1177"/>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7"/>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sz w:val="20"/>
                <w:szCs w:val="20"/>
              </w:rPr>
            </w:pPr>
            <w:r>
              <w:rPr>
                <w:sz w:val="20"/>
                <w:szCs w:val="20"/>
              </w:rPr>
            </w:r>
            <w:r>
              <w:rPr>
                <w:sz w:val="20"/>
                <w:szCs w:val="20"/>
              </w:rPr>
            </w:r>
            <w:r>
              <w:rPr>
                <w:sz w:val="20"/>
                <w:szCs w:val="20"/>
              </w:rPr>
            </w:r>
          </w:p>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7"/>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7"/>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7"/>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7"/>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2000 руб. </w:t>
            </w:r>
            <w:r>
              <w:rPr>
                <w:bCs/>
                <w:sz w:val="20"/>
                <w:szCs w:val="20"/>
              </w:rPr>
            </w:r>
            <w:r>
              <w:rPr>
                <w:bCs/>
                <w:sz w:val="20"/>
                <w:szCs w:val="20"/>
              </w:rPr>
            </w:r>
          </w:p>
          <w:p>
            <w:pPr>
              <w:pStyle w:val="117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7"/>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7"/>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7"/>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7"/>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7"/>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7"/>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7"/>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7"/>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7"/>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7"/>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7"/>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7"/>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7"/>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119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7"/>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7"/>
        <w:jc w:val="both"/>
        <w:rPr>
          <w:sz w:val="20"/>
          <w:szCs w:val="20"/>
        </w:rPr>
      </w:pPr>
      <w:r>
        <w:rPr>
          <w:sz w:val="20"/>
          <w:szCs w:val="20"/>
        </w:rPr>
        <w:t xml:space="preserve">** Срок действия – с 23.03.2018 по 06.03.2019 включительно</w:t>
      </w:r>
      <w:r>
        <w:rPr>
          <w:sz w:val="20"/>
          <w:szCs w:val="20"/>
        </w:rPr>
      </w:r>
      <w:r>
        <w:rPr>
          <w:sz w:val="20"/>
          <w:szCs w:val="20"/>
        </w:rPr>
      </w:r>
    </w:p>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7"/>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7"/>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7"/>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7"/>
      </w:pPr>
      <w:r/>
      <w:r/>
    </w:p>
    <w:p>
      <w:pPr>
        <w:pStyle w:val="1181"/>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
    </w:p>
    <w:p>
      <w:pPr>
        <w:pStyle w:val="117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7"/>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7"/>
      </w:pPr>
      <w:r/>
      <w:r/>
    </w:p>
    <w:p>
      <w:pPr>
        <w:pStyle w:val="1181"/>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7"/>
      </w:pPr>
      <w:r/>
      <w:r/>
    </w:p>
    <w:p>
      <w:pPr>
        <w:pStyle w:val="1181"/>
      </w:pPr>
      <w:r/>
      <w:bookmarkStart w:id="13" w:name="_Toc446937103"/>
      <w:r/>
      <w:r/>
    </w:p>
    <w:p>
      <w:pPr>
        <w:pStyle w:val="1181"/>
      </w:pPr>
      <w:r>
        <w:t xml:space="preserve">10.</w:t>
      </w:r>
      <w:r>
        <w:t xml:space="preserve"> </w:t>
      </w:r>
      <w:r>
        <w:t xml:space="preserve">Услуги</w:t>
      </w:r>
      <w:r>
        <w:t xml:space="preserve"> </w:t>
      </w:r>
      <w:r>
        <w:t xml:space="preserve">инкассации</w:t>
      </w:r>
      <w:r>
        <w:t xml:space="preserve"> </w:t>
      </w:r>
      <w:bookmarkEnd w:id="13"/>
      <w:r/>
      <w:r/>
    </w:p>
    <w:p>
      <w:pPr>
        <w:pStyle w:val="1177"/>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7"/>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7"/>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7"/>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7"/>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7"/>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7"/>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7"/>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7"/>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7"/>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7"/>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7"/>
      </w:pPr>
      <w:r/>
      <w:r/>
    </w:p>
    <w:p>
      <w:pPr>
        <w:pStyle w:val="1181"/>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7"/>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7"/>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7"/>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7"/>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7"/>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7"/>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7"/>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7"/>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7"/>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7"/>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7"/>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7"/>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7"/>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7"/>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7"/>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7"/>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7"/>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7"/>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7"/>
        <w:rPr>
          <w:lang w:val="en-US" w:eastAsia="en-US"/>
        </w:rPr>
      </w:pPr>
      <w:r>
        <w:rPr>
          <w:lang w:val="en-US" w:eastAsia="en-US"/>
        </w:rPr>
      </w:r>
      <w:r>
        <w:rPr>
          <w:lang w:val="en-US" w:eastAsia="en-US"/>
        </w:rPr>
      </w:r>
      <w:r>
        <w:rPr>
          <w:lang w:val="en-US" w:eastAsia="en-US"/>
        </w:rPr>
      </w:r>
    </w:p>
    <w:p>
      <w:pPr>
        <w:pStyle w:val="1177"/>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 </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1"/>
                <w:sz w:val="20"/>
                <w:szCs w:val="20"/>
              </w:rPr>
              <w:footnoteReference w:id="3"/>
            </w:r>
            <w:r>
              <w:rPr>
                <w:sz w:val="20"/>
                <w:szCs w:val="20"/>
              </w:rPr>
              <w:t xml:space="preserve"> со дня, следующего за: </w:t>
            </w:r>
            <w:r>
              <w:rPr>
                <w:sz w:val="20"/>
                <w:szCs w:val="20"/>
              </w:rPr>
            </w:r>
            <w:r>
              <w:rPr>
                <w:sz w:val="20"/>
                <w:szCs w:val="20"/>
              </w:rPr>
            </w:r>
          </w:p>
          <w:p>
            <w:pPr>
              <w:pStyle w:val="117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25"/>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1"/>
                <w:sz w:val="20"/>
                <w:szCs w:val="20"/>
              </w:rPr>
              <w:footnoteReference w:id="4"/>
            </w:r>
            <w:r>
              <w:rPr>
                <w:bCs/>
                <w:sz w:val="20"/>
                <w:szCs w:val="20"/>
              </w:rPr>
            </w:r>
            <w:r>
              <w:rPr>
                <w:bCs/>
                <w:sz w:val="20"/>
                <w:szCs w:val="20"/>
              </w:rPr>
            </w:r>
          </w:p>
          <w:p>
            <w:pPr>
              <w:pStyle w:val="117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t xml:space="preserve">Не более </w:t>
            </w:r>
            <w:r>
              <w:rPr>
                <w:sz w:val="20"/>
                <w:szCs w:val="20"/>
              </w:rPr>
            </w:r>
            <w:r>
              <w:rPr>
                <w:sz w:val="20"/>
                <w:szCs w:val="20"/>
              </w:rPr>
            </w:r>
          </w:p>
          <w:p>
            <w:pPr>
              <w:pStyle w:val="1177"/>
              <w:ind w:left="72"/>
              <w:jc w:val="center"/>
              <w:spacing w:before="40"/>
              <w:rPr>
                <w:sz w:val="20"/>
                <w:szCs w:val="20"/>
              </w:rPr>
            </w:pPr>
            <w:r>
              <w:rPr>
                <w:sz w:val="20"/>
                <w:szCs w:val="20"/>
              </w:rPr>
              <w:t xml:space="preserve">1% годовых</w:t>
            </w:r>
            <w:r>
              <w:rPr>
                <w:sz w:val="20"/>
                <w:szCs w:val="20"/>
              </w:rPr>
            </w:r>
            <w:r>
              <w:rPr>
                <w:sz w:val="20"/>
                <w:szCs w:val="20"/>
              </w:rPr>
            </w:r>
          </w:p>
          <w:p>
            <w:pPr>
              <w:pStyle w:val="1177"/>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rPr>
                <w:sz w:val="20"/>
                <w:szCs w:val="20"/>
              </w:rPr>
            </w:pPr>
            <w:r>
              <w:rPr>
                <w:sz w:val="20"/>
                <w:szCs w:val="20"/>
              </w:rPr>
              <w:t xml:space="preserve">При изменении:</w:t>
            </w:r>
            <w:r>
              <w:rPr>
                <w:sz w:val="20"/>
                <w:szCs w:val="20"/>
              </w:rPr>
            </w:r>
            <w:r>
              <w:rPr>
                <w:sz w:val="20"/>
                <w:szCs w:val="20"/>
              </w:rPr>
            </w:r>
          </w:p>
          <w:p>
            <w:pPr>
              <w:pStyle w:val="117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7"/>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t xml:space="preserve">Не более</w:t>
            </w:r>
            <w:r>
              <w:rPr>
                <w:sz w:val="20"/>
                <w:szCs w:val="20"/>
              </w:rPr>
            </w:r>
            <w:r>
              <w:rPr>
                <w:sz w:val="20"/>
                <w:szCs w:val="20"/>
              </w:rPr>
            </w:r>
          </w:p>
          <w:p>
            <w:pPr>
              <w:pStyle w:val="1177"/>
              <w:ind w:left="74"/>
              <w:jc w:val="center"/>
              <w:spacing w:before="40"/>
              <w:rPr>
                <w:sz w:val="20"/>
                <w:szCs w:val="20"/>
              </w:rPr>
            </w:pPr>
            <w:r>
              <w:rPr>
                <w:sz w:val="20"/>
                <w:szCs w:val="20"/>
              </w:rPr>
              <w:t xml:space="preserve">1,5% годовых</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0,2% от суммы, </w:t>
            </w:r>
            <w:r>
              <w:rPr>
                <w:sz w:val="20"/>
                <w:szCs w:val="20"/>
              </w:rPr>
            </w:r>
            <w:r>
              <w:rPr>
                <w:sz w:val="20"/>
                <w:szCs w:val="20"/>
              </w:rPr>
            </w:r>
          </w:p>
          <w:p>
            <w:pPr>
              <w:pStyle w:val="1177"/>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bl>
    <w:p>
      <w:pPr>
        <w:pStyle w:val="1177"/>
        <w:ind w:left="284"/>
        <w:jc w:val="both"/>
        <w:rPr>
          <w:bCs/>
          <w:sz w:val="20"/>
          <w:szCs w:val="20"/>
        </w:rPr>
      </w:pPr>
      <w:r>
        <w:rPr>
          <w:bCs/>
          <w:sz w:val="20"/>
          <w:szCs w:val="20"/>
        </w:rPr>
      </w:r>
      <w:r>
        <w:rPr>
          <w:bCs/>
          <w:sz w:val="20"/>
          <w:szCs w:val="20"/>
        </w:rPr>
      </w:r>
      <w:r>
        <w:rPr>
          <w:bCs/>
          <w:sz w:val="20"/>
          <w:szCs w:val="20"/>
        </w:rPr>
      </w:r>
    </w:p>
    <w:p>
      <w:pPr>
        <w:pStyle w:val="117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7"/>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bCs/>
          <w:iCs/>
          <w:sz w:val="20"/>
          <w:szCs w:val="20"/>
          <w:highlight w:val="none"/>
        </w:rPr>
      </w:r>
      <w:r>
        <w:rPr>
          <w:bCs/>
          <w:iCs/>
          <w:sz w:val="20"/>
          <w:szCs w:val="20"/>
          <w:highlight w:val="none"/>
        </w:rPr>
      </w:r>
    </w:p>
    <w:p>
      <w:pPr>
        <w:pStyle w:val="1177"/>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7"/>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177"/>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17</w:t>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77"/>
        <w:jc w:val="both"/>
        <w:rPr>
          <w:bCs/>
          <w:iCs/>
          <w:sz w:val="20"/>
          <w:szCs w:val="20"/>
        </w:rPr>
        <w:outlineLvl w:val="5"/>
      </w:pPr>
      <w:r>
        <w:rPr>
          <w:bCs/>
          <w:iCs/>
          <w:sz w:val="20"/>
          <w:szCs w:val="20"/>
        </w:rPr>
      </w:r>
      <w:r>
        <w:rPr>
          <w:bCs/>
          <w:iCs/>
          <w:sz w:val="20"/>
          <w:szCs w:val="20"/>
        </w:rPr>
      </w:r>
      <w:r>
        <w:rPr>
          <w:bCs/>
          <w:iCs/>
          <w:sz w:val="20"/>
          <w:szCs w:val="20"/>
        </w:rPr>
      </w:r>
    </w:p>
    <w:p>
      <w:pPr>
        <w:pStyle w:val="1177"/>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iCs/>
          <w:sz w:val="20"/>
          <w:szCs w:val="20"/>
          <w:highlight w:val="none"/>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pPr>
      <w:r/>
      <w:r/>
    </w:p>
    <w:p>
      <w:pPr>
        <w:pStyle w:val="1181"/>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7"/>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7"/>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7"/>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7"/>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b/>
                <w:sz w:val="20"/>
                <w:szCs w:val="20"/>
              </w:rPr>
            </w:pPr>
            <w:r>
              <w:rPr>
                <w:b/>
                <w:sz w:val="20"/>
                <w:szCs w:val="20"/>
              </w:rPr>
            </w:r>
            <w:r>
              <w:rPr>
                <w:b/>
                <w:sz w:val="20"/>
                <w:szCs w:val="20"/>
              </w:rPr>
            </w:r>
            <w:r>
              <w:rPr>
                <w:b/>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7"/>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7"/>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7"/>
      </w:pPr>
      <w:r/>
      <w:r/>
    </w:p>
    <w:p>
      <w:pPr>
        <w:pStyle w:val="1181"/>
      </w:pPr>
      <w:r>
        <w:t xml:space="preserve">14.</w:t>
      </w:r>
      <w:r>
        <w:t xml:space="preserve"> </w:t>
      </w:r>
      <w:r>
        <w:t xml:space="preserve">Депозитарные</w:t>
      </w:r>
      <w:r>
        <w:t xml:space="preserve"> </w:t>
      </w:r>
      <w:r>
        <w:t xml:space="preserve">услуги</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77"/>
              <w:jc w:val="center"/>
              <w:rPr>
                <w:b/>
                <w:sz w:val="20"/>
                <w:szCs w:val="20"/>
              </w:rPr>
            </w:pPr>
            <w:r>
              <w:rPr>
                <w:b/>
                <w:sz w:val="20"/>
                <w:szCs w:val="20"/>
              </w:rPr>
            </w:r>
            <w:r>
              <w:rPr>
                <w:b/>
                <w:sz w:val="20"/>
                <w:szCs w:val="20"/>
              </w:rPr>
            </w:r>
            <w:r>
              <w:rPr>
                <w:b/>
                <w:sz w:val="20"/>
                <w:szCs w:val="20"/>
              </w:rPr>
            </w:r>
          </w:p>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3"/>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r>
            <w:r>
              <w:rPr>
                <w:sz w:val="20"/>
                <w:szCs w:val="20"/>
              </w:rPr>
            </w:r>
          </w:p>
        </w:tc>
        <w:tc>
          <w:tcPr>
            <w:gridSpan w:val="6"/>
            <w:tcW w:w="9497" w:type="dxa"/>
            <w:vAlign w:val="top"/>
            <w:textDirection w:val="lrTb"/>
            <w:noWrap w:val="false"/>
          </w:tcPr>
          <w:p>
            <w:pPr>
              <w:pStyle w:val="1177"/>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Открытие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7"/>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14.1.2.</w:t>
            </w:r>
            <w:r>
              <w:rPr>
                <w:sz w:val="20"/>
                <w:szCs w:val="20"/>
              </w:rPr>
            </w:r>
            <w:r>
              <w:rPr>
                <w:sz w:val="20"/>
                <w:szCs w:val="20"/>
              </w:rPr>
            </w:r>
          </w:p>
        </w:tc>
        <w:tc>
          <w:tcPr>
            <w:tcW w:w="3969" w:type="dxa"/>
            <w:vAlign w:val="top"/>
            <w:textDirection w:val="lrTb"/>
            <w:noWrap w:val="false"/>
          </w:tcPr>
          <w:p>
            <w:pPr>
              <w:pStyle w:val="1177"/>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Ведение счета депо</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3543"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 </w:t>
            </w:r>
            <w:r>
              <w:rPr>
                <w:sz w:val="20"/>
                <w:szCs w:val="20"/>
              </w:rPr>
            </w:r>
            <w:r>
              <w:rPr>
                <w:sz w:val="20"/>
                <w:szCs w:val="20"/>
              </w:rPr>
            </w:r>
          </w:p>
        </w:tc>
        <w:tc>
          <w:tcPr>
            <w:tcW w:w="3969" w:type="dxa"/>
            <w:vAlign w:val="top"/>
            <w:textDirection w:val="lrTb"/>
            <w:noWrap w:val="false"/>
          </w:tcPr>
          <w:p>
            <w:pPr>
              <w:pStyle w:val="1177"/>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7"/>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7"/>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14.2.4.</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14.2.5.</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354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14.2.6.</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14.2.7.</w:t>
            </w:r>
            <w:r>
              <w:rPr>
                <w:sz w:val="20"/>
                <w:szCs w:val="20"/>
              </w:rPr>
            </w:r>
            <w:r>
              <w:rPr>
                <w:sz w:val="20"/>
                <w:szCs w:val="20"/>
              </w:rPr>
            </w:r>
          </w:p>
        </w:tc>
        <w:tc>
          <w:tcPr>
            <w:gridSpan w:val="6"/>
            <w:tcW w:w="9497" w:type="dxa"/>
            <w:vAlign w:val="top"/>
            <w:textDirection w:val="lrTb"/>
            <w:noWrap w:val="false"/>
          </w:tcPr>
          <w:p>
            <w:pPr>
              <w:pStyle w:val="1177"/>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7"/>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1475" w:type="dxa"/>
            <w:vAlign w:val="center"/>
            <w:textDirection w:val="lrTb"/>
            <w:noWrap w:val="false"/>
          </w:tcPr>
          <w:p>
            <w:pPr>
              <w:pStyle w:val="1177"/>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7"/>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688" w:type="dxa"/>
            <w:vAlign w:val="top"/>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77"/>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center"/>
            <w:vMerge w:val="restart"/>
            <w:textDirection w:val="lrTb"/>
            <w:noWrap w:val="false"/>
          </w:tcPr>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7"/>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969" w:type="dxa"/>
            <w:vAlign w:val="top"/>
            <w:vMerge w:val="restart"/>
            <w:textDirection w:val="lrTb"/>
            <w:noWrap w:val="false"/>
          </w:tcPr>
          <w:p>
            <w:pPr>
              <w:pStyle w:val="1177"/>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1475"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759"/>
        </w:trPr>
        <w:tc>
          <w:tcPr>
            <w:tcW w:w="993" w:type="dxa"/>
            <w:vAlign w:val="top"/>
            <w:textDirection w:val="lrTb"/>
            <w:noWrap w:val="false"/>
          </w:tcPr>
          <w:p>
            <w:pPr>
              <w:pStyle w:val="1177"/>
              <w:jc w:val="center"/>
              <w:rPr>
                <w:sz w:val="20"/>
                <w:szCs w:val="20"/>
              </w:rPr>
            </w:pPr>
            <w:r>
              <w:rPr>
                <w:sz w:val="20"/>
                <w:szCs w:val="20"/>
              </w:rPr>
              <w:t xml:space="preserve">14.2.7.3.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037"/>
        </w:trPr>
        <w:tc>
          <w:tcPr>
            <w:tcW w:w="993" w:type="dxa"/>
            <w:vAlign w:val="top"/>
            <w:textDirection w:val="lrTb"/>
            <w:noWrap w:val="false"/>
          </w:tcPr>
          <w:p>
            <w:pPr>
              <w:pStyle w:val="1177"/>
              <w:jc w:val="center"/>
              <w:spacing w:before="40" w:after="40"/>
              <w:rPr>
                <w:bCs/>
                <w:sz w:val="20"/>
                <w:szCs w:val="20"/>
              </w:rPr>
            </w:pPr>
            <w:r>
              <w:rPr>
                <w:bCs/>
                <w:sz w:val="20"/>
                <w:szCs w:val="20"/>
              </w:rPr>
              <w:t xml:space="preserve">14.2.7.4.</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81"/>
        </w:trPr>
        <w:tc>
          <w:tcPr>
            <w:tcW w:w="993" w:type="dxa"/>
            <w:vAlign w:val="top"/>
            <w:textDirection w:val="lrTb"/>
            <w:noWrap w:val="false"/>
          </w:tcPr>
          <w:p>
            <w:pPr>
              <w:pStyle w:val="1177"/>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53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490" w:type="dxa"/>
            <w:vAlign w:val="top"/>
            <w:textDirection w:val="lrTb"/>
            <w:noWrap w:val="false"/>
          </w:tcPr>
          <w:p>
            <w:pPr>
              <w:pStyle w:val="1177"/>
              <w:jc w:val="center"/>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tc>
        <w:tc>
          <w:tcPr>
            <w:tcW w:w="0" w:type="auto"/>
            <w:vAlign w:val="top"/>
            <w:textDirection w:val="lrTb"/>
            <w:noWrap w:val="false"/>
          </w:tcPr>
          <w:p>
            <w:pPr>
              <w:pStyle w:val="117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14.3.1.</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14.3.2.</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14.3.3.</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14.3.4.</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14.4.1.</w:t>
            </w:r>
            <w:r>
              <w:rPr>
                <w:sz w:val="20"/>
                <w:szCs w:val="20"/>
              </w:rPr>
            </w:r>
            <w:r>
              <w:rPr>
                <w:sz w:val="20"/>
                <w:szCs w:val="20"/>
              </w:rPr>
            </w:r>
          </w:p>
        </w:tc>
        <w:tc>
          <w:tcPr>
            <w:tcW w:w="3969" w:type="dxa"/>
            <w:vAlign w:val="top"/>
            <w:textDirection w:val="lrTb"/>
            <w:noWrap w:val="false"/>
          </w:tcPr>
          <w:p>
            <w:pPr>
              <w:pStyle w:val="1177"/>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14.4.3.</w:t>
            </w:r>
            <w:r>
              <w:rPr>
                <w:sz w:val="20"/>
                <w:szCs w:val="20"/>
              </w:rPr>
            </w:r>
            <w:r>
              <w:rPr>
                <w:sz w:val="20"/>
                <w:szCs w:val="20"/>
              </w:rPr>
            </w:r>
          </w:p>
        </w:tc>
        <w:tc>
          <w:tcPr>
            <w:tcW w:w="3969" w:type="dxa"/>
            <w:vAlign w:val="top"/>
            <w:textDirection w:val="lrTb"/>
            <w:noWrap w:val="false"/>
          </w:tcPr>
          <w:p>
            <w:pPr>
              <w:pStyle w:val="1177"/>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14.4.4.</w:t>
            </w:r>
            <w:r>
              <w:rPr>
                <w:sz w:val="20"/>
                <w:szCs w:val="20"/>
              </w:rPr>
            </w:r>
            <w:r>
              <w:rPr>
                <w:sz w:val="20"/>
                <w:szCs w:val="20"/>
              </w:rPr>
            </w:r>
          </w:p>
        </w:tc>
        <w:tc>
          <w:tcPr>
            <w:shd w:val="clear" w:color="auto" w:fill="ffffff"/>
            <w:tcW w:w="3969" w:type="dxa"/>
            <w:vAlign w:val="top"/>
            <w:textDirection w:val="lrTb"/>
            <w:noWrap w:val="false"/>
          </w:tcPr>
          <w:p>
            <w:pPr>
              <w:pStyle w:val="1177"/>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77"/>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3543" w:type="dxa"/>
            <w:vAlign w:val="top"/>
            <w:textDirection w:val="lrTb"/>
            <w:noWrap w:val="false"/>
          </w:tcPr>
          <w:p>
            <w:pPr>
              <w:pStyle w:val="1177"/>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14.4.5.</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100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14.4.6.</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14.4.7.</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300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14.4.8.</w:t>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77"/>
              <w:jc w:val="center"/>
              <w:rPr>
                <w:sz w:val="20"/>
                <w:szCs w:val="20"/>
              </w:rPr>
            </w:pPr>
            <w:r>
              <w:rPr>
                <w:sz w:val="20"/>
                <w:szCs w:val="20"/>
              </w:rPr>
              <w:t xml:space="preserve">0,1% от суммы сделки</w:t>
            </w:r>
            <w:r>
              <w:rPr>
                <w:sz w:val="20"/>
                <w:szCs w:val="20"/>
              </w:rPr>
            </w:r>
            <w:r>
              <w:rPr>
                <w:sz w:val="20"/>
                <w:szCs w:val="20"/>
              </w:rPr>
            </w:r>
          </w:p>
          <w:p>
            <w:pPr>
              <w:pStyle w:val="1177"/>
              <w:jc w:val="center"/>
              <w:rPr>
                <w:sz w:val="20"/>
                <w:szCs w:val="20"/>
              </w:rPr>
            </w:pPr>
            <w:r>
              <w:rPr>
                <w:sz w:val="20"/>
                <w:szCs w:val="20"/>
              </w:rPr>
              <w:t xml:space="preserve">Макс 5000руб.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1985" w:type="dxa"/>
            <w:vAlign w:val="center"/>
            <w:vMerge w:val="restart"/>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9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6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77"/>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0"/>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25"/>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1985"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735"/>
        </w:trPr>
        <w:tc>
          <w:tcPr>
            <w:tcBorders>
              <w:bottom w:val="single" w:color="000000" w:sz="4" w:space="0"/>
            </w:tcBorders>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77"/>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105"/>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3543"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7"/>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none" w:color="000000" w:sz="4" w:space="0"/>
            </w:tcBorders>
            <w:tcW w:w="993" w:type="dxa"/>
            <w:vAlign w:val="top"/>
            <w:textDirection w:val="lrTb"/>
            <w:noWrap w:val="false"/>
          </w:tcPr>
          <w:p>
            <w:pPr>
              <w:pStyle w:val="117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7"/>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7"/>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3543"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14.6.7.</w:t>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7"/>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14.7.1.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225"/>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14.8.1.</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14.8.2.</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14.8.3.</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7"/>
              <w:jc w:val="center"/>
              <w:rPr>
                <w:sz w:val="20"/>
                <w:szCs w:val="20"/>
              </w:rPr>
            </w:pPr>
            <w:r>
              <w:rPr>
                <w:sz w:val="20"/>
                <w:szCs w:val="20"/>
              </w:rPr>
              <w:t xml:space="preserve">14.8.4.</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1985" w:type="dxa"/>
            <w:vAlign w:val="top"/>
            <w:textDirection w:val="lrTb"/>
            <w:noWrap w:val="false"/>
          </w:tcPr>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14.8.5.</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7"/>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rFonts w:eastAsia="Calibri"/>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77"/>
              <w:jc w:val="center"/>
              <w:spacing w:before="40" w:after="40"/>
              <w:rPr>
                <w:sz w:val="20"/>
                <w:szCs w:val="20"/>
              </w:rPr>
            </w:pPr>
            <w:r>
              <w:rPr>
                <w:sz w:val="20"/>
                <w:szCs w:val="20"/>
              </w:rPr>
              <w:t xml:space="preserve">100 руб. за лист</w:t>
            </w:r>
            <w:r>
              <w:rPr>
                <w:sz w:val="20"/>
                <w:szCs w:val="20"/>
              </w:rPr>
            </w:r>
            <w:r>
              <w:rPr>
                <w:sz w:val="20"/>
                <w:szCs w:val="20"/>
              </w:rPr>
            </w:r>
          </w:p>
        </w:tc>
        <w:tc>
          <w:tcPr>
            <w:gridSpan w:val="3"/>
            <w:tcW w:w="3543" w:type="dxa"/>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7"/>
      </w:pPr>
      <w:r/>
      <w:r/>
    </w:p>
    <w:p>
      <w:pPr>
        <w:pStyle w:val="118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7"/>
              <w:rPr>
                <w:sz w:val="20"/>
                <w:szCs w:val="20"/>
              </w:rPr>
            </w:pPr>
            <w:r>
              <w:rPr>
                <w:sz w:val="20"/>
                <w:szCs w:val="20"/>
              </w:rPr>
              <w:t xml:space="preserve">Комиссия включает НДС»</w:t>
            </w:r>
            <w:r>
              <w:rPr>
                <w:sz w:val="20"/>
                <w:szCs w:val="20"/>
              </w:rPr>
            </w:r>
            <w:r>
              <w:rPr>
                <w:sz w:val="20"/>
                <w:szCs w:val="20"/>
              </w:rPr>
            </w:r>
          </w:p>
        </w:tc>
      </w:tr>
    </w:tbl>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7"/>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7"/>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01"/>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both"/>
        <w:rPr>
          <w:sz w:val="22"/>
          <w:szCs w:val="22"/>
        </w:rPr>
      </w:pPr>
      <w:r>
        <w:rPr>
          <w:sz w:val="22"/>
          <w:szCs w:val="22"/>
        </w:rPr>
      </w:r>
      <w:r>
        <w:rPr>
          <w:sz w:val="22"/>
          <w:szCs w:val="22"/>
        </w:rPr>
      </w:r>
      <w:r>
        <w:rPr>
          <w:sz w:val="22"/>
          <w:szCs w:val="22"/>
        </w:rPr>
      </w:r>
    </w:p>
    <w:p>
      <w:pPr>
        <w:pStyle w:val="1177"/>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bl>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both"/>
        <w:keepNext/>
        <w:spacing w:after="40"/>
        <w:tabs>
          <w:tab w:val="left" w:pos="284" w:leader="none"/>
        </w:tabs>
        <w:rPr>
          <w:sz w:val="20"/>
          <w:szCs w:val="20"/>
          <w:highlight w:val="none"/>
        </w:rPr>
        <w:outlineLvl w:val="1"/>
      </w:pPr>
      <w:r>
        <w:rPr>
          <w:sz w:val="20"/>
          <w:szCs w:val="20"/>
          <w:highlight w:val="none"/>
        </w:rPr>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rFonts w:ascii="Times New Roman" w:hAnsi="Times New Roman" w:eastAsia="Times New Roman"/>
          <w:sz w:val="24"/>
          <w:szCs w:val="24"/>
        </w:rPr>
      </w:r>
      <w:r>
        <w:rPr>
          <w:rFonts w:ascii="Times New Roman" w:hAnsi="Times New Roman" w:eastAsia="Times New Roman"/>
          <w:sz w:val="24"/>
          <w:szCs w:val="24"/>
        </w:rPr>
      </w:r>
    </w:p>
    <w:p>
      <w:pPr>
        <w:jc w:val="both"/>
        <w:spacing w:after="0" w:line="240" w:lineRule="auto"/>
        <w:rPr>
          <w:rFonts w:ascii="Times New Roman" w:hAnsi="Times New Roman" w:eastAsia="Times New Roman"/>
          <w:bCs/>
          <w:iCs/>
          <w:sz w:val="24"/>
          <w:szCs w:val="24"/>
        </w:rPr>
      </w:pPr>
      <w:r>
        <w:rPr>
          <w:rFonts w:ascii="Times New Roman" w:hAnsi="Times New Roman" w:eastAsia="Times New Roman"/>
          <w:bCs/>
          <w:iCs/>
          <w:sz w:val="20"/>
          <w:szCs w:val="20"/>
          <w:lang w:eastAsia="ru-RU"/>
        </w:rPr>
      </w:r>
      <w:r>
        <w:rPr>
          <w:rFonts w:ascii="Times New Roman" w:hAnsi="Times New Roman" w:eastAsia="Times New Roman"/>
          <w:bCs/>
          <w:iCs/>
          <w:sz w:val="24"/>
          <w:szCs w:val="24"/>
        </w:rPr>
      </w:r>
      <w:r>
        <w:rPr>
          <w:rFonts w:ascii="Times New Roman" w:hAnsi="Times New Roman" w:eastAsia="Times New Roman"/>
          <w:bCs/>
          <w:iCs/>
          <w:sz w:val="24"/>
          <w:szCs w:val="24"/>
        </w:rPr>
      </w:r>
    </w:p>
    <w:p>
      <w:pPr>
        <w:jc w:val="both"/>
        <w:keepNext/>
        <w:spacing w:after="40"/>
        <w:tabs>
          <w:tab w:val="left" w:pos="284" w:leader="none"/>
        </w:tabs>
        <w:rPr>
          <w:sz w:val="20"/>
          <w:szCs w:val="20"/>
          <w:highlight w:val="none"/>
        </w:rPr>
        <w:outlineLvl w:val="1"/>
      </w:pPr>
      <w:r>
        <w:rPr>
          <w:bCs/>
          <w:iCs/>
          <w:sz w:val="20"/>
          <w:szCs w:val="20"/>
          <w:highlight w:val="none"/>
        </w:rPr>
      </w:r>
      <w:r>
        <w:rPr>
          <w:sz w:val="20"/>
          <w:szCs w:val="20"/>
          <w:highlight w:val="none"/>
        </w:rPr>
      </w:r>
      <w:r>
        <w:rPr>
          <w:sz w:val="20"/>
          <w:szCs w:val="20"/>
          <w:highlight w:val="none"/>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ET">
    <w:panose1 w:val="02000603000000000000"/>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9"/>
        <w:jc w:val="both"/>
      </w:pPr>
      <w:r>
        <w:rPr>
          <w:rStyle w:val="1201"/>
        </w:rPr>
        <w:footnoteRef/>
      </w:r>
      <w:r>
        <w:rPr>
          <w:rStyle w:val="120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9"/>
        <w:rPr>
          <w:lang w:val="ru-RU"/>
        </w:rPr>
      </w:pPr>
      <w:r>
        <w:rPr>
          <w:lang w:val="ru-RU"/>
        </w:rPr>
      </w:r>
      <w:r>
        <w:rPr>
          <w:lang w:val="ru-RU"/>
        </w:rPr>
      </w:r>
      <w:r>
        <w:rPr>
          <w:lang w:val="ru-RU"/>
        </w:rPr>
      </w:r>
    </w:p>
  </w:footnote>
  <w:footnote w:id="5">
    <w:p>
      <w:pPr>
        <w:pStyle w:val="1199"/>
        <w:jc w:val="both"/>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9"/>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7"/>
        <w:ind w:right="-17"/>
        <w:jc w:val="both"/>
        <w:spacing w:before="40" w:after="40"/>
        <w:tabs>
          <w:tab w:val="left" w:pos="4464" w:leader="none"/>
          <w:tab w:val="left" w:pos="5760" w:leader="none"/>
        </w:tabs>
        <w:rPr>
          <w:sz w:val="20"/>
          <w:szCs w:val="20"/>
        </w:rPr>
      </w:pPr>
      <w:r>
        <w:rPr>
          <w:rStyle w:val="12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9"/>
        <w:rPr>
          <w:sz w:val="18"/>
          <w:szCs w:val="18"/>
          <w:lang w:val="ru-RU"/>
        </w:rPr>
      </w:pPr>
      <w:r>
        <w:rPr>
          <w:rStyle w:val="120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7"/>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9">
    <w:name w:val="Heading 1"/>
    <w:basedOn w:val="1177"/>
    <w:next w:val="1177"/>
    <w:link w:val="1000"/>
    <w:uiPriority w:val="9"/>
    <w:qFormat/>
    <w:pPr>
      <w:keepLines/>
      <w:keepNext/>
      <w:spacing w:before="480" w:after="200"/>
      <w:outlineLvl w:val="0"/>
    </w:pPr>
    <w:rPr>
      <w:rFonts w:ascii="Arial" w:hAnsi="Arial" w:eastAsia="Arial" w:cs="Arial"/>
      <w:sz w:val="40"/>
      <w:szCs w:val="40"/>
    </w:rPr>
  </w:style>
  <w:style w:type="character" w:styleId="1000">
    <w:name w:val="Heading 1 Char"/>
    <w:link w:val="999"/>
    <w:uiPriority w:val="9"/>
    <w:rPr>
      <w:rFonts w:ascii="Arial" w:hAnsi="Arial" w:eastAsia="Arial" w:cs="Arial"/>
      <w:sz w:val="40"/>
      <w:szCs w:val="40"/>
    </w:rPr>
  </w:style>
  <w:style w:type="paragraph" w:styleId="1001">
    <w:name w:val="Heading 2"/>
    <w:basedOn w:val="1177"/>
    <w:next w:val="1177"/>
    <w:link w:val="1002"/>
    <w:uiPriority w:val="9"/>
    <w:unhideWhenUsed/>
    <w:qFormat/>
    <w:pPr>
      <w:keepLines/>
      <w:keepNext/>
      <w:spacing w:before="360" w:after="200"/>
      <w:outlineLvl w:val="1"/>
    </w:pPr>
    <w:rPr>
      <w:rFonts w:ascii="Arial" w:hAnsi="Arial" w:eastAsia="Arial" w:cs="Arial"/>
      <w:sz w:val="34"/>
    </w:rPr>
  </w:style>
  <w:style w:type="character" w:styleId="1002">
    <w:name w:val="Heading 2 Char"/>
    <w:link w:val="1001"/>
    <w:uiPriority w:val="9"/>
    <w:rPr>
      <w:rFonts w:ascii="Arial" w:hAnsi="Arial" w:eastAsia="Arial" w:cs="Arial"/>
      <w:sz w:val="34"/>
    </w:rPr>
  </w:style>
  <w:style w:type="paragraph" w:styleId="1003">
    <w:name w:val="Heading 3"/>
    <w:basedOn w:val="1177"/>
    <w:next w:val="1177"/>
    <w:link w:val="1004"/>
    <w:uiPriority w:val="9"/>
    <w:unhideWhenUsed/>
    <w:qFormat/>
    <w:pPr>
      <w:keepLines/>
      <w:keepNext/>
      <w:spacing w:before="320" w:after="200"/>
      <w:outlineLvl w:val="2"/>
    </w:pPr>
    <w:rPr>
      <w:rFonts w:ascii="Arial" w:hAnsi="Arial" w:eastAsia="Arial" w:cs="Arial"/>
      <w:sz w:val="30"/>
      <w:szCs w:val="30"/>
    </w:rPr>
  </w:style>
  <w:style w:type="character" w:styleId="1004">
    <w:name w:val="Heading 3 Char"/>
    <w:link w:val="1003"/>
    <w:uiPriority w:val="9"/>
    <w:rPr>
      <w:rFonts w:ascii="Arial" w:hAnsi="Arial" w:eastAsia="Arial" w:cs="Arial"/>
      <w:sz w:val="30"/>
      <w:szCs w:val="30"/>
    </w:rPr>
  </w:style>
  <w:style w:type="paragraph" w:styleId="1005">
    <w:name w:val="Heading 4"/>
    <w:basedOn w:val="1177"/>
    <w:next w:val="1177"/>
    <w:link w:val="1006"/>
    <w:uiPriority w:val="9"/>
    <w:unhideWhenUsed/>
    <w:qFormat/>
    <w:pPr>
      <w:keepLines/>
      <w:keepNext/>
      <w:spacing w:before="320" w:after="200"/>
      <w:outlineLvl w:val="3"/>
    </w:pPr>
    <w:rPr>
      <w:rFonts w:ascii="Arial" w:hAnsi="Arial" w:eastAsia="Arial" w:cs="Arial"/>
      <w:b/>
      <w:bCs/>
      <w:sz w:val="26"/>
      <w:szCs w:val="26"/>
    </w:rPr>
  </w:style>
  <w:style w:type="character" w:styleId="1006">
    <w:name w:val="Heading 4 Char"/>
    <w:link w:val="1005"/>
    <w:uiPriority w:val="9"/>
    <w:rPr>
      <w:rFonts w:ascii="Arial" w:hAnsi="Arial" w:eastAsia="Arial" w:cs="Arial"/>
      <w:b/>
      <w:bCs/>
      <w:sz w:val="26"/>
      <w:szCs w:val="26"/>
    </w:rPr>
  </w:style>
  <w:style w:type="paragraph" w:styleId="1007">
    <w:name w:val="Heading 5"/>
    <w:basedOn w:val="1177"/>
    <w:next w:val="1177"/>
    <w:link w:val="1008"/>
    <w:uiPriority w:val="9"/>
    <w:unhideWhenUsed/>
    <w:qFormat/>
    <w:pPr>
      <w:keepLines/>
      <w:keepNext/>
      <w:spacing w:before="320" w:after="200"/>
      <w:outlineLvl w:val="4"/>
    </w:pPr>
    <w:rPr>
      <w:rFonts w:ascii="Arial" w:hAnsi="Arial" w:eastAsia="Arial" w:cs="Arial"/>
      <w:b/>
      <w:bCs/>
      <w:sz w:val="24"/>
      <w:szCs w:val="24"/>
    </w:rPr>
  </w:style>
  <w:style w:type="character" w:styleId="1008">
    <w:name w:val="Heading 5 Char"/>
    <w:link w:val="1007"/>
    <w:uiPriority w:val="9"/>
    <w:rPr>
      <w:rFonts w:ascii="Arial" w:hAnsi="Arial" w:eastAsia="Arial" w:cs="Arial"/>
      <w:b/>
      <w:bCs/>
      <w:sz w:val="24"/>
      <w:szCs w:val="24"/>
    </w:rPr>
  </w:style>
  <w:style w:type="paragraph" w:styleId="1009">
    <w:name w:val="Heading 6"/>
    <w:basedOn w:val="1177"/>
    <w:next w:val="1177"/>
    <w:link w:val="1010"/>
    <w:uiPriority w:val="9"/>
    <w:unhideWhenUsed/>
    <w:qFormat/>
    <w:pPr>
      <w:keepLines/>
      <w:keepNext/>
      <w:spacing w:before="320" w:after="200"/>
      <w:outlineLvl w:val="5"/>
    </w:pPr>
    <w:rPr>
      <w:rFonts w:ascii="Arial" w:hAnsi="Arial" w:eastAsia="Arial" w:cs="Arial"/>
      <w:b/>
      <w:bCs/>
      <w:sz w:val="22"/>
      <w:szCs w:val="22"/>
    </w:rPr>
  </w:style>
  <w:style w:type="character" w:styleId="1010">
    <w:name w:val="Heading 6 Char"/>
    <w:link w:val="1009"/>
    <w:uiPriority w:val="9"/>
    <w:rPr>
      <w:rFonts w:ascii="Arial" w:hAnsi="Arial" w:eastAsia="Arial" w:cs="Arial"/>
      <w:b/>
      <w:bCs/>
      <w:sz w:val="22"/>
      <w:szCs w:val="22"/>
    </w:rPr>
  </w:style>
  <w:style w:type="paragraph" w:styleId="1011">
    <w:name w:val="Heading 7"/>
    <w:basedOn w:val="1177"/>
    <w:next w:val="1177"/>
    <w:link w:val="1012"/>
    <w:uiPriority w:val="9"/>
    <w:unhideWhenUsed/>
    <w:qFormat/>
    <w:pPr>
      <w:keepLines/>
      <w:keepNext/>
      <w:spacing w:before="320" w:after="200"/>
      <w:outlineLvl w:val="6"/>
    </w:pPr>
    <w:rPr>
      <w:rFonts w:ascii="Arial" w:hAnsi="Arial" w:eastAsia="Arial" w:cs="Arial"/>
      <w:b/>
      <w:bCs/>
      <w:i/>
      <w:iCs/>
      <w:sz w:val="22"/>
      <w:szCs w:val="22"/>
    </w:rPr>
  </w:style>
  <w:style w:type="character" w:styleId="1012">
    <w:name w:val="Heading 7 Char"/>
    <w:link w:val="1011"/>
    <w:uiPriority w:val="9"/>
    <w:rPr>
      <w:rFonts w:ascii="Arial" w:hAnsi="Arial" w:eastAsia="Arial" w:cs="Arial"/>
      <w:b/>
      <w:bCs/>
      <w:i/>
      <w:iCs/>
      <w:sz w:val="22"/>
      <w:szCs w:val="22"/>
    </w:rPr>
  </w:style>
  <w:style w:type="paragraph" w:styleId="1013">
    <w:name w:val="Heading 8"/>
    <w:basedOn w:val="1177"/>
    <w:next w:val="1177"/>
    <w:link w:val="1014"/>
    <w:uiPriority w:val="9"/>
    <w:unhideWhenUsed/>
    <w:qFormat/>
    <w:pPr>
      <w:keepLines/>
      <w:keepNext/>
      <w:spacing w:before="320" w:after="200"/>
      <w:outlineLvl w:val="7"/>
    </w:pPr>
    <w:rPr>
      <w:rFonts w:ascii="Arial" w:hAnsi="Arial" w:eastAsia="Arial" w:cs="Arial"/>
      <w:i/>
      <w:iCs/>
      <w:sz w:val="22"/>
      <w:szCs w:val="22"/>
    </w:rPr>
  </w:style>
  <w:style w:type="character" w:styleId="1014">
    <w:name w:val="Heading 8 Char"/>
    <w:link w:val="1013"/>
    <w:uiPriority w:val="9"/>
    <w:rPr>
      <w:rFonts w:ascii="Arial" w:hAnsi="Arial" w:eastAsia="Arial" w:cs="Arial"/>
      <w:i/>
      <w:iCs/>
      <w:sz w:val="22"/>
      <w:szCs w:val="22"/>
    </w:rPr>
  </w:style>
  <w:style w:type="paragraph" w:styleId="1015">
    <w:name w:val="Heading 9"/>
    <w:basedOn w:val="1177"/>
    <w:next w:val="1177"/>
    <w:link w:val="1016"/>
    <w:uiPriority w:val="9"/>
    <w:unhideWhenUsed/>
    <w:qFormat/>
    <w:pPr>
      <w:keepLines/>
      <w:keepNext/>
      <w:spacing w:before="320" w:after="200"/>
      <w:outlineLvl w:val="8"/>
    </w:pPr>
    <w:rPr>
      <w:rFonts w:ascii="Arial" w:hAnsi="Arial" w:eastAsia="Arial" w:cs="Arial"/>
      <w:i/>
      <w:iCs/>
      <w:sz w:val="21"/>
      <w:szCs w:val="21"/>
    </w:rPr>
  </w:style>
  <w:style w:type="character" w:styleId="1016">
    <w:name w:val="Heading 9 Char"/>
    <w:link w:val="1015"/>
    <w:uiPriority w:val="9"/>
    <w:rPr>
      <w:rFonts w:ascii="Arial" w:hAnsi="Arial" w:eastAsia="Arial" w:cs="Arial"/>
      <w:i/>
      <w:iCs/>
      <w:sz w:val="21"/>
      <w:szCs w:val="21"/>
    </w:rPr>
  </w:style>
  <w:style w:type="paragraph" w:styleId="1017">
    <w:name w:val="List Paragraph"/>
    <w:basedOn w:val="1177"/>
    <w:uiPriority w:val="34"/>
    <w:qFormat/>
    <w:pPr>
      <w:contextualSpacing/>
      <w:ind w:left="720"/>
    </w:pPr>
  </w:style>
  <w:style w:type="paragraph" w:styleId="1018">
    <w:name w:val="No Spacing"/>
    <w:uiPriority w:val="1"/>
    <w:qFormat/>
    <w:pPr>
      <w:spacing w:before="0" w:after="0" w:line="240" w:lineRule="auto"/>
    </w:pPr>
  </w:style>
  <w:style w:type="paragraph" w:styleId="1019">
    <w:name w:val="Title"/>
    <w:basedOn w:val="1177"/>
    <w:next w:val="1177"/>
    <w:link w:val="1020"/>
    <w:uiPriority w:val="10"/>
    <w:qFormat/>
    <w:pPr>
      <w:contextualSpacing/>
      <w:spacing w:before="300" w:after="200"/>
    </w:pPr>
    <w:rPr>
      <w:sz w:val="48"/>
      <w:szCs w:val="48"/>
    </w:rPr>
  </w:style>
  <w:style w:type="character" w:styleId="1020">
    <w:name w:val="Title Char"/>
    <w:link w:val="1019"/>
    <w:uiPriority w:val="10"/>
    <w:rPr>
      <w:sz w:val="48"/>
      <w:szCs w:val="48"/>
    </w:rPr>
  </w:style>
  <w:style w:type="paragraph" w:styleId="1021">
    <w:name w:val="Subtitle"/>
    <w:basedOn w:val="1177"/>
    <w:next w:val="1177"/>
    <w:link w:val="1022"/>
    <w:uiPriority w:val="11"/>
    <w:qFormat/>
    <w:pPr>
      <w:spacing w:before="200" w:after="200"/>
    </w:pPr>
    <w:rPr>
      <w:sz w:val="24"/>
      <w:szCs w:val="24"/>
    </w:rPr>
  </w:style>
  <w:style w:type="character" w:styleId="1022">
    <w:name w:val="Subtitle Char"/>
    <w:link w:val="1021"/>
    <w:uiPriority w:val="11"/>
    <w:rPr>
      <w:sz w:val="24"/>
      <w:szCs w:val="24"/>
    </w:rPr>
  </w:style>
  <w:style w:type="paragraph" w:styleId="1023">
    <w:name w:val="Quote"/>
    <w:basedOn w:val="1177"/>
    <w:next w:val="1177"/>
    <w:link w:val="1024"/>
    <w:uiPriority w:val="29"/>
    <w:qFormat/>
    <w:pPr>
      <w:ind w:left="720" w:right="720"/>
    </w:pPr>
    <w:rPr>
      <w:i/>
    </w:rPr>
  </w:style>
  <w:style w:type="character" w:styleId="1024">
    <w:name w:val="Quote Char"/>
    <w:link w:val="1023"/>
    <w:uiPriority w:val="29"/>
    <w:rPr>
      <w:i/>
    </w:rPr>
  </w:style>
  <w:style w:type="paragraph" w:styleId="1025">
    <w:name w:val="Intense Quote"/>
    <w:basedOn w:val="1177"/>
    <w:next w:val="1177"/>
    <w:link w:val="10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name w:val="Intense Quote Char"/>
    <w:link w:val="1025"/>
    <w:uiPriority w:val="30"/>
    <w:rPr>
      <w:i/>
    </w:rPr>
  </w:style>
  <w:style w:type="paragraph" w:styleId="1027">
    <w:name w:val="Header"/>
    <w:basedOn w:val="1177"/>
    <w:link w:val="1028"/>
    <w:uiPriority w:val="99"/>
    <w:unhideWhenUsed/>
    <w:pPr>
      <w:spacing w:after="0" w:line="240" w:lineRule="auto"/>
      <w:tabs>
        <w:tab w:val="center" w:pos="7143" w:leader="none"/>
        <w:tab w:val="right" w:pos="14287" w:leader="none"/>
      </w:tabs>
    </w:pPr>
  </w:style>
  <w:style w:type="character" w:styleId="1028">
    <w:name w:val="Header Char"/>
    <w:link w:val="1027"/>
    <w:uiPriority w:val="99"/>
  </w:style>
  <w:style w:type="paragraph" w:styleId="1029">
    <w:name w:val="Footer"/>
    <w:basedOn w:val="1177"/>
    <w:link w:val="1032"/>
    <w:uiPriority w:val="99"/>
    <w:unhideWhenUsed/>
    <w:pPr>
      <w:spacing w:after="0" w:line="240" w:lineRule="auto"/>
      <w:tabs>
        <w:tab w:val="center" w:pos="7143" w:leader="none"/>
        <w:tab w:val="right" w:pos="14287" w:leader="none"/>
      </w:tabs>
    </w:pPr>
  </w:style>
  <w:style w:type="character" w:styleId="1030">
    <w:name w:val="Footer Char"/>
    <w:link w:val="1029"/>
    <w:uiPriority w:val="99"/>
  </w:style>
  <w:style w:type="paragraph" w:styleId="1031">
    <w:name w:val="Caption"/>
    <w:basedOn w:val="1177"/>
    <w:next w:val="1177"/>
    <w:uiPriority w:val="35"/>
    <w:semiHidden/>
    <w:unhideWhenUsed/>
    <w:qFormat/>
    <w:pPr>
      <w:spacing w:line="276" w:lineRule="auto"/>
    </w:pPr>
    <w:rPr>
      <w:b/>
      <w:bCs/>
      <w:color w:val="4f81bd" w:themeColor="accent1"/>
      <w:sz w:val="18"/>
      <w:szCs w:val="18"/>
    </w:rPr>
  </w:style>
  <w:style w:type="character" w:styleId="1032">
    <w:name w:val="Caption Char"/>
    <w:basedOn w:val="1031"/>
    <w:link w:val="1029"/>
    <w:uiPriority w:val="99"/>
  </w:style>
  <w:style w:type="table" w:styleId="103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9">
    <w:name w:val="Hyperlink"/>
    <w:uiPriority w:val="99"/>
    <w:unhideWhenUsed/>
    <w:rPr>
      <w:color w:val="0000ff" w:themeColor="hyperlink"/>
      <w:u w:val="single"/>
    </w:rPr>
  </w:style>
  <w:style w:type="paragraph" w:styleId="1160">
    <w:name w:val="footnote text"/>
    <w:basedOn w:val="1177"/>
    <w:link w:val="1161"/>
    <w:uiPriority w:val="99"/>
    <w:semiHidden/>
    <w:unhideWhenUsed/>
    <w:pPr>
      <w:spacing w:after="40" w:line="240" w:lineRule="auto"/>
    </w:pPr>
    <w:rPr>
      <w:sz w:val="18"/>
    </w:rPr>
  </w:style>
  <w:style w:type="character" w:styleId="1161">
    <w:name w:val="Footnote Text Char"/>
    <w:link w:val="1160"/>
    <w:uiPriority w:val="99"/>
    <w:rPr>
      <w:sz w:val="18"/>
    </w:rPr>
  </w:style>
  <w:style w:type="character" w:styleId="1162">
    <w:name w:val="footnote reference"/>
    <w:uiPriority w:val="99"/>
    <w:unhideWhenUsed/>
    <w:rPr>
      <w:vertAlign w:val="superscript"/>
    </w:rPr>
  </w:style>
  <w:style w:type="paragraph" w:styleId="1163">
    <w:name w:val="endnote text"/>
    <w:basedOn w:val="1177"/>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uiPriority w:val="99"/>
    <w:semiHidden/>
    <w:unhideWhenUsed/>
    <w:rPr>
      <w:vertAlign w:val="superscript"/>
    </w:rPr>
  </w:style>
  <w:style w:type="paragraph" w:styleId="1166">
    <w:name w:val="toc 1"/>
    <w:basedOn w:val="1177"/>
    <w:next w:val="1177"/>
    <w:uiPriority w:val="39"/>
    <w:unhideWhenUsed/>
    <w:pPr>
      <w:ind w:left="0" w:right="0" w:firstLine="0"/>
      <w:spacing w:after="57"/>
    </w:pPr>
  </w:style>
  <w:style w:type="paragraph" w:styleId="1167">
    <w:name w:val="toc 2"/>
    <w:basedOn w:val="1177"/>
    <w:next w:val="1177"/>
    <w:uiPriority w:val="39"/>
    <w:unhideWhenUsed/>
    <w:pPr>
      <w:ind w:left="283" w:right="0" w:firstLine="0"/>
      <w:spacing w:after="57"/>
    </w:pPr>
  </w:style>
  <w:style w:type="paragraph" w:styleId="1168">
    <w:name w:val="toc 3"/>
    <w:basedOn w:val="1177"/>
    <w:next w:val="1177"/>
    <w:uiPriority w:val="39"/>
    <w:unhideWhenUsed/>
    <w:pPr>
      <w:ind w:left="567" w:right="0" w:firstLine="0"/>
      <w:spacing w:after="57"/>
    </w:pPr>
  </w:style>
  <w:style w:type="paragraph" w:styleId="1169">
    <w:name w:val="toc 4"/>
    <w:basedOn w:val="1177"/>
    <w:next w:val="1177"/>
    <w:uiPriority w:val="39"/>
    <w:unhideWhenUsed/>
    <w:pPr>
      <w:ind w:left="850" w:right="0" w:firstLine="0"/>
      <w:spacing w:after="57"/>
    </w:pPr>
  </w:style>
  <w:style w:type="paragraph" w:styleId="1170">
    <w:name w:val="toc 5"/>
    <w:basedOn w:val="1177"/>
    <w:next w:val="1177"/>
    <w:uiPriority w:val="39"/>
    <w:unhideWhenUsed/>
    <w:pPr>
      <w:ind w:left="1134" w:right="0" w:firstLine="0"/>
      <w:spacing w:after="57"/>
    </w:pPr>
  </w:style>
  <w:style w:type="paragraph" w:styleId="1171">
    <w:name w:val="toc 6"/>
    <w:basedOn w:val="1177"/>
    <w:next w:val="1177"/>
    <w:uiPriority w:val="39"/>
    <w:unhideWhenUsed/>
    <w:pPr>
      <w:ind w:left="1417" w:right="0" w:firstLine="0"/>
      <w:spacing w:after="57"/>
    </w:pPr>
  </w:style>
  <w:style w:type="paragraph" w:styleId="1172">
    <w:name w:val="toc 7"/>
    <w:basedOn w:val="1177"/>
    <w:next w:val="1177"/>
    <w:uiPriority w:val="39"/>
    <w:unhideWhenUsed/>
    <w:pPr>
      <w:ind w:left="1701" w:right="0" w:firstLine="0"/>
      <w:spacing w:after="57"/>
    </w:pPr>
  </w:style>
  <w:style w:type="paragraph" w:styleId="1173">
    <w:name w:val="toc 8"/>
    <w:basedOn w:val="1177"/>
    <w:next w:val="1177"/>
    <w:uiPriority w:val="39"/>
    <w:unhideWhenUsed/>
    <w:pPr>
      <w:ind w:left="1984" w:right="0" w:firstLine="0"/>
      <w:spacing w:after="57"/>
    </w:pPr>
  </w:style>
  <w:style w:type="paragraph" w:styleId="1174">
    <w:name w:val="toc 9"/>
    <w:basedOn w:val="1177"/>
    <w:next w:val="1177"/>
    <w:uiPriority w:val="39"/>
    <w:unhideWhenUsed/>
    <w:pPr>
      <w:ind w:left="2268" w:right="0" w:firstLine="0"/>
      <w:spacing w:after="57"/>
    </w:pPr>
  </w:style>
  <w:style w:type="paragraph" w:styleId="1175">
    <w:name w:val="TOC Heading"/>
    <w:uiPriority w:val="39"/>
    <w:unhideWhenUsed/>
  </w:style>
  <w:style w:type="paragraph" w:styleId="1176">
    <w:name w:val="table of figures"/>
    <w:basedOn w:val="1177"/>
    <w:next w:val="1177"/>
    <w:uiPriority w:val="99"/>
    <w:unhideWhenUsed/>
    <w:pPr>
      <w:spacing w:after="0" w:afterAutospacing="0"/>
    </w:pPr>
  </w:style>
  <w:style w:type="paragraph" w:styleId="1177" w:default="1">
    <w:name w:val="Normal"/>
    <w:next w:val="1177"/>
    <w:link w:val="1177"/>
    <w:qFormat/>
    <w:rPr>
      <w:sz w:val="24"/>
      <w:szCs w:val="24"/>
      <w:lang w:val="ru-RU" w:eastAsia="ru-RU" w:bidi="ar-SA"/>
    </w:rPr>
  </w:style>
  <w:style w:type="paragraph" w:styleId="1178">
    <w:name w:val="Заголовок 1"/>
    <w:basedOn w:val="1177"/>
    <w:next w:val="1177"/>
    <w:link w:val="1190"/>
    <w:uiPriority w:val="9"/>
    <w:qFormat/>
    <w:pPr>
      <w:keepNext/>
      <w:outlineLvl w:val="0"/>
    </w:pPr>
    <w:rPr>
      <w:rFonts w:ascii="Cambria" w:hAnsi="Cambria"/>
      <w:b/>
      <w:bCs/>
      <w:sz w:val="32"/>
      <w:szCs w:val="32"/>
      <w:lang w:val="en-US" w:eastAsia="en-US"/>
    </w:rPr>
  </w:style>
  <w:style w:type="paragraph" w:styleId="1179">
    <w:name w:val="Заголовок 2"/>
    <w:basedOn w:val="1177"/>
    <w:next w:val="1177"/>
    <w:link w:val="1191"/>
    <w:uiPriority w:val="9"/>
    <w:qFormat/>
    <w:pPr>
      <w:jc w:val="center"/>
      <w:keepNext/>
      <w:outlineLvl w:val="1"/>
    </w:pPr>
    <w:rPr>
      <w:rFonts w:ascii="Cambria" w:hAnsi="Cambria"/>
      <w:b/>
      <w:bCs/>
      <w:i/>
      <w:iCs/>
      <w:sz w:val="28"/>
      <w:szCs w:val="28"/>
      <w:lang w:val="en-US" w:eastAsia="en-US"/>
    </w:rPr>
  </w:style>
  <w:style w:type="paragraph" w:styleId="1180">
    <w:name w:val="Заголовок 3"/>
    <w:basedOn w:val="1177"/>
    <w:next w:val="1177"/>
    <w:link w:val="1192"/>
    <w:uiPriority w:val="9"/>
    <w:qFormat/>
    <w:pPr>
      <w:jc w:val="center"/>
      <w:keepNext/>
      <w:outlineLvl w:val="2"/>
    </w:pPr>
    <w:rPr>
      <w:rFonts w:ascii="Cambria" w:hAnsi="Cambria"/>
      <w:b/>
      <w:bCs/>
      <w:sz w:val="26"/>
      <w:szCs w:val="26"/>
      <w:lang w:val="en-US" w:eastAsia="en-US"/>
    </w:rPr>
  </w:style>
  <w:style w:type="paragraph" w:styleId="1181">
    <w:name w:val="Заголовок 4"/>
    <w:basedOn w:val="1177"/>
    <w:next w:val="1177"/>
    <w:link w:val="1193"/>
    <w:uiPriority w:val="9"/>
    <w:qFormat/>
    <w:pPr>
      <w:ind w:right="-1"/>
      <w:jc w:val="center"/>
      <w:keepNext/>
      <w:outlineLvl w:val="3"/>
    </w:pPr>
    <w:rPr>
      <w:b/>
      <w:bCs/>
      <w:sz w:val="22"/>
      <w:szCs w:val="28"/>
      <w:lang w:val="en-US" w:eastAsia="en-US"/>
    </w:rPr>
  </w:style>
  <w:style w:type="paragraph" w:styleId="1182">
    <w:name w:val="Заголовок 5"/>
    <w:basedOn w:val="1177"/>
    <w:next w:val="1177"/>
    <w:link w:val="1194"/>
    <w:uiPriority w:val="9"/>
    <w:qFormat/>
    <w:pPr>
      <w:ind w:left="720"/>
      <w:jc w:val="both"/>
      <w:keepNext/>
      <w:outlineLvl w:val="4"/>
    </w:pPr>
    <w:rPr>
      <w:rFonts w:ascii="Calibri" w:hAnsi="Calibri"/>
      <w:b/>
      <w:bCs/>
      <w:i/>
      <w:iCs/>
      <w:sz w:val="26"/>
      <w:szCs w:val="26"/>
      <w:lang w:val="en-US" w:eastAsia="en-US"/>
    </w:rPr>
  </w:style>
  <w:style w:type="paragraph" w:styleId="1183">
    <w:name w:val="Заголовок 6"/>
    <w:basedOn w:val="1177"/>
    <w:next w:val="1177"/>
    <w:link w:val="1195"/>
    <w:uiPriority w:val="9"/>
    <w:qFormat/>
    <w:pPr>
      <w:ind w:firstLine="709"/>
      <w:jc w:val="both"/>
      <w:keepNext/>
      <w:outlineLvl w:val="5"/>
    </w:pPr>
    <w:rPr>
      <w:rFonts w:ascii="Calibri" w:hAnsi="Calibri"/>
      <w:b/>
      <w:bCs/>
      <w:sz w:val="20"/>
      <w:szCs w:val="20"/>
      <w:lang w:val="en-US" w:eastAsia="en-US"/>
    </w:rPr>
  </w:style>
  <w:style w:type="paragraph" w:styleId="1184">
    <w:name w:val="Заголовок 7"/>
    <w:basedOn w:val="1177"/>
    <w:next w:val="1177"/>
    <w:link w:val="1196"/>
    <w:uiPriority w:val="9"/>
    <w:qFormat/>
    <w:pPr>
      <w:jc w:val="both"/>
      <w:keepNext/>
      <w:outlineLvl w:val="6"/>
    </w:pPr>
    <w:rPr>
      <w:rFonts w:ascii="Calibri" w:hAnsi="Calibri"/>
      <w:lang w:val="en-US" w:eastAsia="en-US"/>
    </w:rPr>
  </w:style>
  <w:style w:type="paragraph" w:styleId="1185">
    <w:name w:val="Заголовок 8"/>
    <w:basedOn w:val="1177"/>
    <w:next w:val="1177"/>
    <w:link w:val="1197"/>
    <w:uiPriority w:val="9"/>
    <w:qFormat/>
    <w:pPr>
      <w:ind w:firstLine="709"/>
      <w:jc w:val="center"/>
      <w:keepNext/>
      <w:spacing w:after="120"/>
      <w:outlineLvl w:val="7"/>
    </w:pPr>
    <w:rPr>
      <w:rFonts w:ascii="Calibri" w:hAnsi="Calibri"/>
      <w:i/>
      <w:iCs/>
      <w:lang w:val="en-US" w:eastAsia="en-US"/>
    </w:rPr>
  </w:style>
  <w:style w:type="paragraph" w:styleId="1186">
    <w:name w:val="Заголовок 9"/>
    <w:basedOn w:val="1177"/>
    <w:next w:val="1177"/>
    <w:link w:val="1198"/>
    <w:uiPriority w:val="9"/>
    <w:qFormat/>
    <w:pPr>
      <w:keepNext/>
      <w:outlineLvl w:val="8"/>
    </w:pPr>
    <w:rPr>
      <w:rFonts w:ascii="Cambria" w:hAnsi="Cambria"/>
      <w:sz w:val="20"/>
      <w:szCs w:val="20"/>
      <w:lang w:val="en-US" w:eastAsia="en-US"/>
    </w:rPr>
  </w:style>
  <w:style w:type="character" w:styleId="1187">
    <w:name w:val="Основной шрифт абзаца"/>
    <w:next w:val="1187"/>
    <w:link w:val="1177"/>
    <w:uiPriority w:val="99"/>
    <w:semiHidden/>
  </w:style>
  <w:style w:type="table" w:styleId="1188">
    <w:name w:val="Обычная таблица"/>
    <w:next w:val="1188"/>
    <w:link w:val="1177"/>
    <w:uiPriority w:val="99"/>
    <w:semiHidden/>
    <w:unhideWhenUsed/>
    <w:qFormat/>
    <w:tblPr/>
  </w:style>
  <w:style w:type="numbering" w:styleId="1189">
    <w:name w:val="Нет списка"/>
    <w:next w:val="1189"/>
    <w:link w:val="1177"/>
    <w:uiPriority w:val="99"/>
    <w:semiHidden/>
    <w:unhideWhenUsed/>
  </w:style>
  <w:style w:type="character" w:styleId="1190">
    <w:name w:val="Заголовок 1 Знак"/>
    <w:next w:val="1190"/>
    <w:link w:val="1178"/>
    <w:uiPriority w:val="9"/>
    <w:rPr>
      <w:rFonts w:ascii="Cambria" w:hAnsi="Cambria" w:eastAsia="Times New Roman" w:cs="Times New Roman"/>
      <w:b/>
      <w:bCs/>
      <w:sz w:val="32"/>
      <w:szCs w:val="32"/>
    </w:rPr>
  </w:style>
  <w:style w:type="character" w:styleId="1191">
    <w:name w:val="Заголовок 2 Знак"/>
    <w:next w:val="1191"/>
    <w:link w:val="1179"/>
    <w:uiPriority w:val="9"/>
    <w:semiHidden/>
    <w:rPr>
      <w:rFonts w:ascii="Cambria" w:hAnsi="Cambria" w:eastAsia="Times New Roman" w:cs="Times New Roman"/>
      <w:b/>
      <w:bCs/>
      <w:i/>
      <w:iCs/>
      <w:sz w:val="28"/>
      <w:szCs w:val="28"/>
    </w:rPr>
  </w:style>
  <w:style w:type="character" w:styleId="1192">
    <w:name w:val="Заголовок 3 Знак"/>
    <w:next w:val="1192"/>
    <w:link w:val="1180"/>
    <w:uiPriority w:val="9"/>
    <w:semiHidden/>
    <w:rPr>
      <w:rFonts w:ascii="Cambria" w:hAnsi="Cambria" w:eastAsia="Times New Roman" w:cs="Times New Roman"/>
      <w:b/>
      <w:bCs/>
      <w:sz w:val="26"/>
      <w:szCs w:val="26"/>
    </w:rPr>
  </w:style>
  <w:style w:type="character" w:styleId="1193">
    <w:name w:val="Заголовок 4 Знак"/>
    <w:next w:val="1193"/>
    <w:link w:val="1181"/>
    <w:uiPriority w:val="9"/>
    <w:rPr>
      <w:b/>
      <w:bCs/>
      <w:sz w:val="22"/>
      <w:szCs w:val="28"/>
      <w:lang w:val="en-US" w:eastAsia="en-US"/>
    </w:rPr>
  </w:style>
  <w:style w:type="character" w:styleId="1194">
    <w:name w:val="Заголовок 5 Знак"/>
    <w:next w:val="1194"/>
    <w:link w:val="1182"/>
    <w:uiPriority w:val="9"/>
    <w:semiHidden/>
    <w:rPr>
      <w:rFonts w:ascii="Calibri" w:hAnsi="Calibri" w:eastAsia="Times New Roman" w:cs="Times New Roman"/>
      <w:b/>
      <w:bCs/>
      <w:i/>
      <w:iCs/>
      <w:sz w:val="26"/>
      <w:szCs w:val="26"/>
    </w:rPr>
  </w:style>
  <w:style w:type="character" w:styleId="1195">
    <w:name w:val="Заголовок 6 Знак"/>
    <w:next w:val="1195"/>
    <w:link w:val="1183"/>
    <w:uiPriority w:val="9"/>
    <w:semiHidden/>
    <w:rPr>
      <w:rFonts w:ascii="Calibri" w:hAnsi="Calibri" w:eastAsia="Times New Roman" w:cs="Times New Roman"/>
      <w:b/>
      <w:bCs/>
    </w:rPr>
  </w:style>
  <w:style w:type="character" w:styleId="1196">
    <w:name w:val="Заголовок 7 Знак"/>
    <w:next w:val="1196"/>
    <w:link w:val="1184"/>
    <w:uiPriority w:val="9"/>
    <w:semiHidden/>
    <w:rPr>
      <w:rFonts w:ascii="Calibri" w:hAnsi="Calibri" w:eastAsia="Times New Roman" w:cs="Times New Roman"/>
      <w:sz w:val="24"/>
      <w:szCs w:val="24"/>
    </w:rPr>
  </w:style>
  <w:style w:type="character" w:styleId="1197">
    <w:name w:val="Заголовок 8 Знак"/>
    <w:next w:val="1197"/>
    <w:link w:val="1185"/>
    <w:uiPriority w:val="9"/>
    <w:semiHidden/>
    <w:rPr>
      <w:rFonts w:ascii="Calibri" w:hAnsi="Calibri" w:eastAsia="Times New Roman" w:cs="Times New Roman"/>
      <w:i/>
      <w:iCs/>
      <w:sz w:val="24"/>
      <w:szCs w:val="24"/>
    </w:rPr>
  </w:style>
  <w:style w:type="character" w:styleId="1198">
    <w:name w:val="Заголовок 9 Знак"/>
    <w:next w:val="1198"/>
    <w:link w:val="1186"/>
    <w:uiPriority w:val="9"/>
    <w:semiHidden/>
    <w:rPr>
      <w:rFonts w:ascii="Cambria" w:hAnsi="Cambria" w:eastAsia="Times New Roman" w:cs="Times New Roman"/>
    </w:rPr>
  </w:style>
  <w:style w:type="paragraph" w:styleId="119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7"/>
    <w:next w:val="1199"/>
    <w:link w:val="1200"/>
    <w:qFormat/>
    <w:rPr>
      <w:sz w:val="20"/>
      <w:szCs w:val="20"/>
      <w:lang w:val="en-US" w:eastAsia="en-US"/>
    </w:rPr>
  </w:style>
  <w:style w:type="character" w:styleId="12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0"/>
    <w:link w:val="1199"/>
    <w:rPr>
      <w:sz w:val="20"/>
      <w:szCs w:val="20"/>
    </w:rPr>
  </w:style>
  <w:style w:type="character" w:styleId="12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1"/>
    <w:link w:val="1177"/>
    <w:qFormat/>
    <w:rPr>
      <w:rFonts w:cs="Times New Roman"/>
      <w:vertAlign w:val="superscript"/>
    </w:rPr>
  </w:style>
  <w:style w:type="paragraph" w:styleId="1202">
    <w:name w:val="Текст выноски"/>
    <w:basedOn w:val="1177"/>
    <w:next w:val="1202"/>
    <w:link w:val="1203"/>
    <w:uiPriority w:val="99"/>
    <w:semiHidden/>
    <w:rPr>
      <w:rFonts w:ascii="Tahoma" w:hAnsi="Tahoma"/>
      <w:sz w:val="16"/>
      <w:szCs w:val="16"/>
      <w:lang w:val="en-US" w:eastAsia="en-US"/>
    </w:rPr>
  </w:style>
  <w:style w:type="character" w:styleId="1203">
    <w:name w:val="Текст выноски Знак"/>
    <w:next w:val="1203"/>
    <w:link w:val="1202"/>
    <w:uiPriority w:val="99"/>
    <w:semiHidden/>
    <w:rPr>
      <w:rFonts w:ascii="Tahoma" w:hAnsi="Tahoma" w:cs="Tahoma"/>
      <w:sz w:val="16"/>
      <w:szCs w:val="16"/>
    </w:rPr>
  </w:style>
  <w:style w:type="paragraph" w:styleId="1204">
    <w:name w:val="Без интервала"/>
    <w:next w:val="1204"/>
    <w:link w:val="1205"/>
    <w:uiPriority w:val="99"/>
    <w:qFormat/>
    <w:rPr>
      <w:rFonts w:ascii="Calibri" w:hAnsi="Calibri"/>
      <w:sz w:val="22"/>
      <w:szCs w:val="22"/>
      <w:lang w:val="ru-RU" w:eastAsia="en-US" w:bidi="ar-SA"/>
    </w:rPr>
  </w:style>
  <w:style w:type="character" w:styleId="1205">
    <w:name w:val="Без интервала Знак"/>
    <w:next w:val="1205"/>
    <w:link w:val="1204"/>
    <w:uiPriority w:val="99"/>
    <w:rPr>
      <w:rFonts w:ascii="Calibri" w:hAnsi="Calibri"/>
      <w:sz w:val="22"/>
      <w:szCs w:val="22"/>
      <w:lang w:val="ru-RU" w:eastAsia="en-US" w:bidi="ar-SA"/>
    </w:rPr>
  </w:style>
  <w:style w:type="paragraph" w:styleId="1206">
    <w:name w:val="Оглавление 4"/>
    <w:basedOn w:val="1177"/>
    <w:next w:val="1177"/>
    <w:link w:val="1177"/>
    <w:uiPriority w:val="39"/>
    <w:pPr>
      <w:ind w:right="-307"/>
      <w:spacing w:line="360" w:lineRule="auto"/>
      <w:tabs>
        <w:tab w:val="right" w:pos="10195" w:leader="dot"/>
      </w:tabs>
    </w:pPr>
  </w:style>
  <w:style w:type="character" w:styleId="1207">
    <w:name w:val="Гиперссылка"/>
    <w:next w:val="1207"/>
    <w:link w:val="1177"/>
    <w:uiPriority w:val="99"/>
    <w:unhideWhenUsed/>
    <w:rPr>
      <w:color w:val="0000ff"/>
      <w:u w:val="single"/>
    </w:rPr>
  </w:style>
  <w:style w:type="paragraph" w:styleId="1208">
    <w:name w:val="Верхний колонтитул,ВерхКолонтитул"/>
    <w:basedOn w:val="1177"/>
    <w:next w:val="1208"/>
    <w:link w:val="1209"/>
    <w:uiPriority w:val="99"/>
    <w:unhideWhenUsed/>
    <w:pPr>
      <w:tabs>
        <w:tab w:val="center" w:pos="4677" w:leader="none"/>
        <w:tab w:val="right" w:pos="9355" w:leader="none"/>
      </w:tabs>
    </w:pPr>
    <w:rPr>
      <w:lang w:val="en-US" w:eastAsia="en-US"/>
    </w:rPr>
  </w:style>
  <w:style w:type="character" w:styleId="1209">
    <w:name w:val="Верхний колонтитул Знак,ВерхКолонтитул Знак"/>
    <w:next w:val="1209"/>
    <w:link w:val="1208"/>
    <w:uiPriority w:val="99"/>
    <w:rPr>
      <w:sz w:val="24"/>
      <w:szCs w:val="24"/>
    </w:rPr>
  </w:style>
  <w:style w:type="paragraph" w:styleId="1210">
    <w:name w:val="Нижний колонтитул"/>
    <w:basedOn w:val="1177"/>
    <w:next w:val="1210"/>
    <w:link w:val="1211"/>
    <w:uiPriority w:val="99"/>
    <w:unhideWhenUsed/>
    <w:pPr>
      <w:tabs>
        <w:tab w:val="center" w:pos="4677" w:leader="none"/>
        <w:tab w:val="right" w:pos="9355" w:leader="none"/>
      </w:tabs>
    </w:pPr>
    <w:rPr>
      <w:lang w:val="en-US" w:eastAsia="en-US"/>
    </w:rPr>
  </w:style>
  <w:style w:type="character" w:styleId="1211">
    <w:name w:val="Нижний колонтитул Знак"/>
    <w:next w:val="1211"/>
    <w:link w:val="1210"/>
    <w:uiPriority w:val="99"/>
    <w:rPr>
      <w:sz w:val="24"/>
      <w:szCs w:val="24"/>
    </w:rPr>
  </w:style>
  <w:style w:type="character" w:styleId="1212">
    <w:name w:val="Основной текст Знак,Основной текст_отчет Знак1,bt Знак1"/>
    <w:next w:val="1212"/>
    <w:link w:val="1213"/>
    <w:rPr>
      <w:sz w:val="24"/>
      <w:szCs w:val="24"/>
    </w:rPr>
  </w:style>
  <w:style w:type="paragraph" w:styleId="1213">
    <w:name w:val="Основной текст,Основной текст_отчет,bt"/>
    <w:basedOn w:val="1177"/>
    <w:next w:val="1213"/>
    <w:link w:val="1212"/>
    <w:unhideWhenUsed/>
    <w:pPr>
      <w:jc w:val="both"/>
    </w:pPr>
    <w:rPr>
      <w:lang w:val="en-US" w:eastAsia="en-US"/>
    </w:rPr>
  </w:style>
  <w:style w:type="character" w:styleId="1214">
    <w:name w:val="Основной текст Знак1"/>
    <w:next w:val="1214"/>
    <w:link w:val="1177"/>
    <w:uiPriority w:val="99"/>
    <w:semiHidden/>
    <w:rPr>
      <w:sz w:val="24"/>
      <w:szCs w:val="24"/>
    </w:rPr>
  </w:style>
  <w:style w:type="paragraph" w:styleId="1215">
    <w:name w:val="Основной текст с отступом 2"/>
    <w:basedOn w:val="1177"/>
    <w:next w:val="1215"/>
    <w:link w:val="1216"/>
    <w:unhideWhenUsed/>
    <w:pPr>
      <w:ind w:firstLine="360"/>
      <w:jc w:val="both"/>
    </w:pPr>
    <w:rPr>
      <w:lang w:val="en-US" w:eastAsia="en-US"/>
    </w:rPr>
  </w:style>
  <w:style w:type="character" w:styleId="1216">
    <w:name w:val="Основной текст с отступом 2 Знак"/>
    <w:next w:val="1216"/>
    <w:link w:val="1215"/>
    <w:rPr>
      <w:sz w:val="24"/>
      <w:szCs w:val="24"/>
    </w:rPr>
  </w:style>
  <w:style w:type="paragraph" w:styleId="12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7"/>
    <w:next w:val="1217"/>
    <w:link w:val="1218"/>
    <w:rPr>
      <w:sz w:val="22"/>
      <w:szCs w:val="22"/>
      <w:lang w:val="en-US" w:eastAsia="en-US"/>
    </w:rPr>
  </w:style>
  <w:style w:type="character" w:styleId="121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8"/>
    <w:link w:val="1217"/>
    <w:rPr>
      <w:sz w:val="22"/>
      <w:szCs w:val="22"/>
    </w:rPr>
  </w:style>
  <w:style w:type="paragraph" w:styleId="1219">
    <w:name w:val="Основной текст 2"/>
    <w:basedOn w:val="1177"/>
    <w:next w:val="1219"/>
    <w:link w:val="1220"/>
    <w:uiPriority w:val="99"/>
    <w:semiHidden/>
    <w:unhideWhenUsed/>
    <w:pPr>
      <w:spacing w:after="120" w:line="480" w:lineRule="auto"/>
    </w:pPr>
    <w:rPr>
      <w:lang w:val="en-US" w:eastAsia="en-US"/>
    </w:rPr>
  </w:style>
  <w:style w:type="character" w:styleId="1220">
    <w:name w:val="Основной текст 2 Знак"/>
    <w:next w:val="1220"/>
    <w:link w:val="1219"/>
    <w:uiPriority w:val="99"/>
    <w:semiHidden/>
    <w:rPr>
      <w:sz w:val="24"/>
      <w:szCs w:val="24"/>
    </w:rPr>
  </w:style>
  <w:style w:type="paragraph" w:styleId="1221">
    <w:name w:val="Название"/>
    <w:basedOn w:val="1177"/>
    <w:next w:val="1177"/>
    <w:link w:val="1222"/>
    <w:uiPriority w:val="10"/>
    <w:qFormat/>
    <w:pPr>
      <w:jc w:val="center"/>
      <w:spacing w:before="240" w:after="60"/>
      <w:outlineLvl w:val="0"/>
    </w:pPr>
    <w:rPr>
      <w:rFonts w:ascii="Cambria" w:hAnsi="Cambria"/>
      <w:b/>
      <w:bCs/>
      <w:sz w:val="32"/>
      <w:szCs w:val="32"/>
      <w:lang w:val="en-US" w:eastAsia="en-US"/>
    </w:rPr>
  </w:style>
  <w:style w:type="character" w:styleId="1222">
    <w:name w:val="Название Знак"/>
    <w:next w:val="1222"/>
    <w:link w:val="1221"/>
    <w:uiPriority w:val="10"/>
    <w:rPr>
      <w:rFonts w:ascii="Cambria" w:hAnsi="Cambria" w:eastAsia="Times New Roman" w:cs="Times New Roman"/>
      <w:b/>
      <w:bCs/>
      <w:sz w:val="32"/>
      <w:szCs w:val="32"/>
    </w:rPr>
  </w:style>
  <w:style w:type="paragraph" w:styleId="1223">
    <w:name w:val="Default"/>
    <w:next w:val="1223"/>
    <w:link w:val="1177"/>
    <w:rPr>
      <w:color w:val="000000"/>
      <w:sz w:val="24"/>
      <w:szCs w:val="24"/>
      <w:lang w:val="ru-RU" w:eastAsia="ru-RU" w:bidi="ar-SA"/>
    </w:rPr>
  </w:style>
  <w:style w:type="character" w:styleId="1224">
    <w:name w:val="Просмотренная гиперссылка"/>
    <w:next w:val="1224"/>
    <w:link w:val="1177"/>
    <w:uiPriority w:val="99"/>
    <w:semiHidden/>
    <w:unhideWhenUsed/>
    <w:rPr>
      <w:color w:val="800080"/>
      <w:u w:val="single"/>
    </w:rPr>
  </w:style>
  <w:style w:type="paragraph" w:styleId="1225">
    <w:name w:val="Абзац списка"/>
    <w:basedOn w:val="1177"/>
    <w:next w:val="1225"/>
    <w:link w:val="1177"/>
    <w:uiPriority w:val="34"/>
    <w:qFormat/>
    <w:pPr>
      <w:contextualSpacing/>
      <w:ind w:left="720"/>
    </w:pPr>
  </w:style>
  <w:style w:type="paragraph" w:styleId="1226">
    <w:name w:val="ConsNormal"/>
    <w:next w:val="1226"/>
    <w:link w:val="1177"/>
    <w:pPr>
      <w:ind w:firstLine="720"/>
      <w:widowControl w:val="off"/>
    </w:pPr>
    <w:rPr>
      <w:rFonts w:ascii="Arial" w:hAnsi="Arial" w:cs="Arial"/>
      <w:lang w:val="ru-RU" w:eastAsia="ru-RU" w:bidi="ar-SA"/>
    </w:rPr>
  </w:style>
  <w:style w:type="paragraph" w:styleId="1227">
    <w:name w:val="Нормальный"/>
    <w:next w:val="1227"/>
    <w:link w:val="1177"/>
    <w:rPr>
      <w:rFonts w:ascii="TimesET" w:hAnsi="TimesET" w:cs="TimesET"/>
      <w:b/>
      <w:bCs/>
      <w:i/>
      <w:iCs/>
      <w:smallCaps/>
      <w:sz w:val="24"/>
      <w:szCs w:val="24"/>
      <w:lang w:val="ru-RU" w:eastAsia="ru-RU" w:bidi="ar-SA"/>
    </w:rPr>
  </w:style>
  <w:style w:type="character" w:styleId="1228" w:default="1">
    <w:name w:val="Default Paragraph Font"/>
    <w:uiPriority w:val="1"/>
    <w:semiHidden/>
    <w:unhideWhenUsed/>
  </w:style>
  <w:style w:type="numbering" w:styleId="1229" w:default="1">
    <w:name w:val="No List"/>
    <w:uiPriority w:val="99"/>
    <w:semiHidden/>
    <w:unhideWhenUsed/>
  </w:style>
  <w:style w:type="table" w:styleId="12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revision>134</cp:revision>
  <dcterms:created xsi:type="dcterms:W3CDTF">2022-10-19T07:32:00Z</dcterms:created>
  <dcterms:modified xsi:type="dcterms:W3CDTF">2025-06-30T09:22:19Z</dcterms:modified>
  <cp:version>1048576</cp:version>
</cp:coreProperties>
</file>