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006"/>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rFonts w:ascii="Cambria" w:hAnsi="Cambria" w:cs="Cambria"/>
                      <w:sz w:val="36"/>
                      <w:szCs w:val="36"/>
                    </w:rPr>
                  </w:pPr>
                  <w:r>
                    <w:rPr>
                      <w:rFonts w:ascii="Cambria" w:hAnsi="Cambria" w:cs="Cambria"/>
                      <w:sz w:val="36"/>
                      <w:szCs w:val="36"/>
                    </w:rPr>
                    <w:t xml:space="preserve">ТАРИФЫ КОМИССИОННОГО</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ВОЗНАГРАЖДЕНИЯ НА УСЛУГИ</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ЮРИДИЧЕСКИМ ЛИЦАМ, СУБЪЕКТАМ РОССИЙСКОЙ ФЕДЕРАЦИИ, МУНИЦИПАЛЬНЫМ ОБРАЗОВАНИЯМ, ИНДИВИДУАЛЬНЫМ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ПРЕДПРИНИМАТЕЛЯМ И ФИЗИЧЕСКИМ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ЛИЦАМ, ЗАНИМАЮЩИМСЯ В</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УСТАНОВЛЕННОМ ЗАКОНОДАТЕЛЬСТВОМ</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РОССИЙСКОЙ ФЕДЕРАЦИИ ПОРЯДКЕ</w:t>
                  </w:r>
                  <w:r>
                    <w:rPr>
                      <w:rFonts w:ascii="Cambria" w:hAnsi="Cambria" w:cs="Cambria"/>
                      <w:sz w:val="36"/>
                      <w:szCs w:val="36"/>
                    </w:rPr>
                  </w:r>
                  <w:r>
                    <w:rPr>
                      <w:rFonts w:ascii="Cambria" w:hAnsi="Cambria" w:cs="Cambria"/>
                      <w:sz w:val="36"/>
                      <w:szCs w:val="36"/>
                    </w:rPr>
                  </w:r>
                </w:p>
                <w:p>
                  <w:pPr>
                    <w:pStyle w:val="1164"/>
                    <w:jc w:val="center"/>
                    <w:rPr>
                      <w:rFonts w:ascii="Cambria" w:hAnsi="Cambria" w:cs="Cambria"/>
                      <w:sz w:val="36"/>
                      <w:szCs w:val="36"/>
                    </w:rPr>
                  </w:pPr>
                  <w:r>
                    <w:rPr>
                      <w:rFonts w:ascii="Cambria" w:hAnsi="Cambria" w:cs="Cambria"/>
                      <w:sz w:val="36"/>
                      <w:szCs w:val="36"/>
                    </w:rPr>
                    <w:t xml:space="preserve">ЧАСТНОЙ ПРАКТИКОЙ</w:t>
                  </w:r>
                  <w:r>
                    <w:rPr>
                      <w:rFonts w:ascii="Cambria" w:hAnsi="Cambria" w:cs="Cambria"/>
                      <w:sz w:val="36"/>
                      <w:szCs w:val="36"/>
                    </w:rPr>
                  </w:r>
                  <w:r>
                    <w:rPr>
                      <w:rFonts w:ascii="Cambria" w:hAnsi="Cambria" w:cs="Cambria"/>
                      <w:sz w:val="36"/>
                      <w:szCs w:val="36"/>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rPr>
                        </w:r>
                        <w:r>
                          <w:rPr>
                            <w:color w:val="000000"/>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78"/>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6"/>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48"/>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48"/>
                          <w:jc w:val="both"/>
                          <w:spacing w:line="300" w:lineRule="auto"/>
                          <w:rPr>
                            <w:color w:val="000000"/>
                            <w:lang w:eastAsia="en-US"/>
                          </w:rPr>
                        </w:pPr>
                        <w:r>
                          <w:rPr>
                            <w:rFonts w:eastAsia="Calibri"/>
                            <w:lang w:eastAsia="en-US"/>
                          </w:rPr>
                          <w:t xml:space="preserve">РФ/ВСП РФ</w:t>
                        </w:r>
                        <w:r>
                          <w:rPr>
                            <w:color w:val="000000"/>
                            <w:lang w:eastAsia="en-US"/>
                          </w:rPr>
                        </w:r>
                        <w:r>
                          <w:rPr>
                            <w:color w:val="000000"/>
                            <w:lang w:eastAsia="en-US"/>
                          </w:rPr>
                        </w:r>
                      </w:p>
                    </w:tc>
                  </w:tr>
                </w:tbl>
                <w:p>
                  <w:pPr>
                    <w:pStyle w:val="1164"/>
                    <w:jc w:val="center"/>
                    <w:rPr>
                      <w:rFonts w:ascii="Cambria" w:hAnsi="Cambria"/>
                      <w:sz w:val="80"/>
                      <w:szCs w:val="80"/>
                    </w:rPr>
                  </w:pPr>
                  <w:r>
                    <w:rPr>
                      <w:rFonts w:ascii="Cambria" w:hAnsi="Cambria"/>
                      <w:sz w:val="80"/>
                      <w:szCs w:val="80"/>
                    </w:rPr>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64"/>
                    <w:jc w:val="center"/>
                  </w:pPr>
                  <w:r/>
                  <w:r/>
                </w:p>
              </w:tc>
            </w:tr>
            <w:tr>
              <w:tblPrEx/>
              <w:trPr>
                <w:trHeight w:val="360"/>
              </w:trPr>
              <w:tc>
                <w:tcPr>
                  <w:tcBorders>
                    <w:top w:val="single" w:color="008444" w:sz="12" w:space="0"/>
                  </w:tcBorders>
                  <w:tcW w:w="5000" w:type="pct"/>
                  <w:vAlign w:val="center"/>
                  <w:textDirection w:val="lrTb"/>
                  <w:noWrap w:val="false"/>
                </w:tcPr>
                <w:p>
                  <w:pPr>
                    <w:pStyle w:val="116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64"/>
                    <w:jc w:val="center"/>
                    <w:rPr>
                      <w:bCs/>
                      <w:sz w:val="32"/>
                      <w:szCs w:val="32"/>
                    </w:rPr>
                  </w:pPr>
                  <w:r>
                    <w:rPr>
                      <w:bCs/>
                      <w:sz w:val="32"/>
                      <w:szCs w:val="32"/>
                    </w:rPr>
                    <w:t xml:space="preserve">действуют с </w:t>
                  </w:r>
                  <w:r>
                    <w:rPr>
                      <w:bCs/>
                      <w:sz w:val="32"/>
                      <w:szCs w:val="32"/>
                    </w:rPr>
                    <w:t xml:space="preserve">01.</w:t>
                  </w:r>
                  <w:r>
                    <w:rPr>
                      <w:bCs/>
                      <w:sz w:val="32"/>
                      <w:szCs w:val="32"/>
                    </w:rPr>
                    <w:t xml:space="preserve">10.</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64"/>
              <w:jc w:val="center"/>
              <w:rPr>
                <w:rFonts w:ascii="Cambria" w:hAnsi="Cambria"/>
                <w:caps/>
                <w:sz w:val="32"/>
                <w:szCs w:val="32"/>
              </w:rPr>
            </w:pPr>
            <w:r>
              <w:rPr>
                <w:rFonts w:ascii="Cambria" w:hAnsi="Cambria"/>
                <w:sz w:val="32"/>
                <w:szCs w:val="32"/>
              </w:rPr>
              <w:t xml:space="preserve">ТАТАРСТАНСКИЙ </w:t>
            </w:r>
            <w:r>
              <w:rPr>
                <w:rFonts w:ascii="Cambria" w:hAnsi="Cambria"/>
                <w:sz w:val="32"/>
                <w:szCs w:val="32"/>
              </w:rPr>
              <w:t xml:space="preserve">Р</w:t>
            </w:r>
            <w:r>
              <w:rPr>
                <w:rFonts w:ascii="Cambria" w:hAnsi="Cambria"/>
                <w:sz w:val="32"/>
                <w:szCs w:val="32"/>
              </w:rPr>
              <w:t xml:space="preserve">Ф</w:t>
            </w:r>
            <w:r>
              <w:rPr>
                <w:rFonts w:ascii="Cambria" w:hAnsi="Cambria"/>
                <w:sz w:val="32"/>
                <w:szCs w:val="32"/>
              </w:rPr>
              <w:t xml:space="preserve"> АО </w:t>
            </w:r>
            <w:r>
              <w:rPr>
                <w:rFonts w:ascii="Cambria" w:hAnsi="Cambria"/>
                <w:caps/>
                <w:sz w:val="32"/>
                <w:szCs w:val="32"/>
              </w:rPr>
              <w:t xml:space="preserve"> «РОССЕЛЬХОЗБАНК» </w:t>
            </w:r>
            <w:r>
              <w:rPr>
                <w:rFonts w:ascii="Cambria" w:hAnsi="Cambria"/>
                <w:caps/>
                <w:sz w:val="32"/>
                <w:szCs w:val="32"/>
              </w:rPr>
            </w:r>
            <w:r>
              <w:rPr>
                <w:rFonts w:ascii="Cambria" w:hAnsi="Cambria"/>
                <w:caps/>
                <w:sz w:val="32"/>
                <w:szCs w:val="32"/>
              </w:rPr>
            </w:r>
          </w:p>
        </w:tc>
      </w:tr>
    </w:tbl>
    <w:p>
      <w:pPr>
        <w:pStyle w:val="1164"/>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48"/>
      </w:pPr>
      <w:r/>
      <w:r/>
    </w:p>
    <w:p>
      <w:pPr>
        <w:pStyle w:val="1148"/>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48"/>
        <w:rPr>
          <w:b/>
          <w:caps/>
        </w:rPr>
      </w:pPr>
      <w:r>
        <w:rPr>
          <w:i/>
        </w:rPr>
        <w:br w:type="page" w:clear="all"/>
      </w:r>
      <w:r>
        <w:rPr>
          <w:b/>
          <w:caps/>
        </w:rPr>
        <w:t xml:space="preserve">Содержание</w:t>
      </w:r>
      <w:r>
        <w:rPr>
          <w:b/>
          <w:caps/>
        </w:rPr>
        <w:t xml:space="preserve">:</w:t>
      </w:r>
      <w:r>
        <w:rPr>
          <w:b/>
          <w:caps/>
        </w:rPr>
      </w:r>
      <w:r>
        <w:rPr>
          <w:b/>
          <w:caps/>
        </w:rPr>
      </w:r>
    </w:p>
    <w:p>
      <w:pPr>
        <w:pStyle w:val="1148"/>
        <w:rPr>
          <w:caps/>
        </w:rPr>
      </w:pPr>
      <w:r>
        <w:rPr>
          <w:caps/>
        </w:rPr>
      </w:r>
      <w:r>
        <w:rPr>
          <w:caps/>
        </w:rPr>
      </w:r>
      <w:r>
        <w:rPr>
          <w:caps/>
        </w:rPr>
      </w:r>
    </w:p>
    <w:p>
      <w:pPr>
        <w:pStyle w:val="1168"/>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66"/>
          <w:color w:val="000000"/>
        </w:rPr>
        <w:fldChar w:fldCharType="begin"/>
      </w:r>
      <w:r>
        <w:rPr>
          <w:rStyle w:val="1166"/>
          <w:color w:val="000000"/>
        </w:rPr>
        <w:instrText xml:space="preserve"> </w:instrText>
      </w:r>
      <w:r>
        <w:instrText xml:space="preserve">HYPERLINK \l "_Toc170984446"</w:instrText>
      </w:r>
      <w:r>
        <w:rPr>
          <w:rStyle w:val="1166"/>
          <w:color w:val="000000"/>
        </w:rPr>
        <w:instrText xml:space="preserve"> </w:instrText>
      </w:r>
      <w:r>
        <w:rPr>
          <w:rStyle w:val="1166"/>
          <w:color w:val="000000"/>
        </w:rPr>
        <w:fldChar w:fldCharType="separate"/>
      </w:r>
      <w:r>
        <w:rPr>
          <w:rStyle w:val="1166"/>
          <w:color w:val="000000"/>
        </w:rPr>
        <w:t xml:space="preserve">1.</w:t>
      </w:r>
      <w:r>
        <w:rPr>
          <w:rFonts w:ascii="Calibri" w:hAnsi="Calibri"/>
          <w:bCs w:val="0"/>
          <w:caps w:val="0"/>
          <w:szCs w:val="22"/>
        </w:rPr>
        <w:tab/>
      </w:r>
      <w:r>
        <w:rPr>
          <w:rStyle w:val="1166"/>
          <w:color w:val="000000"/>
        </w:rPr>
        <w:t xml:space="preserve">Открытие и ведение счетов</w:t>
      </w:r>
      <w:r>
        <w:tab/>
      </w:r>
      <w:r>
        <w:t xml:space="preserve">3</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"_Toc170984447"</w:instrText>
      </w:r>
      <w:r>
        <w:rPr>
          <w:rStyle w:val="1166"/>
          <w:color w:val="000000"/>
        </w:rPr>
        <w:instrText xml:space="preserve"> </w:instrText>
      </w:r>
      <w:r>
        <w:rPr>
          <w:rStyle w:val="1166"/>
          <w:color w:val="000000"/>
        </w:rPr>
        <w:fldChar w:fldCharType="separate"/>
      </w:r>
      <w:r>
        <w:rPr>
          <w:rStyle w:val="1166"/>
          <w:color w:val="000000"/>
        </w:rPr>
        <w:t xml:space="preserve">2.</w:t>
      </w:r>
      <w:r>
        <w:rPr>
          <w:rFonts w:ascii="Calibri" w:hAnsi="Calibri"/>
          <w:bCs w:val="0"/>
          <w:caps w:val="0"/>
          <w:szCs w:val="22"/>
        </w:rPr>
        <w:tab/>
      </w:r>
      <w:r>
        <w:rPr>
          <w:rStyle w:val="1166"/>
          <w:color w:val="000000"/>
        </w:rPr>
        <w:t xml:space="preserve">Кассовые операции*</w:t>
      </w:r>
      <w:r>
        <w:tab/>
      </w:r>
      <w:r>
        <w:fldChar w:fldCharType="begin"/>
      </w:r>
      <w:r>
        <w:instrText xml:space="preserve"> PAGEREF _Toc170984447 \h </w:instrText>
      </w:r>
      <w:r>
        <w:fldChar w:fldCharType="separate"/>
      </w:r>
      <w:r>
        <w:t xml:space="preserve">2</w:t>
      </w:r>
      <w:r>
        <w:fldChar w:fldCharType="end"/>
      </w:r>
      <w:r>
        <w:rPr>
          <w:rStyle w:val="1166"/>
          <w:color w:val="000000"/>
        </w:rPr>
        <w:fldChar w:fldCharType="end"/>
      </w:r>
      <w:r>
        <w:rPr>
          <w:rStyle w:val="1166"/>
          <w:color w:val="000000"/>
          <w:sz w:val="22"/>
          <w:szCs w:val="22"/>
        </w:rPr>
        <w:t xml:space="preserve">3</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"_Toc170984448"</w:instrText>
      </w:r>
      <w:r>
        <w:rPr>
          <w:rStyle w:val="1166"/>
          <w:color w:val="000000"/>
        </w:rPr>
        <w:instrText xml:space="preserve"> </w:instrText>
      </w:r>
      <w:r>
        <w:rPr>
          <w:rStyle w:val="1166"/>
          <w:color w:val="000000"/>
        </w:rPr>
        <w:fldChar w:fldCharType="separate"/>
      </w:r>
      <w:r>
        <w:rPr>
          <w:rStyle w:val="1166"/>
          <w:color w:val="000000"/>
        </w:rPr>
        <w:t xml:space="preserve">3.</w:t>
      </w:r>
      <w:r>
        <w:rPr>
          <w:rFonts w:ascii="Calibri" w:hAnsi="Calibri"/>
          <w:bCs w:val="0"/>
          <w:caps w:val="0"/>
          <w:szCs w:val="22"/>
        </w:rPr>
        <w:tab/>
      </w:r>
      <w:r>
        <w:rPr>
          <w:rStyle w:val="1166"/>
          <w:color w:val="00000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w:t>
      </w:r>
      <w:r>
        <w:fldChar w:fldCharType="end"/>
      </w:r>
      <w:r>
        <w:rPr>
          <w:rStyle w:val="1166"/>
          <w:color w:val="000000"/>
        </w:rPr>
        <w:fldChar w:fldCharType="end"/>
      </w:r>
      <w:r>
        <w:rPr>
          <w:rStyle w:val="1166"/>
          <w:color w:val="000000"/>
          <w:sz w:val="22"/>
          <w:szCs w:val="22"/>
        </w:rPr>
        <w:t xml:space="preserve">7</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"_Toc170984449"</w:instrText>
      </w:r>
      <w:r>
        <w:rPr>
          <w:rStyle w:val="1166"/>
          <w:color w:val="000000"/>
        </w:rPr>
        <w:instrText xml:space="preserve"> </w:instrText>
      </w:r>
      <w:r>
        <w:rPr>
          <w:rStyle w:val="1166"/>
          <w:color w:val="000000"/>
        </w:rPr>
        <w:fldChar w:fldCharType="separate"/>
      </w:r>
      <w:r>
        <w:rPr>
          <w:rStyle w:val="1166"/>
          <w:color w:val="000000"/>
        </w:rPr>
        <w:t xml:space="preserve">4.</w:t>
      </w:r>
      <w:r>
        <w:rPr>
          <w:rFonts w:ascii="Calibri" w:hAnsi="Calibri"/>
          <w:bCs w:val="0"/>
          <w:caps w:val="0"/>
          <w:szCs w:val="22"/>
        </w:rPr>
        <w:tab/>
      </w:r>
      <w:r>
        <w:rPr>
          <w:rStyle w:val="1166"/>
          <w:color w:val="000000"/>
        </w:rPr>
        <w:t xml:space="preserve">Операции с ценными бумагами</w:t>
      </w:r>
      <w:r>
        <w:tab/>
      </w:r>
      <w:r>
        <w:fldChar w:fldCharType="begin"/>
      </w:r>
      <w:r>
        <w:instrText xml:space="preserve"> PAGEREF _Toc170984449 \h </w:instrText>
      </w:r>
      <w:r>
        <w:fldChar w:fldCharType="separate"/>
      </w:r>
      <w:r>
        <w:t xml:space="preserve">3</w:t>
      </w:r>
      <w:r>
        <w:fldChar w:fldCharType="end"/>
      </w:r>
      <w:r>
        <w:rPr>
          <w:rStyle w:val="1166"/>
          <w:color w:val="000000"/>
        </w:rPr>
        <w:fldChar w:fldCharType="end"/>
      </w:r>
      <w:r>
        <w:rPr>
          <w:rStyle w:val="1166"/>
          <w:color w:val="000000"/>
          <w:sz w:val="22"/>
          <w:szCs w:val="22"/>
        </w:rPr>
        <w:t xml:space="preserve">2</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"_Toc170984450"</w:instrText>
      </w:r>
      <w:r>
        <w:rPr>
          <w:rStyle w:val="1166"/>
          <w:color w:val="000000"/>
        </w:rPr>
        <w:instrText xml:space="preserve"> </w:instrText>
      </w:r>
      <w:r>
        <w:rPr>
          <w:rStyle w:val="1166"/>
          <w:color w:val="000000"/>
        </w:rPr>
        <w:fldChar w:fldCharType="separate"/>
      </w:r>
      <w:r>
        <w:rPr>
          <w:rStyle w:val="1166"/>
          <w:color w:val="000000"/>
        </w:rPr>
        <w:t xml:space="preserve">5.</w:t>
      </w:r>
      <w:r>
        <w:rPr>
          <w:rFonts w:ascii="Calibri" w:hAnsi="Calibri"/>
          <w:bCs w:val="0"/>
          <w:caps w:val="0"/>
          <w:szCs w:val="22"/>
        </w:rPr>
        <w:tab/>
      </w:r>
      <w:r>
        <w:rPr>
          <w:rStyle w:val="1166"/>
          <w:color w:val="000000"/>
        </w:rPr>
        <w:t xml:space="preserve">Документарные операции</w:t>
      </w:r>
      <w:r>
        <w:tab/>
      </w:r>
      <w:r>
        <w:fldChar w:fldCharType="begin"/>
      </w:r>
      <w:r>
        <w:instrText xml:space="preserve"> PAGEREF _Toc170984450 \h </w:instrText>
      </w:r>
      <w:r>
        <w:fldChar w:fldCharType="separate"/>
      </w:r>
      <w:r>
        <w:t xml:space="preserve">3</w:t>
      </w:r>
      <w:r>
        <w:fldChar w:fldCharType="end"/>
      </w:r>
      <w:r>
        <w:rPr>
          <w:rStyle w:val="1166"/>
          <w:color w:val="000000"/>
        </w:rPr>
        <w:fldChar w:fldCharType="end"/>
      </w:r>
      <w:r>
        <w:rPr>
          <w:rStyle w:val="1166"/>
          <w:color w:val="000000"/>
          <w:sz w:val="22"/>
          <w:szCs w:val="22"/>
        </w:rPr>
        <w:t xml:space="preserve">3</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"_Toc170984451"</w:instrText>
      </w:r>
      <w:r>
        <w:rPr>
          <w:rStyle w:val="1166"/>
          <w:color w:val="000000"/>
        </w:rPr>
        <w:instrText xml:space="preserve"> </w:instrText>
      </w:r>
      <w:r>
        <w:rPr>
          <w:rStyle w:val="1166"/>
          <w:color w:val="000000"/>
        </w:rPr>
        <w:fldChar w:fldCharType="separate"/>
      </w:r>
      <w:r>
        <w:rPr>
          <w:rStyle w:val="1166"/>
          <w:color w:val="000000"/>
        </w:rPr>
        <w:t xml:space="preserve">6.</w:t>
      </w:r>
      <w:r>
        <w:rPr>
          <w:rFonts w:ascii="Calibri" w:hAnsi="Calibri"/>
          <w:bCs w:val="0"/>
          <w:caps w:val="0"/>
          <w:szCs w:val="22"/>
        </w:rPr>
        <w:tab/>
      </w:r>
      <w:r>
        <w:rPr>
          <w:rStyle w:val="1166"/>
          <w:color w:val="000000"/>
        </w:rPr>
        <w:t xml:space="preserve">Гарантийные операции</w:t>
      </w:r>
      <w:r>
        <w:tab/>
      </w:r>
      <w:r>
        <w:rPr>
          <w:rStyle w:val="1166"/>
          <w:color w:val="000000"/>
        </w:rPr>
        <w:fldChar w:fldCharType="end"/>
      </w:r>
      <w:r>
        <w:rPr>
          <w:rStyle w:val="1166"/>
          <w:color w:val="000000"/>
          <w:sz w:val="22"/>
          <w:szCs w:val="22"/>
        </w:rPr>
        <w:t xml:space="preserve">40</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"_Toc170984452"</w:instrText>
      </w:r>
      <w:r>
        <w:rPr>
          <w:rStyle w:val="1166"/>
          <w:color w:val="000000"/>
        </w:rPr>
        <w:instrText xml:space="preserve"> </w:instrText>
      </w:r>
      <w:r>
        <w:rPr>
          <w:rStyle w:val="1166"/>
          <w:color w:val="000000"/>
        </w:rPr>
        <w:fldChar w:fldCharType="separate"/>
      </w:r>
      <w:r>
        <w:rPr>
          <w:rStyle w:val="1166"/>
          <w:color w:val="000000"/>
        </w:rPr>
        <w:t xml:space="preserve">7.</w:t>
      </w:r>
      <w:r>
        <w:rPr>
          <w:rFonts w:ascii="Calibri" w:hAnsi="Calibri"/>
          <w:bCs w:val="0"/>
          <w:caps w:val="0"/>
          <w:szCs w:val="22"/>
        </w:rPr>
        <w:tab/>
      </w:r>
      <w:r>
        <w:rPr>
          <w:rStyle w:val="1166"/>
          <w:color w:val="000000"/>
        </w:rPr>
        <w:t xml:space="preserve">Дистанционное банковское обслуживание (ДБО)</w:t>
      </w:r>
      <w:r>
        <w:tab/>
      </w:r>
      <w:r>
        <w:rPr>
          <w:rStyle w:val="1166"/>
          <w:color w:val="000000"/>
        </w:rPr>
        <w:fldChar w:fldCharType="end"/>
      </w:r>
      <w:r>
        <w:rPr>
          <w:rStyle w:val="1166"/>
          <w:color w:val="000000"/>
          <w:sz w:val="22"/>
          <w:szCs w:val="22"/>
        </w:rPr>
        <w:t xml:space="preserve">42</w:t>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"_Toc170984453"</w:instrText>
      </w:r>
      <w:r>
        <w:rPr>
          <w:rStyle w:val="1166"/>
          <w:color w:val="000000"/>
        </w:rPr>
        <w:instrText xml:space="preserve"> </w:instrText>
      </w:r>
      <w:r>
        <w:rPr>
          <w:rStyle w:val="1166"/>
          <w:color w:val="000000"/>
        </w:rPr>
        <w:fldChar w:fldCharType="separate"/>
      </w:r>
      <w:r>
        <w:rPr>
          <w:rStyle w:val="1166"/>
          <w:color w:val="000000"/>
        </w:rPr>
        <w:t xml:space="preserve">8.</w:t>
      </w:r>
      <w:r>
        <w:rPr>
          <w:rFonts w:ascii="Calibri" w:hAnsi="Calibri"/>
          <w:bCs w:val="0"/>
          <w:caps w:val="0"/>
          <w:szCs w:val="22"/>
        </w:rPr>
        <w:tab/>
      </w:r>
      <w:r>
        <w:rPr>
          <w:rStyle w:val="1166"/>
          <w:color w:val="000000"/>
        </w:rPr>
        <w:t xml:space="preserve">Хранение ценностей клиентов в хранилище ценностей Банка</w:t>
      </w:r>
      <w:r>
        <w:tab/>
      </w:r>
      <w:r>
        <w:t xml:space="preserve">49</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48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"_Toc170984454"</w:instrText>
      </w:r>
      <w:r>
        <w:rPr>
          <w:rStyle w:val="1166"/>
          <w:color w:val="000000"/>
        </w:rPr>
        <w:instrText xml:space="preserve"> </w:instrText>
      </w:r>
      <w:r>
        <w:rPr>
          <w:rStyle w:val="1166"/>
          <w:color w:val="000000"/>
        </w:rPr>
        <w:fldChar w:fldCharType="separate"/>
      </w:r>
      <w:r>
        <w:rPr>
          <w:rStyle w:val="1166"/>
          <w:color w:val="000000"/>
        </w:rPr>
        <w:t xml:space="preserve">9.</w:t>
      </w:r>
      <w:r>
        <w:rPr>
          <w:rFonts w:ascii="Calibri" w:hAnsi="Calibri"/>
          <w:bCs w:val="0"/>
          <w:caps w:val="0"/>
          <w:szCs w:val="22"/>
        </w:rPr>
        <w:tab/>
      </w:r>
      <w:r>
        <w:rPr>
          <w:rStyle w:val="1166"/>
          <w:color w:val="000000"/>
        </w:rPr>
        <w:t xml:space="preserve">Операции по предоставлению клиентам в аренду индивидуальных сейфовых ячеек</w:t>
      </w:r>
      <w:r>
        <w:tab/>
      </w:r>
      <w:r>
        <w:t xml:space="preserve">49</w:t>
      </w:r>
      <w:r>
        <w:rPr>
          <w:rStyle w:val="1166"/>
          <w:color w:val="000000"/>
        </w:rPr>
        <w:fldChar w:fldCharType="end"/>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"_Toc170984455"</w:instrText>
      </w:r>
      <w:r>
        <w:rPr>
          <w:rStyle w:val="1166"/>
          <w:color w:val="000000"/>
        </w:rPr>
        <w:instrText xml:space="preserve"> </w:instrText>
      </w:r>
      <w:r>
        <w:rPr>
          <w:rStyle w:val="1166"/>
          <w:color w:val="000000"/>
        </w:rPr>
        <w:fldChar w:fldCharType="separate"/>
      </w:r>
      <w:r>
        <w:rPr>
          <w:rStyle w:val="1166"/>
          <w:color w:val="000000"/>
        </w:rPr>
        <w:t xml:space="preserve">10.</w:t>
      </w:r>
      <w:r>
        <w:rPr>
          <w:rFonts w:ascii="Calibri" w:hAnsi="Calibri"/>
          <w:bCs w:val="0"/>
          <w:caps w:val="0"/>
          <w:szCs w:val="22"/>
        </w:rPr>
        <w:tab/>
      </w:r>
      <w:r>
        <w:rPr>
          <w:rStyle w:val="1166"/>
          <w:color w:val="000000"/>
        </w:rPr>
        <w:t xml:space="preserve">Услуги инкассации</w:t>
      </w:r>
      <w:r>
        <w:tab/>
      </w:r>
      <w:r>
        <w:rPr>
          <w:rStyle w:val="1166"/>
          <w:color w:val="000000"/>
        </w:rPr>
        <w:fldChar w:fldCharType="end"/>
      </w:r>
      <w:r>
        <w:rPr>
          <w:rStyle w:val="1166"/>
          <w:color w:val="000000"/>
          <w:sz w:val="22"/>
          <w:szCs w:val="22"/>
        </w:rPr>
        <w:t xml:space="preserve">50</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"_Toc170984456"</w:instrText>
      </w:r>
      <w:r>
        <w:rPr>
          <w:rStyle w:val="1166"/>
          <w:color w:val="000000"/>
        </w:rPr>
        <w:instrText xml:space="preserve"> </w:instrText>
      </w:r>
      <w:r>
        <w:rPr>
          <w:rStyle w:val="1166"/>
          <w:color w:val="000000"/>
        </w:rPr>
        <w:fldChar w:fldCharType="separate"/>
      </w:r>
      <w:r>
        <w:rPr>
          <w:rStyle w:val="1166"/>
          <w:color w:val="000000"/>
        </w:rPr>
        <w:t xml:space="preserve">11.</w:t>
      </w:r>
      <w:r>
        <w:rPr>
          <w:rFonts w:ascii="Calibri" w:hAnsi="Calibri"/>
          <w:bCs w:val="0"/>
          <w:caps w:val="0"/>
          <w:szCs w:val="22"/>
        </w:rPr>
        <w:tab/>
      </w:r>
      <w:r>
        <w:rPr>
          <w:rStyle w:val="1166"/>
          <w:color w:val="000000"/>
        </w:rPr>
        <w:t xml:space="preserve">Операции по покупке-продаже иностранной валюты</w:t>
      </w:r>
      <w:r>
        <w:tab/>
      </w:r>
      <w:r>
        <w:rPr>
          <w:rStyle w:val="1166"/>
          <w:color w:val="000000"/>
        </w:rPr>
        <w:fldChar w:fldCharType="end"/>
      </w:r>
      <w:r>
        <w:rPr>
          <w:rStyle w:val="1166"/>
          <w:color w:val="000000"/>
          <w:sz w:val="22"/>
          <w:szCs w:val="22"/>
        </w:rPr>
        <w:t xml:space="preserve">51</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"_Toc170984457"</w:instrText>
      </w:r>
      <w:r>
        <w:rPr>
          <w:rStyle w:val="1166"/>
          <w:color w:val="000000"/>
        </w:rPr>
        <w:instrText xml:space="preserve"> </w:instrText>
      </w:r>
      <w:r>
        <w:rPr>
          <w:rStyle w:val="1166"/>
          <w:color w:val="000000"/>
        </w:rPr>
        <w:fldChar w:fldCharType="separate"/>
      </w:r>
      <w:r>
        <w:rPr>
          <w:rStyle w:val="1166"/>
          <w:color w:val="000000"/>
        </w:rPr>
        <w:t xml:space="preserve">12.</w:t>
      </w:r>
      <w:r>
        <w:rPr>
          <w:rFonts w:ascii="Calibri" w:hAnsi="Calibri"/>
          <w:bCs w:val="0"/>
          <w:caps w:val="0"/>
          <w:szCs w:val="22"/>
        </w:rPr>
        <w:tab/>
      </w:r>
      <w:r>
        <w:rPr>
          <w:rStyle w:val="1166"/>
          <w:color w:val="000000"/>
        </w:rPr>
        <w:t xml:space="preserve">Кредитные операции</w:t>
      </w:r>
      <w:r>
        <w:tab/>
      </w:r>
      <w:r>
        <w:rPr>
          <w:rStyle w:val="1166"/>
          <w:color w:val="000000"/>
        </w:rPr>
        <w:fldChar w:fldCharType="end"/>
      </w:r>
      <w:r>
        <w:rPr>
          <w:rStyle w:val="1166"/>
          <w:color w:val="000000"/>
          <w:sz w:val="22"/>
          <w:szCs w:val="22"/>
        </w:rPr>
        <w:t xml:space="preserve">52</w:t>
      </w:r>
      <w:r>
        <w:rPr>
          <w:rFonts w:ascii="Calibri" w:hAnsi="Calibri"/>
          <w:bCs w:val="0"/>
          <w:caps w:val="0"/>
          <w:szCs w:val="22"/>
        </w:rPr>
      </w:r>
      <w:r>
        <w:rPr>
          <w:rFonts w:ascii="Calibri" w:hAnsi="Calibri"/>
          <w:bCs w:val="0"/>
          <w:caps w:val="0"/>
          <w:szCs w:val="22"/>
        </w:rPr>
      </w:r>
    </w:p>
    <w:p>
      <w:pPr>
        <w:pStyle w:val="1168"/>
        <w:tabs>
          <w:tab w:val="left" w:pos="720" w:leader="none"/>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"_Toc170984458"</w:instrText>
      </w:r>
      <w:r>
        <w:rPr>
          <w:rStyle w:val="1166"/>
          <w:color w:val="000000"/>
        </w:rPr>
        <w:instrText xml:space="preserve"> </w:instrText>
      </w:r>
      <w:r>
        <w:rPr>
          <w:rStyle w:val="1166"/>
          <w:color w:val="000000"/>
        </w:rPr>
        <w:fldChar w:fldCharType="separate"/>
      </w:r>
      <w:r>
        <w:rPr>
          <w:rStyle w:val="1166"/>
          <w:color w:val="000000"/>
        </w:rPr>
        <w:t xml:space="preserve">13.</w:t>
      </w:r>
      <w:r>
        <w:rPr>
          <w:rFonts w:ascii="Calibri" w:hAnsi="Calibri"/>
          <w:bCs w:val="0"/>
          <w:caps w:val="0"/>
          <w:szCs w:val="22"/>
        </w:rPr>
        <w:tab/>
      </w:r>
      <w:r>
        <w:rPr>
          <w:rStyle w:val="1166"/>
          <w:color w:val="00000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rPr>
          <w:rStyle w:val="1166"/>
          <w:color w:val="000000"/>
        </w:rPr>
        <w:fldChar w:fldCharType="end"/>
      </w:r>
      <w:r>
        <w:rPr>
          <w:rStyle w:val="1166"/>
          <w:color w:val="000000"/>
          <w:sz w:val="22"/>
          <w:szCs w:val="22"/>
        </w:rPr>
        <w:t xml:space="preserve">63</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"_Toc170984459"</w:instrText>
      </w:r>
      <w:r>
        <w:rPr>
          <w:rStyle w:val="1166"/>
          <w:color w:val="000000"/>
        </w:rPr>
        <w:instrText xml:space="preserve"> </w:instrText>
      </w:r>
      <w:r>
        <w:rPr>
          <w:rStyle w:val="1166"/>
          <w:color w:val="000000"/>
        </w:rPr>
        <w:fldChar w:fldCharType="separate"/>
      </w:r>
      <w:r>
        <w:rPr>
          <w:rStyle w:val="1166"/>
          <w:color w:val="000000"/>
        </w:rPr>
        <w:t xml:space="preserve">14. Депозитарные услуги**</w:t>
      </w:r>
      <w:r>
        <w:tab/>
      </w:r>
      <w:r>
        <w:rPr>
          <w:rStyle w:val="1166"/>
          <w:color w:val="000000"/>
        </w:rPr>
        <w:fldChar w:fldCharType="end"/>
      </w:r>
      <w:r>
        <w:rPr>
          <w:rStyle w:val="1166"/>
          <w:color w:val="000000"/>
          <w:sz w:val="22"/>
          <w:szCs w:val="22"/>
        </w:rPr>
        <w:t xml:space="preserve">65</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"_Toc170984460"</w:instrText>
      </w:r>
      <w:r>
        <w:rPr>
          <w:rStyle w:val="1166"/>
          <w:color w:val="000000"/>
        </w:rPr>
        <w:instrText xml:space="preserve"> </w:instrText>
      </w:r>
      <w:r>
        <w:rPr>
          <w:rStyle w:val="1166"/>
          <w:color w:val="000000"/>
        </w:rPr>
        <w:fldChar w:fldCharType="separate"/>
      </w:r>
      <w:r>
        <w:rPr>
          <w:rStyle w:val="1166"/>
          <w:color w:val="000000"/>
        </w:rPr>
        <w:t xml:space="preserve">15. Операции с монетами из драгоценных металлов</w:t>
      </w:r>
      <w:r>
        <w:tab/>
      </w:r>
      <w:r>
        <w:rPr>
          <w:rStyle w:val="1166"/>
          <w:color w:val="000000"/>
        </w:rPr>
        <w:fldChar w:fldCharType="end"/>
      </w:r>
      <w:r>
        <w:rPr>
          <w:rStyle w:val="1166"/>
          <w:color w:val="000000"/>
          <w:sz w:val="22"/>
          <w:szCs w:val="22"/>
        </w:rPr>
        <w:t xml:space="preserve">69</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"_Toc170984461"</w:instrText>
      </w:r>
      <w:r>
        <w:rPr>
          <w:rStyle w:val="1166"/>
          <w:color w:val="000000"/>
        </w:rPr>
        <w:instrText xml:space="preserve"> </w:instrText>
      </w:r>
      <w:r>
        <w:rPr>
          <w:rStyle w:val="1166"/>
          <w:color w:val="000000"/>
        </w:rPr>
        <w:fldChar w:fldCharType="separate"/>
      </w:r>
      <w:r>
        <w:rPr>
          <w:rStyle w:val="1166"/>
          <w:color w:val="000000"/>
        </w:rPr>
        <w:t xml:space="preserve">16. Операции с драгоценными металлами</w:t>
      </w:r>
      <w:r>
        <w:tab/>
      </w:r>
      <w:r>
        <w:rPr>
          <w:rStyle w:val="1166"/>
          <w:color w:val="000000"/>
        </w:rPr>
        <w:fldChar w:fldCharType="end"/>
      </w:r>
      <w:r>
        <w:rPr>
          <w:rStyle w:val="1166"/>
          <w:color w:val="000000"/>
          <w:sz w:val="22"/>
          <w:szCs w:val="22"/>
        </w:rPr>
        <w:t xml:space="preserve">70</w:t>
      </w:r>
      <w:r>
        <w:rPr>
          <w:rFonts w:ascii="Calibri" w:hAnsi="Calibri"/>
          <w:bCs w:val="0"/>
          <w:caps w:val="0"/>
          <w:szCs w:val="22"/>
          <w:lang w:val="en-US"/>
        </w:rPr>
      </w:r>
      <w:r>
        <w:rPr>
          <w:rFonts w:ascii="Calibri" w:hAnsi="Calibri"/>
          <w:bCs w:val="0"/>
          <w:caps w:val="0"/>
          <w:szCs w:val="22"/>
          <w:lang w:val="en-US"/>
        </w:rPr>
      </w:r>
    </w:p>
    <w:p>
      <w:pPr>
        <w:pStyle w:val="1168"/>
        <w:tabs>
          <w:tab w:val="right" w:pos="9889" w:leader="dot"/>
        </w:tabs>
        <w:rPr>
          <w:rFonts w:ascii="Calibri" w:hAnsi="Calibri"/>
          <w:bCs w:val="0"/>
          <w:caps w:val="0"/>
          <w:szCs w:val="22"/>
        </w:rPr>
      </w:pPr>
      <w:r>
        <w:rPr>
          <w:rStyle w:val="1166"/>
          <w:color w:val="000000"/>
        </w:rPr>
        <w:fldChar w:fldCharType="begin"/>
      </w:r>
      <w:r>
        <w:rPr>
          <w:rStyle w:val="1166"/>
          <w:color w:val="000000"/>
        </w:rPr>
        <w:instrText xml:space="preserve"> </w:instrText>
      </w:r>
      <w:r>
        <w:instrText xml:space="preserve">HYPERLINK \l "_Toc170984462"</w:instrText>
      </w:r>
      <w:r>
        <w:rPr>
          <w:rStyle w:val="1166"/>
          <w:color w:val="000000"/>
        </w:rPr>
        <w:instrText xml:space="preserve"> </w:instrText>
      </w:r>
      <w:r>
        <w:rPr>
          <w:rStyle w:val="1166"/>
          <w:color w:val="000000"/>
        </w:rPr>
        <w:fldChar w:fldCharType="separate"/>
      </w:r>
      <w:r>
        <w:rPr>
          <w:rStyle w:val="1166"/>
          <w:color w:val="000000"/>
        </w:rPr>
        <w:t xml:space="preserve">17. Обслуживание с использованием Торговой системы РСХБ - Дилинг АО «Россельхозбанк», Торговой системы РСХБ - Дилинг 2.0</w:t>
      </w:r>
      <w:r>
        <w:tab/>
      </w:r>
      <w:r>
        <w:rPr>
          <w:rStyle w:val="1166"/>
          <w:color w:val="000000"/>
        </w:rPr>
        <w:fldChar w:fldCharType="end"/>
      </w:r>
      <w:r>
        <w:rPr>
          <w:rStyle w:val="1166"/>
          <w:color w:val="000000"/>
          <w:sz w:val="22"/>
          <w:szCs w:val="22"/>
        </w:rPr>
        <w:t xml:space="preserve">71</w:t>
      </w:r>
      <w:r>
        <w:rPr>
          <w:rFonts w:ascii="Calibri" w:hAnsi="Calibri"/>
          <w:bCs w:val="0"/>
          <w:caps w:val="0"/>
          <w:szCs w:val="22"/>
        </w:rPr>
      </w:r>
      <w:r>
        <w:rPr>
          <w:rFonts w:ascii="Calibri" w:hAnsi="Calibri"/>
          <w:bCs w:val="0"/>
          <w:caps w:val="0"/>
          <w:szCs w:val="22"/>
        </w:rPr>
      </w:r>
    </w:p>
    <w:p>
      <w:pPr>
        <w:pStyle w:val="1168"/>
        <w:tabs>
          <w:tab w:val="right" w:pos="9889" w:leader="dot"/>
        </w:tabs>
        <w:rPr>
          <w:rFonts w:ascii="Calibri" w:hAnsi="Calibri"/>
          <w:bCs w:val="0"/>
          <w:caps w:val="0"/>
          <w:szCs w:val="22"/>
          <w:lang w:val="en-US"/>
        </w:rPr>
      </w:pPr>
      <w:r>
        <w:rPr>
          <w:rStyle w:val="1166"/>
          <w:color w:val="000000"/>
        </w:rPr>
        <w:fldChar w:fldCharType="begin"/>
      </w:r>
      <w:r>
        <w:rPr>
          <w:rStyle w:val="1166"/>
          <w:color w:val="000000"/>
        </w:rPr>
        <w:instrText xml:space="preserve"> </w:instrText>
      </w:r>
      <w:r>
        <w:instrText xml:space="preserve">HYPERLINK \l "_Toc170984463"</w:instrText>
      </w:r>
      <w:r>
        <w:rPr>
          <w:rStyle w:val="1166"/>
          <w:color w:val="000000"/>
        </w:rPr>
        <w:instrText xml:space="preserve"> </w:instrText>
      </w:r>
      <w:r>
        <w:rPr>
          <w:rStyle w:val="1166"/>
          <w:color w:val="000000"/>
        </w:rPr>
        <w:fldChar w:fldCharType="separate"/>
      </w:r>
      <w:r>
        <w:rPr>
          <w:rStyle w:val="1166"/>
          <w:color w:val="000000"/>
        </w:rPr>
        <w:t xml:space="preserve">18. Операци</w:t>
      </w:r>
      <w:bookmarkStart w:id="3" w:name="_Hlt170984464"/>
      <w:r>
        <w:rPr>
          <w:rStyle w:val="1166"/>
          <w:color w:val="000000"/>
        </w:rPr>
        <w:t xml:space="preserve">и</w:t>
      </w:r>
      <w:bookmarkEnd w:id="3"/>
      <w:r>
        <w:rPr>
          <w:rStyle w:val="1166"/>
          <w:color w:val="000000"/>
        </w:rPr>
        <w:t xml:space="preserve"> с использованием цифрового рубля</w:t>
      </w:r>
      <w:r>
        <w:tab/>
      </w:r>
      <w:r>
        <w:rPr>
          <w:rStyle w:val="1166"/>
          <w:color w:val="000000"/>
        </w:rPr>
        <w:fldChar w:fldCharType="end"/>
      </w:r>
      <w:r>
        <w:rPr>
          <w:rStyle w:val="1166"/>
          <w:color w:val="000000"/>
          <w:sz w:val="22"/>
          <w:szCs w:val="22"/>
        </w:rPr>
        <w:t xml:space="preserve">73</w:t>
      </w:r>
      <w:r>
        <w:rPr>
          <w:rFonts w:ascii="Calibri" w:hAnsi="Calibri"/>
          <w:bCs w:val="0"/>
          <w:caps w:val="0"/>
          <w:szCs w:val="22"/>
          <w:lang w:val="en-US"/>
        </w:rPr>
      </w:r>
      <w:r>
        <w:rPr>
          <w:rFonts w:ascii="Calibri" w:hAnsi="Calibri"/>
          <w:bCs w:val="0"/>
          <w:caps w:val="0"/>
          <w:szCs w:val="22"/>
          <w:lang w:val="en-US"/>
        </w:rPr>
      </w:r>
    </w:p>
    <w:p>
      <w:pPr>
        <w:pStyle w:val="1168"/>
        <w:tabs>
          <w:tab w:val="left" w:pos="480" w:leader="none"/>
          <w:tab w:val="right" w:pos="9889" w:leader="dot"/>
        </w:tabs>
        <w:rPr>
          <w:rStyle w:val="1166"/>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66"/>
        </w:rPr>
      </w:r>
      <w:r>
        <w:rPr>
          <w:rStyle w:val="1166"/>
        </w:rPr>
      </w:r>
    </w:p>
    <w:p>
      <w:pPr>
        <w:pStyle w:val="1168"/>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pPr>
      <w:r/>
      <w:r/>
    </w:p>
    <w:p>
      <w:pPr>
        <w:pStyle w:val="1148"/>
        <w:rPr>
          <w:lang w:val="en-US" w:eastAsia="en-US"/>
        </w:rPr>
      </w:pPr>
      <w:r>
        <w:rPr>
          <w:lang w:val="en-US" w:eastAsia="en-US"/>
        </w:rPr>
      </w:r>
      <w:r>
        <w:rPr>
          <w:lang w:val="en-US" w:eastAsia="en-US"/>
        </w:rPr>
      </w:r>
      <w:r>
        <w:rPr>
          <w:lang w:val="en-US" w:eastAsia="en-US"/>
        </w:rPr>
      </w:r>
    </w:p>
    <w:p>
      <w:pPr>
        <w:pStyle w:val="1148"/>
      </w:pPr>
      <w:r/>
      <w:r/>
    </w:p>
    <w:p>
      <w:pPr>
        <w:pStyle w:val="1148"/>
        <w:rPr>
          <w:sz w:val="20"/>
          <w:szCs w:val="20"/>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rPr>
          <w:sz w:val="20"/>
          <w:szCs w:val="20"/>
        </w:rPr>
      </w:r>
      <w:r>
        <w:rPr>
          <w:sz w:val="20"/>
          <w:szCs w:val="20"/>
        </w:rPr>
      </w:r>
    </w:p>
    <w:p>
      <w:pPr>
        <w:pStyle w:val="1152"/>
        <w:numPr>
          <w:ilvl w:val="0"/>
          <w:numId w:val="16"/>
        </w:numPr>
        <w:rPr>
          <w:lang w:val="ru-RU"/>
        </w:rPr>
      </w:pPr>
      <w:r/>
      <w:bookmarkStart w:id="20" w:name="_Toc170984446"/>
      <w:r>
        <w:rPr>
          <w:lang w:val="ru-RU"/>
        </w:rPr>
        <w:t xml:space="preserve">Открытие и ведение счетов</w:t>
      </w:r>
      <w:bookmarkEnd w:id="12"/>
      <w:r>
        <w:rPr>
          <w:lang w:val="ru-RU"/>
        </w:rPr>
      </w:r>
      <w:r>
        <w:rPr>
          <w:lang w:val="ru-RU"/>
        </w:rPr>
      </w:r>
    </w:p>
    <w:tbl>
      <w:tblPr>
        <w:tblW w:w="102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01"/>
        <w:gridCol w:w="2469"/>
        <w:gridCol w:w="360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center"/>
            <w:textDirection w:val="lrTb"/>
            <w:noWrap w:val="false"/>
          </w:tcPr>
          <w:p>
            <w:pPr>
              <w:pStyle w:val="1148"/>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4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96"/>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48"/>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48"/>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48"/>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3000 руб. в месяц</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в месяц</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t xml:space="preserve">-</w:t>
            </w:r>
            <w:r>
              <w:rPr>
                <w:rFonts w:ascii="Times New Roman" w:hAnsi="Times New Roman"/>
                <w:sz w:val="24"/>
                <w:szCs w:val="24"/>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96"/>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48"/>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48"/>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48"/>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48"/>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48"/>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550 руб.</w:t>
            </w:r>
            <w:r>
              <w:rPr>
                <w:sz w:val="20"/>
                <w:szCs w:val="20"/>
              </w:rPr>
            </w:r>
            <w:r>
              <w:rPr>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ind w:left="34"/>
              <w:spacing w:after="40"/>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spacing w:after="40"/>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48"/>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1.1.7.1.</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spacing w:after="120"/>
              <w:rPr>
                <w:sz w:val="20"/>
                <w:szCs w:val="20"/>
              </w:rPr>
            </w:pPr>
            <w:r>
              <w:rPr>
                <w:sz w:val="20"/>
                <w:szCs w:val="20"/>
              </w:rPr>
              <w:t xml:space="preserve">300 руб. </w:t>
            </w:r>
            <w:r>
              <w:rPr>
                <w:sz w:val="20"/>
                <w:szCs w:val="20"/>
              </w:rPr>
            </w:r>
            <w:r>
              <w:rPr>
                <w:sz w:val="20"/>
                <w:szCs w:val="20"/>
              </w:rPr>
            </w:r>
          </w:p>
          <w:p>
            <w:pPr>
              <w:pStyle w:val="1148"/>
              <w:jc w:val="center"/>
              <w:spacing w:after="120"/>
              <w:rPr>
                <w:sz w:val="20"/>
                <w:szCs w:val="20"/>
              </w:rPr>
            </w:pPr>
            <w:r>
              <w:rPr>
                <w:sz w:val="20"/>
                <w:szCs w:val="20"/>
              </w:rPr>
              <w:t xml:space="preserve">при ОБЩЕЙ СУММЕ </w:t>
            </w:r>
            <w:r>
              <w:rPr>
                <w:sz w:val="20"/>
                <w:szCs w:val="20"/>
              </w:rPr>
            </w:r>
            <w:r>
              <w:rPr>
                <w:sz w:val="20"/>
                <w:szCs w:val="20"/>
              </w:rPr>
            </w:r>
          </w:p>
          <w:p>
            <w:pPr>
              <w:pStyle w:val="1148"/>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1%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1,7%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300 000,01 руб. </w:t>
            </w:r>
            <w:r>
              <w:rPr>
                <w:sz w:val="20"/>
                <w:szCs w:val="20"/>
              </w:rPr>
            </w:r>
            <w:r>
              <w:rPr>
                <w:sz w:val="20"/>
                <w:szCs w:val="20"/>
              </w:rPr>
            </w:r>
          </w:p>
          <w:p>
            <w:pPr>
              <w:pStyle w:val="1148"/>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3,7% от суммы </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 2 000 000,01 руб. </w:t>
            </w:r>
            <w:r>
              <w:rPr>
                <w:sz w:val="20"/>
                <w:szCs w:val="20"/>
              </w:rPr>
            </w:r>
            <w:r>
              <w:rPr>
                <w:sz w:val="20"/>
                <w:szCs w:val="20"/>
              </w:rPr>
            </w:r>
          </w:p>
          <w:p>
            <w:pPr>
              <w:pStyle w:val="1148"/>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48"/>
              <w:jc w:val="center"/>
              <w:spacing w:after="120"/>
              <w:rPr>
                <w:sz w:val="20"/>
                <w:szCs w:val="20"/>
              </w:rPr>
            </w:pPr>
            <w:r>
              <w:rPr>
                <w:sz w:val="20"/>
                <w:szCs w:val="20"/>
              </w:rPr>
              <w:t xml:space="preserve">6% от суммы</w:t>
            </w:r>
            <w:r>
              <w:rPr>
                <w:sz w:val="20"/>
                <w:szCs w:val="20"/>
              </w:rPr>
            </w:r>
            <w:r>
              <w:rPr>
                <w:sz w:val="20"/>
                <w:szCs w:val="20"/>
              </w:rPr>
            </w:r>
          </w:p>
          <w:p>
            <w:pPr>
              <w:pStyle w:val="1148"/>
              <w:jc w:val="center"/>
              <w:spacing w:after="120"/>
              <w:rPr>
                <w:sz w:val="20"/>
                <w:szCs w:val="20"/>
              </w:rPr>
            </w:pPr>
            <w:r>
              <w:rPr>
                <w:sz w:val="20"/>
                <w:szCs w:val="20"/>
              </w:rPr>
              <w:t xml:space="preserve">при ОБЩЕЙ СУММЕ</w:t>
            </w:r>
            <w:r>
              <w:rPr>
                <w:sz w:val="20"/>
                <w:szCs w:val="20"/>
              </w:rPr>
            </w:r>
            <w:r>
              <w:rPr>
                <w:sz w:val="20"/>
                <w:szCs w:val="20"/>
              </w:rPr>
            </w:r>
          </w:p>
          <w:p>
            <w:pPr>
              <w:pStyle w:val="1148"/>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48"/>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48"/>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48"/>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48"/>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48"/>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48"/>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48"/>
              <w:jc w:val="both"/>
              <w:rPr>
                <w:sz w:val="20"/>
                <w:szCs w:val="20"/>
              </w:rPr>
            </w:pPr>
            <w:r>
              <w:rPr>
                <w:sz w:val="20"/>
                <w:szCs w:val="20"/>
              </w:rPr>
              <w:t xml:space="preserve">- перечисление алиментов, пенсий,</w:t>
            </w:r>
            <w:r>
              <w:rPr>
                <w:sz w:val="20"/>
                <w:szCs w:val="20"/>
              </w:rPr>
            </w:r>
            <w:r>
              <w:rPr>
                <w:sz w:val="20"/>
                <w:szCs w:val="20"/>
              </w:rPr>
            </w:r>
          </w:p>
          <w:p>
            <w:pPr>
              <w:pStyle w:val="1148"/>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48"/>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48"/>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48"/>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48"/>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48"/>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48"/>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48"/>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48"/>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48"/>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48"/>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48"/>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48"/>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48"/>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48"/>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48"/>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top w:val="none" w:color="FFFFFF" w:sz="255"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2"/>
                <w:szCs w:val="22"/>
              </w:rPr>
            </w:pPr>
            <w:r>
              <w:rPr>
                <w:bCs/>
                <w:sz w:val="22"/>
                <w:szCs w:val="22"/>
              </w:rPr>
              <w:t xml:space="preserve">500 руб.</w:t>
            </w:r>
            <w:r>
              <w:rPr>
                <w:bCs/>
                <w:sz w:val="22"/>
                <w:szCs w:val="22"/>
              </w:rPr>
            </w:r>
            <w:r>
              <w:rPr>
                <w:bCs/>
                <w:sz w:val="22"/>
                <w:szCs w:val="22"/>
              </w:rPr>
            </w:r>
          </w:p>
          <w:p>
            <w:pPr>
              <w:pStyle w:val="1148"/>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48"/>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gridSpan w:val="2"/>
            <w:tcBorders>
              <w:left w:val="single" w:color="000000" w:sz="4" w:space="0"/>
              <w:bottom w:val="single" w:color="000000" w:sz="4" w:space="0"/>
              <w:right w:val="single" w:color="000000" w:sz="4" w:space="0"/>
            </w:tcBorders>
            <w:tcW w:w="3613" w:type="dxa"/>
            <w:vAlign w:val="top"/>
            <w:vMerge w:val="continue"/>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48"/>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p>
            <w:pPr>
              <w:pStyle w:val="1148"/>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02" w:type="dxa"/>
            <w:vAlign w:val="top"/>
            <w:textDirection w:val="lrTb"/>
            <w:noWrap w:val="false"/>
          </w:tcPr>
          <w:p>
            <w:pPr>
              <w:pStyle w:val="1148"/>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48"/>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48"/>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48"/>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vMerge w:val="restart"/>
            <w:textDirection w:val="lrTb"/>
            <w:noWrap w:val="false"/>
          </w:tcPr>
          <w:p>
            <w:pPr>
              <w:pStyle w:val="1148"/>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3000 руб.</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firstLine="52"/>
              <w:jc w:val="both"/>
              <w:spacing w:before="40"/>
              <w:rPr>
                <w:bCs/>
                <w:sz w:val="20"/>
                <w:szCs w:val="20"/>
              </w:rPr>
            </w:pPr>
            <w:r>
              <w:rPr>
                <w:bCs/>
                <w:sz w:val="20"/>
                <w:szCs w:val="20"/>
              </w:rPr>
            </w:r>
            <w:r>
              <w:rPr>
                <w:bCs/>
                <w:sz w:val="20"/>
                <w:szCs w:val="20"/>
              </w:rPr>
            </w:r>
            <w:r>
              <w:rPr>
                <w:bCs/>
                <w:sz w:val="20"/>
                <w:szCs w:val="20"/>
              </w:rPr>
            </w:r>
          </w:p>
          <w:p>
            <w:pPr>
              <w:pStyle w:val="1148"/>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gridSpan w:val="2"/>
            <w:tcBorders>
              <w:top w:val="single" w:color="000000" w:sz="4"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r>
            <w:r>
              <w:rPr>
                <w:rFonts w:ascii="Times New Roman" w:hAnsi="Times New Roman"/>
                <w:sz w:val="24"/>
                <w:szCs w:val="24"/>
              </w:rPr>
              <w:t xml:space="preserve"> </w:t>
            </w:r>
            <w:r>
              <w:rPr>
                <w:rFonts w:ascii="Times New Roman" w:hAnsi="Times New Roman"/>
                <w:sz w:val="20"/>
                <w:szCs w:val="20"/>
              </w:rPr>
              <w:t xml:space="preserve">-</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t xml:space="preserve">-</w:t>
            </w:r>
            <w:r>
              <w:rPr>
                <w:rFonts w:ascii="Times New Roman" w:hAnsi="Times New Roman"/>
                <w:sz w:val="24"/>
                <w:szCs w:val="24"/>
              </w:rPr>
              <w:t xml:space="preserve"> </w:t>
            </w:r>
            <w:r>
              <w:rPr>
                <w:rFonts w:ascii="Times New Roman" w:hAnsi="Times New Roman"/>
                <w:sz w:val="24"/>
                <w:szCs w:val="24"/>
              </w:rPr>
              <w:t xml:space="preserve">з</w:t>
            </w:r>
            <w:r>
              <w:rPr>
                <w:rFonts w:ascii="Times New Roman" w:hAnsi="Times New Roman"/>
                <w:sz w:val="20"/>
                <w:szCs w:val="20"/>
              </w:rPr>
              <w:t xml:space="preserve">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spacing w:before="40"/>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FFFFFF" w:sz="255" w:space="0"/>
              <w:left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48"/>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gridSpan w:val="2"/>
            <w:tcBorders>
              <w:left w:val="single" w:color="000000" w:sz="4" w:space="0"/>
              <w:bottom w:val="none" w:color="FFFFFF" w:sz="255" w:space="0"/>
              <w:right w:val="single" w:color="000000" w:sz="4" w:space="0"/>
            </w:tcBorders>
            <w:tcW w:w="3613" w:type="dxa"/>
            <w:vAlign w:val="top"/>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gridSpan w:val="2"/>
            <w:tcBorders>
              <w:top w:val="none" w:color="FFFFFF" w:sz="255" w:space="0"/>
              <w:left w:val="single" w:color="000000" w:sz="4" w:space="0"/>
              <w:bottom w:val="none" w:color="FFFFFF" w:sz="255"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 </w:t>
            </w:r>
            <w:r>
              <w:rPr>
                <w:sz w:val="20"/>
                <w:szCs w:val="20"/>
                <w:lang w:eastAsia="en-US"/>
              </w:rPr>
              <w:t xml:space="preserve">% от совокупного среднедневного остатка </w:t>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FFFFFF" w:sz="255"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rFonts w:ascii="Times New Roman" w:hAnsi="Times New Roman"/>
                <w:sz w:val="20"/>
                <w:szCs w:val="20"/>
                <w:highlight w:val="none"/>
              </w:rPr>
            </w:pPr>
            <w:r>
              <w:rPr>
                <w:sz w:val="20"/>
                <w:szCs w:val="20"/>
                <w:highlight w:val="none"/>
                <w:lang w:eastAsia="en-US"/>
              </w:rPr>
            </w:r>
            <w:r>
              <w:rPr>
                <w:rFonts w:ascii="Times New Roman" w:hAnsi="Times New Roman"/>
                <w:sz w:val="24"/>
                <w:szCs w:val="24"/>
              </w:rPr>
              <w:t xml:space="preserve"> </w:t>
            </w:r>
            <w:r>
              <w:rPr>
                <w:rFonts w:ascii="Times New Roman" w:hAnsi="Times New Roman"/>
                <w:sz w:val="20"/>
                <w:szCs w:val="20"/>
              </w:rPr>
              <w:t xml:space="preserve">-</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spacing w:before="40"/>
              <w:tabs>
                <w:tab w:val="left" w:pos="708" w:leader="none"/>
                <w:tab w:val="center" w:pos="4677" w:leader="none"/>
                <w:tab w:val="right" w:pos="9355" w:leader="none"/>
              </w:tabs>
              <w:rPr>
                <w:sz w:val="20"/>
                <w:szCs w:val="20"/>
              </w:rPr>
            </w:pPr>
            <w:r>
              <w:rPr>
                <w:rFonts w:ascii="Times New Roman" w:hAnsi="Times New Roman"/>
                <w:sz w:val="20"/>
                <w:szCs w:val="20"/>
                <w:highlight w:val="none"/>
              </w:rPr>
            </w:r>
            <w:r>
              <w:rPr>
                <w:sz w:val="20"/>
                <w:szCs w:val="20"/>
              </w:rPr>
            </w:r>
            <w:r>
              <w:rPr>
                <w:sz w:val="20"/>
                <w:szCs w:val="20"/>
              </w:rPr>
            </w:r>
          </w:p>
          <w:p>
            <w:pPr>
              <w:pStyle w:val="1148"/>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pStyle w:val="1148"/>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48"/>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48"/>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48"/>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48"/>
              <w:jc w:val="both"/>
              <w:spacing w:before="40"/>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Не признаются операциями по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причисление процентов к счету;</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lang w:eastAsia="en-US"/>
              </w:rPr>
            </w:pPr>
            <w:r>
              <w:rPr>
                <w:rFonts w:eastAsia="Calibri"/>
                <w:sz w:val="22"/>
                <w:szCs w:val="22"/>
                <w:lang w:eastAsia="en-US"/>
              </w:rPr>
              <w:t xml:space="preserve">- взимание комиссий Банка; </w:t>
            </w:r>
            <w:r>
              <w:rPr>
                <w:rFonts w:eastAsia="Calibri"/>
                <w:sz w:val="22"/>
                <w:szCs w:val="22"/>
                <w:lang w:eastAsia="en-US"/>
              </w:rPr>
            </w:r>
            <w:r>
              <w:rPr>
                <w:rFonts w:eastAsia="Calibri"/>
                <w:sz w:val="22"/>
                <w:szCs w:val="22"/>
                <w:lang w:eastAsia="en-US"/>
              </w:rPr>
            </w:r>
          </w:p>
          <w:p>
            <w:pPr>
              <w:pStyle w:val="1148"/>
              <w:jc w:val="both"/>
              <w:tabs>
                <w:tab w:val="left" w:pos="708" w:leader="none"/>
                <w:tab w:val="center" w:pos="4677" w:leader="none"/>
                <w:tab w:val="right" w:pos="9355" w:leader="none"/>
              </w:tabs>
              <w:rPr>
                <w:rFonts w:eastAsia="Calibri"/>
                <w:sz w:val="22"/>
                <w:szCs w:val="22"/>
                <w:highlight w:val="none"/>
                <w:lang w:eastAsia="en-US"/>
              </w:rPr>
            </w:pPr>
            <w:r>
              <w:rPr>
                <w:rFonts w:eastAsia="Calibri"/>
                <w:sz w:val="22"/>
                <w:szCs w:val="22"/>
                <w:lang w:eastAsia="en-US"/>
              </w:rPr>
              <w:t xml:space="preserve">- зачисление/списание со счета ошибочно зачисленных Банком денежных средств.</w:t>
            </w:r>
            <w:r>
              <w:rPr>
                <w:rFonts w:eastAsia="Calibri"/>
                <w:sz w:val="22"/>
                <w:szCs w:val="22"/>
                <w:highlight w:val="none"/>
                <w:lang w:eastAsia="en-US"/>
              </w:rPr>
            </w:r>
            <w:r>
              <w:rPr>
                <w:rFonts w:eastAsia="Calibri"/>
                <w:sz w:val="22"/>
                <w:szCs w:val="22"/>
                <w:highlight w:val="none"/>
                <w:lang w:eastAsia="en-US"/>
              </w:rPr>
            </w:r>
          </w:p>
          <w:p>
            <w:pPr>
              <w:jc w:val="both"/>
              <w:tabs>
                <w:tab w:val="left" w:pos="708" w:leader="none"/>
                <w:tab w:val="center" w:pos="4677" w:leader="none"/>
                <w:tab w:val="right" w:pos="9355" w:leader="none"/>
              </w:tabs>
              <w:rPr>
                <w:rFonts w:ascii="Times New Roman" w:hAnsi="Times New Roman"/>
                <w:sz w:val="20"/>
                <w:szCs w:val="20"/>
                <w:highlight w:val="none"/>
              </w:rPr>
            </w:pPr>
            <w:r>
              <w:rPr>
                <w:rFonts w:eastAsia="Calibri"/>
                <w:sz w:val="22"/>
                <w:szCs w:val="22"/>
                <w:highlight w:val="none"/>
                <w:lang w:eastAsia="en-US"/>
              </w:rPr>
              <w:t xml:space="preserve"> -</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highlight w:val="none"/>
              </w:rPr>
            </w:r>
            <w:r>
              <w:rPr>
                <w:rFonts w:ascii="Times New Roman" w:hAnsi="Times New Roman"/>
                <w:sz w:val="20"/>
                <w:szCs w:val="20"/>
                <w:highlight w:val="none"/>
              </w:rPr>
            </w:r>
          </w:p>
          <w:p>
            <w:pPr>
              <w:jc w:val="both"/>
              <w:tabs>
                <w:tab w:val="left" w:pos="708" w:leader="none"/>
                <w:tab w:val="center" w:pos="4677" w:leader="none"/>
                <w:tab w:val="right" w:pos="9355" w:leader="none"/>
              </w:tabs>
              <w:rPr>
                <w:rFonts w:eastAsia="Calibri"/>
                <w:sz w:val="20"/>
                <w:szCs w:val="20"/>
              </w:rPr>
            </w:pPr>
            <w:r>
              <w:rPr>
                <w:rFonts w:ascii="Times New Roman" w:hAnsi="Times New Roman"/>
                <w:sz w:val="20"/>
                <w:szCs w:val="20"/>
                <w:highlight w:val="none"/>
              </w:rPr>
            </w:r>
            <w:r>
              <w:rPr>
                <w:rFonts w:eastAsia="Calibri"/>
                <w:sz w:val="20"/>
                <w:szCs w:val="20"/>
              </w:rPr>
            </w:r>
            <w:r>
              <w:rPr>
                <w:rFonts w:eastAsia="Calibri"/>
                <w:sz w:val="20"/>
                <w:szCs w:val="20"/>
              </w:rPr>
            </w:r>
          </w:p>
          <w:p>
            <w:pPr>
              <w:pStyle w:val="1148"/>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eastAsia="Calibri"/>
                <w:sz w:val="20"/>
                <w:szCs w:val="20"/>
              </w:rPr>
            </w:r>
            <w:r>
              <w:rPr>
                <w:rFonts w:eastAsia="Calibri"/>
                <w:sz w:val="20"/>
                <w:szCs w:val="20"/>
              </w:rPr>
            </w:r>
          </w:p>
          <w:p>
            <w:pPr>
              <w:pStyle w:val="1148"/>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0,33%</w:t>
            </w:r>
            <w:r>
              <w:rPr>
                <w:sz w:val="20"/>
                <w:szCs w:val="20"/>
              </w:rPr>
            </w:r>
            <w:r>
              <w:rPr>
                <w:sz w:val="20"/>
                <w:szCs w:val="20"/>
              </w:rPr>
            </w:r>
          </w:p>
          <w:p>
            <w:pPr>
              <w:pStyle w:val="1148"/>
              <w:jc w:val="center"/>
              <w:rPr>
                <w:sz w:val="20"/>
                <w:szCs w:val="20"/>
              </w:rPr>
            </w:pPr>
            <w:r>
              <w:rPr>
                <w:sz w:val="20"/>
                <w:szCs w:val="20"/>
              </w:rPr>
              <w:t xml:space="preserve">минимум </w:t>
            </w:r>
            <w:r>
              <w:rPr>
                <w:sz w:val="20"/>
                <w:szCs w:val="20"/>
              </w:rPr>
            </w:r>
            <w:r>
              <w:rPr>
                <w:sz w:val="20"/>
                <w:szCs w:val="20"/>
              </w:rPr>
            </w:r>
          </w:p>
          <w:p>
            <w:pPr>
              <w:pStyle w:val="1148"/>
              <w:jc w:val="center"/>
              <w:rPr>
                <w:sz w:val="20"/>
                <w:szCs w:val="20"/>
              </w:rPr>
            </w:pPr>
            <w:r>
              <w:rPr>
                <w:sz w:val="20"/>
                <w:szCs w:val="20"/>
              </w:rPr>
              <w:t xml:space="preserve">25 долл. США,</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center"/>
            <w:textDirection w:val="lrTb"/>
            <w:noWrap w:val="false"/>
          </w:tcPr>
          <w:p>
            <w:pPr>
              <w:pStyle w:val="1148"/>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textDirection w:val="lrTb"/>
            <w:noWrap w:val="false"/>
          </w:tcPr>
          <w:p>
            <w:pPr>
              <w:pStyle w:val="1148"/>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48"/>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48"/>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48"/>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48"/>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48"/>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
                <w:bCs/>
                <w:i/>
                <w:sz w:val="20"/>
                <w:szCs w:val="20"/>
              </w:rPr>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72" w:type="dxa"/>
            <w:vAlign w:val="top"/>
            <w:textDirection w:val="lrTb"/>
            <w:noWrap w:val="false"/>
          </w:tcPr>
          <w:p>
            <w:pPr>
              <w:pStyle w:val="1148"/>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48"/>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48"/>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48"/>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48"/>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250 руб. 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48"/>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top"/>
            <w:vMerge w:val="restart"/>
            <w:textDirection w:val="lrTb"/>
            <w:noWrap w:val="false"/>
          </w:tcPr>
          <w:p>
            <w:pPr>
              <w:pStyle w:val="1148"/>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gridSpan w:val="2"/>
            <w:tcBorders>
              <w:top w:val="single" w:color="000000" w:sz="4" w:space="0"/>
              <w:left w:val="single" w:color="000000" w:sz="4" w:space="0"/>
              <w:bottom w:val="none" w:color="FFFFFF" w:sz="255"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48"/>
              <w:jc w:val="center"/>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bCs/>
                <w:sz w:val="20"/>
                <w:szCs w:val="20"/>
              </w:rPr>
            </w:pPr>
            <w:r>
              <w:rPr>
                <w:bCs/>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48"/>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rPr>
                <w:sz w:val="20"/>
                <w:szCs w:val="20"/>
              </w:rPr>
            </w:pPr>
            <w:r>
              <w:rPr>
                <w:sz w:val="20"/>
                <w:szCs w:val="20"/>
              </w:rPr>
              <w:t xml:space="preserve">Не взимается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201" w:type="dxa"/>
            <w:vAlign w:val="top"/>
            <w:textDirection w:val="lrTb"/>
            <w:noWrap w:val="false"/>
          </w:tcPr>
          <w:p>
            <w:pPr>
              <w:pStyle w:val="1148"/>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top"/>
            <w:vMerge w:val="restart"/>
            <w:textDirection w:val="lrTb"/>
            <w:noWrap w:val="false"/>
          </w:tcPr>
          <w:p>
            <w:pPr>
              <w:pStyle w:val="1148"/>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48"/>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201" w:type="dxa"/>
            <w:vAlign w:val="top"/>
            <w:textDirection w:val="lrTb"/>
            <w:noWrap w:val="false"/>
          </w:tcPr>
          <w:p>
            <w:pPr>
              <w:pStyle w:val="1148"/>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13"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48"/>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01"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48"/>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13" w:type="dxa"/>
            <w:vAlign w:val="top"/>
            <w:textDirection w:val="lrTb"/>
            <w:noWrap w:val="false"/>
          </w:tcPr>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48"/>
        <w:rPr>
          <w:lang w:eastAsia="en-US"/>
        </w:rPr>
      </w:pPr>
      <w:r>
        <w:rPr>
          <w:lang w:eastAsia="en-US"/>
        </w:rPr>
      </w:r>
      <w:r>
        <w:rPr>
          <w:lang w:eastAsia="en-US"/>
        </w:rPr>
      </w:r>
      <w:r>
        <w:rPr>
          <w:lang w:eastAsia="en-US"/>
        </w:rPr>
      </w:r>
    </w:p>
    <w:p>
      <w:pPr>
        <w:pStyle w:val="1148"/>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48"/>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48"/>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48"/>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48"/>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48"/>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52"/>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48"/>
              <w:jc w:val="center"/>
              <w:rPr>
                <w:b/>
                <w:bCs/>
                <w:sz w:val="20"/>
                <w:szCs w:val="20"/>
              </w:rPr>
            </w:pPr>
            <w:r>
              <w:rPr>
                <w:b/>
                <w:bCs/>
                <w:sz w:val="20"/>
                <w:szCs w:val="20"/>
              </w:rPr>
              <w:t xml:space="preserve">№</w:t>
            </w:r>
            <w:r>
              <w:rPr>
                <w:b/>
                <w:bCs/>
                <w:sz w:val="20"/>
                <w:szCs w:val="20"/>
              </w:rPr>
            </w:r>
            <w:r>
              <w:rPr>
                <w:b/>
                <w:bCs/>
                <w:sz w:val="20"/>
                <w:szCs w:val="20"/>
              </w:rPr>
            </w:r>
          </w:p>
          <w:p>
            <w:pPr>
              <w:pStyle w:val="1148"/>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48"/>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48"/>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48"/>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48"/>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48"/>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48"/>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48"/>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48"/>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48"/>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48"/>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48"/>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48"/>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48"/>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48"/>
              <w:jc w:val="both"/>
              <w:spacing w:before="40"/>
              <w:rPr>
                <w:sz w:val="20"/>
                <w:szCs w:val="20"/>
                <w:lang w:eastAsia="en-US"/>
              </w:rPr>
            </w:pPr>
            <w:r>
              <w:rPr>
                <w:sz w:val="20"/>
                <w:szCs w:val="20"/>
                <w:lang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48"/>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u w:val="single"/>
        </w:rPr>
      </w:pPr>
      <w:r>
        <w:rPr>
          <w:bCs/>
          <w:sz w:val="20"/>
          <w:szCs w:val="20"/>
          <w:u w:val="single"/>
        </w:rPr>
      </w:r>
      <w:r>
        <w:rPr>
          <w:bCs/>
          <w:sz w:val="20"/>
          <w:szCs w:val="20"/>
          <w:u w:val="single"/>
        </w:rPr>
      </w:r>
      <w:r>
        <w:rPr>
          <w:bCs/>
          <w:sz w:val="20"/>
          <w:szCs w:val="20"/>
          <w:u w:val="single"/>
        </w:rPr>
      </w:r>
    </w:p>
    <w:p>
      <w:pPr>
        <w:pStyle w:val="1148"/>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48"/>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48"/>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48"/>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48"/>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48"/>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48"/>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48"/>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48"/>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contextualSpacing/>
              <w:jc w:val="center"/>
              <w:spacing w:before="40"/>
              <w:rPr>
                <w:sz w:val="20"/>
                <w:szCs w:val="20"/>
              </w:rPr>
            </w:pPr>
            <w:r>
              <w:rPr>
                <w:sz w:val="20"/>
                <w:szCs w:val="20"/>
              </w:rPr>
              <w:t xml:space="preserve">0,15 % </w:t>
            </w:r>
            <w:r>
              <w:rPr>
                <w:sz w:val="20"/>
                <w:szCs w:val="20"/>
              </w:rPr>
            </w:r>
            <w:r>
              <w:rPr>
                <w:sz w:val="20"/>
                <w:szCs w:val="20"/>
              </w:rPr>
            </w:r>
          </w:p>
          <w:p>
            <w:pPr>
              <w:pStyle w:val="1148"/>
              <w:contextualSpacing/>
              <w:jc w:val="center"/>
              <w:spacing w:before="40"/>
              <w:rPr>
                <w:sz w:val="20"/>
                <w:szCs w:val="20"/>
              </w:rPr>
            </w:pPr>
            <w:r>
              <w:rPr>
                <w:sz w:val="20"/>
                <w:szCs w:val="20"/>
              </w:rPr>
              <w:t xml:space="preserve">минимум </w:t>
            </w:r>
            <w:r>
              <w:rPr>
                <w:sz w:val="20"/>
                <w:szCs w:val="20"/>
              </w:rPr>
              <w:t xml:space="preserve">3</w:t>
            </w:r>
            <w:r>
              <w:rPr>
                <w:sz w:val="20"/>
                <w:szCs w:val="20"/>
              </w:rPr>
              <w:t xml:space="preserve">00 руб.,   </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48"/>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48"/>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48"/>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48"/>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48"/>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48"/>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48"/>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48"/>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48"/>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48"/>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48"/>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48"/>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48"/>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48"/>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48"/>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48"/>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48"/>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48"/>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4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48"/>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48"/>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48"/>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48"/>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48"/>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48"/>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4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3 000 руб.</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48"/>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48"/>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48"/>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0,15 % </w:t>
            </w:r>
            <w:r>
              <w:rPr>
                <w:sz w:val="20"/>
                <w:szCs w:val="20"/>
              </w:rPr>
            </w:r>
            <w:r>
              <w:rPr>
                <w:sz w:val="20"/>
                <w:szCs w:val="20"/>
              </w:rPr>
            </w:r>
          </w:p>
          <w:p>
            <w:pPr>
              <w:pStyle w:val="1148"/>
              <w:jc w:val="center"/>
              <w:rPr>
                <w:sz w:val="20"/>
                <w:szCs w:val="20"/>
              </w:rPr>
            </w:pPr>
            <w:r>
              <w:rPr>
                <w:sz w:val="20"/>
                <w:szCs w:val="20"/>
              </w:rPr>
              <w:t xml:space="preserve">минимум 500 руб., максимум 80 000 руб. </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48"/>
              <w:jc w:val="both"/>
              <w:rPr>
                <w:sz w:val="20"/>
                <w:szCs w:val="20"/>
              </w:rPr>
            </w:pPr>
            <w:r>
              <w:rPr>
                <w:sz w:val="20"/>
                <w:szCs w:val="20"/>
              </w:rPr>
              <w:t xml:space="preserve">Комиссия взимается:</w:t>
            </w:r>
            <w:r>
              <w:rPr>
                <w:sz w:val="20"/>
                <w:szCs w:val="20"/>
              </w:rPr>
            </w:r>
            <w:r>
              <w:rPr>
                <w:sz w:val="20"/>
                <w:szCs w:val="20"/>
              </w:rPr>
            </w:r>
          </w:p>
          <w:p>
            <w:pPr>
              <w:pStyle w:val="1148"/>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4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48"/>
              <w:contextualSpacing/>
              <w:jc w:val="center"/>
              <w:rPr>
                <w:sz w:val="20"/>
                <w:szCs w:val="20"/>
              </w:rPr>
            </w:pPr>
            <w:r>
              <w:rPr>
                <w:sz w:val="20"/>
                <w:szCs w:val="20"/>
              </w:rPr>
              <w:t xml:space="preserve">0,12%</w:t>
            </w:r>
            <w:r>
              <w:rPr>
                <w:sz w:val="20"/>
                <w:szCs w:val="20"/>
              </w:rPr>
            </w:r>
            <w:r>
              <w:rPr>
                <w:sz w:val="20"/>
                <w:szCs w:val="20"/>
              </w:rPr>
            </w:r>
          </w:p>
          <w:p>
            <w:pPr>
              <w:pStyle w:val="1148"/>
              <w:contextualSpacing/>
              <w:jc w:val="center"/>
              <w:rPr>
                <w:sz w:val="20"/>
                <w:szCs w:val="20"/>
              </w:rPr>
            </w:pPr>
            <w:r>
              <w:rPr>
                <w:sz w:val="20"/>
                <w:szCs w:val="20"/>
              </w:rPr>
              <w:t xml:space="preserve">минимум </w:t>
            </w:r>
            <w:r>
              <w:rPr>
                <w:sz w:val="20"/>
                <w:szCs w:val="20"/>
              </w:rPr>
              <w:t xml:space="preserve">1</w:t>
            </w:r>
            <w:r>
              <w:rPr>
                <w:sz w:val="20"/>
                <w:szCs w:val="20"/>
              </w:rPr>
              <w:t xml:space="preserve">50 руб.,</w:t>
            </w:r>
            <w:r>
              <w:rPr>
                <w:sz w:val="20"/>
                <w:szCs w:val="20"/>
              </w:rPr>
            </w:r>
            <w:r>
              <w:rPr>
                <w:sz w:val="20"/>
                <w:szCs w:val="20"/>
              </w:rPr>
            </w:r>
          </w:p>
          <w:p>
            <w:pPr>
              <w:pStyle w:val="1148"/>
              <w:contextualSpacing/>
              <w:jc w:val="center"/>
              <w:rPr>
                <w:sz w:val="20"/>
                <w:szCs w:val="20"/>
              </w:rPr>
            </w:pPr>
            <w:r>
              <w:rPr>
                <w:sz w:val="20"/>
                <w:szCs w:val="20"/>
              </w:rPr>
              <w:t xml:space="preserve">максимум </w:t>
            </w:r>
            <w:r>
              <w:rPr>
                <w:sz w:val="20"/>
                <w:szCs w:val="20"/>
              </w:rPr>
              <w:t xml:space="preserve">5</w:t>
            </w:r>
            <w:r>
              <w:rPr>
                <w:sz w:val="20"/>
                <w:szCs w:val="20"/>
              </w:rPr>
              <w:t xml:space="preserve"> 000 руб.</w:t>
            </w:r>
            <w:r>
              <w:rPr>
                <w:sz w:val="20"/>
                <w:szCs w:val="20"/>
              </w:rPr>
            </w:r>
            <w:r>
              <w:rPr>
                <w:sz w:val="20"/>
                <w:szCs w:val="20"/>
              </w:rPr>
            </w:r>
          </w:p>
          <w:p>
            <w:pPr>
              <w:pStyle w:val="1148"/>
              <w:contextualSpacing/>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48"/>
              <w:jc w:val="both"/>
              <w:rPr>
                <w:b/>
                <w:sz w:val="20"/>
                <w:szCs w:val="20"/>
              </w:rPr>
            </w:pPr>
            <w:r>
              <w:rPr>
                <w:b/>
                <w:sz w:val="20"/>
                <w:szCs w:val="20"/>
              </w:rPr>
              <w:t xml:space="preserve">Комиссия не взимается:</w:t>
            </w:r>
            <w:r>
              <w:rPr>
                <w:b/>
                <w:sz w:val="20"/>
                <w:szCs w:val="20"/>
              </w:rPr>
            </w:r>
            <w:r>
              <w:rPr>
                <w:b/>
                <w:sz w:val="20"/>
                <w:szCs w:val="20"/>
              </w:rPr>
            </w:r>
          </w:p>
          <w:p>
            <w:pPr>
              <w:pStyle w:val="1148"/>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48"/>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48"/>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48"/>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48"/>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48"/>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4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48"/>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48"/>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48"/>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48"/>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48"/>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48"/>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48"/>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spacing w:after="120"/>
              <w:rPr>
                <w:sz w:val="20"/>
                <w:szCs w:val="20"/>
              </w:rPr>
            </w:pPr>
            <w:r>
              <w:rPr>
                <w:sz w:val="20"/>
                <w:szCs w:val="20"/>
              </w:rPr>
            </w:r>
            <w:r>
              <w:rPr>
                <w:sz w:val="20"/>
                <w:szCs w:val="20"/>
              </w:rPr>
            </w:r>
            <w:r>
              <w:rPr>
                <w:sz w:val="20"/>
                <w:szCs w:val="20"/>
              </w:rPr>
            </w:r>
          </w:p>
        </w:tc>
      </w:tr>
    </w:tbl>
    <w:p>
      <w:pPr>
        <w:pStyle w:val="1148"/>
      </w:pPr>
      <w:r/>
      <w:r/>
    </w:p>
    <w:p>
      <w:pPr>
        <w:pStyle w:val="1148"/>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48"/>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48"/>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48"/>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48"/>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48"/>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48"/>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48"/>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48"/>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48"/>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48"/>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48"/>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48"/>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48"/>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48"/>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48"/>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48"/>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48"/>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48"/>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48"/>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48"/>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48"/>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48"/>
        <w:rPr>
          <w:bCs/>
          <w:i/>
          <w:sz w:val="20"/>
          <w:szCs w:val="20"/>
        </w:rPr>
      </w:pPr>
      <w:r>
        <w:rPr>
          <w:bCs/>
          <w:i/>
          <w:sz w:val="20"/>
          <w:szCs w:val="20"/>
        </w:rPr>
        <w:t xml:space="preserve">4.     При проверке СПД:</w:t>
      </w:r>
      <w:r>
        <w:rPr>
          <w:bCs/>
          <w:i/>
          <w:sz w:val="20"/>
          <w:szCs w:val="20"/>
        </w:rPr>
      </w:r>
      <w:r>
        <w:rPr>
          <w:bCs/>
          <w:i/>
          <w:sz w:val="20"/>
          <w:szCs w:val="20"/>
        </w:rPr>
      </w:r>
    </w:p>
    <w:p>
      <w:pPr>
        <w:pStyle w:val="1148"/>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48"/>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48"/>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48"/>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48"/>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48"/>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48"/>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48"/>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48"/>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48"/>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52"/>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48"/>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48"/>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48"/>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48"/>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48"/>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48"/>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48"/>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48"/>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48"/>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48"/>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48"/>
              <w:jc w:val="both"/>
              <w:spacing w:before="40"/>
              <w:rPr>
                <w:sz w:val="20"/>
                <w:szCs w:val="20"/>
              </w:rPr>
            </w:pPr>
            <w:r>
              <w:rPr>
                <w:sz w:val="20"/>
                <w:szCs w:val="20"/>
              </w:rPr>
              <w:t xml:space="preserve">Комиссия включает НДС.</w:t>
            </w:r>
            <w:r>
              <w:rPr>
                <w:sz w:val="20"/>
                <w:szCs w:val="20"/>
              </w:rPr>
            </w:r>
            <w:r>
              <w:rPr>
                <w:sz w:val="20"/>
                <w:szCs w:val="20"/>
              </w:rPr>
            </w:r>
          </w:p>
          <w:p>
            <w:pPr>
              <w:pStyle w:val="1148"/>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48"/>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48"/>
      </w:pPr>
      <w:r/>
      <w:bookmarkStart w:id="32" w:name="_Toc341179150"/>
      <w:r/>
      <w:bookmarkStart w:id="33" w:name="_Toc341179207"/>
      <w:r/>
      <w:r/>
    </w:p>
    <w:p>
      <w:pPr>
        <w:pStyle w:val="1152"/>
        <w:numPr>
          <w:ilvl w:val="0"/>
          <w:numId w:val="16"/>
        </w:numPr>
      </w:pPr>
      <w:r/>
      <w:bookmarkStart w:id="34" w:name="_Toc170984450"/>
      <w:r>
        <w:t xml:space="preserve">Документарные операции</w:t>
      </w:r>
      <w:bookmarkEnd w:id="32"/>
      <w:r/>
      <w:bookmarkEnd w:id="33"/>
      <w:r/>
      <w:bookmarkEnd w:id="34"/>
      <w:r/>
      <w:r/>
    </w:p>
    <w:p>
      <w:pPr>
        <w:pStyle w:val="1148"/>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
                <w:sz w:val="22"/>
                <w:szCs w:val="22"/>
              </w:rPr>
            </w:pPr>
            <w:r>
              <w:rPr>
                <w:b/>
                <w:sz w:val="22"/>
                <w:szCs w:val="22"/>
              </w:rPr>
              <w:t xml:space="preserve">№</w:t>
            </w:r>
            <w:r>
              <w:rPr>
                <w:b/>
                <w:sz w:val="22"/>
                <w:szCs w:val="22"/>
              </w:rPr>
            </w:r>
            <w:r>
              <w:rPr>
                <w:b/>
                <w:sz w:val="22"/>
                <w:szCs w:val="22"/>
              </w:rPr>
            </w:r>
          </w:p>
          <w:p>
            <w:pPr>
              <w:pStyle w:val="1148"/>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4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48"/>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48"/>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48"/>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48"/>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48"/>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48"/>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48"/>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48"/>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48"/>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48"/>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48"/>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48"/>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4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48"/>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48"/>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48"/>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sz w:val="20"/>
                <w:szCs w:val="20"/>
              </w:rPr>
              <w:t xml:space="preserve">0,15% от суммы,</w:t>
            </w:r>
            <w:r>
              <w:rPr>
                <w:sz w:val="20"/>
                <w:szCs w:val="20"/>
              </w:rPr>
            </w:r>
            <w:r>
              <w:rPr>
                <w:sz w:val="20"/>
                <w:szCs w:val="20"/>
              </w:rPr>
            </w:r>
          </w:p>
          <w:p>
            <w:pPr>
              <w:pStyle w:val="114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48"/>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48"/>
              <w:jc w:val="center"/>
              <w:spacing w:before="40" w:after="40"/>
            </w:pPr>
            <w:r>
              <w:rPr>
                <w:sz w:val="20"/>
                <w:szCs w:val="20"/>
                <w:lang w:val="en-US"/>
              </w:rPr>
              <w:t xml:space="preserve">5</w:t>
            </w:r>
            <w:r>
              <w:rPr>
                <w:sz w:val="20"/>
                <w:szCs w:val="20"/>
              </w:rPr>
              <w:t xml:space="preserve">.4.5</w:t>
            </w: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48"/>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48"/>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48"/>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48"/>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48"/>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48"/>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48"/>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48"/>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48"/>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52"/>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48"/>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48"/>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48"/>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48"/>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4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48"/>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48"/>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48"/>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48"/>
              <w:jc w:val="center"/>
              <w:spacing w:before="40"/>
              <w:rPr>
                <w:sz w:val="20"/>
                <w:szCs w:val="20"/>
              </w:rPr>
            </w:pPr>
            <w:r>
              <w:rPr>
                <w:sz w:val="20"/>
                <w:szCs w:val="20"/>
              </w:rPr>
              <w:t xml:space="preserve">6.2.2.</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p>
            <w:pPr>
              <w:pStyle w:val="1148"/>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48"/>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48"/>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48"/>
              <w:jc w:val="both"/>
              <w:rPr>
                <w:b/>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48"/>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8"/>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48"/>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48"/>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48"/>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48"/>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48"/>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48"/>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48"/>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48"/>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48"/>
      </w:pPr>
      <w:r/>
      <w:r/>
    </w:p>
    <w:p>
      <w:pPr>
        <w:pStyle w:val="1152"/>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48"/>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48"/>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48"/>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48"/>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48"/>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48"/>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48"/>
              <w:spacing w:before="40" w:after="40"/>
              <w:rPr>
                <w:bCs/>
                <w:sz w:val="20"/>
                <w:szCs w:val="20"/>
                <w:lang w:val="en-US"/>
              </w:rPr>
            </w:pPr>
            <w:r>
              <w:rPr>
                <w:bCs/>
                <w:sz w:val="20"/>
                <w:szCs w:val="20"/>
              </w:rPr>
              <w:t xml:space="preserve">- по г. </w:t>
            </w:r>
            <w:r>
              <w:rPr>
                <w:bCs/>
                <w:sz w:val="20"/>
                <w:szCs w:val="20"/>
              </w:rPr>
              <w:t xml:space="preserve">Казань</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48"/>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48"/>
              <w:spacing w:before="40" w:after="40"/>
              <w:rPr>
                <w:bCs/>
                <w:sz w:val="20"/>
                <w:szCs w:val="20"/>
              </w:rPr>
            </w:pPr>
            <w:r>
              <w:rPr>
                <w:bCs/>
                <w:sz w:val="20"/>
                <w:szCs w:val="20"/>
              </w:rPr>
              <w:t xml:space="preserve">- по </w:t>
            </w:r>
            <w:r>
              <w:rPr>
                <w:bCs/>
                <w:sz w:val="20"/>
                <w:szCs w:val="20"/>
              </w:rPr>
              <w:t xml:space="preserve">Республике Татарстан  </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48"/>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48"/>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48"/>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48"/>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48"/>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48"/>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48"/>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48"/>
              <w:jc w:val="both"/>
              <w:spacing w:before="40"/>
              <w:rPr>
                <w:sz w:val="20"/>
                <w:szCs w:val="20"/>
              </w:rPr>
            </w:pPr>
            <w:r>
              <w:rPr>
                <w:sz w:val="20"/>
                <w:szCs w:val="20"/>
              </w:rPr>
            </w:r>
            <w:r>
              <w:rPr>
                <w:sz w:val="20"/>
                <w:szCs w:val="20"/>
              </w:rPr>
            </w:r>
            <w:r>
              <w:rPr>
                <w:sz w:val="20"/>
                <w:szCs w:val="20"/>
              </w:rPr>
            </w:r>
          </w:p>
          <w:p>
            <w:pPr>
              <w:pStyle w:val="1148"/>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48"/>
              <w:jc w:val="center"/>
              <w:rPr>
                <w:sz w:val="20"/>
                <w:szCs w:val="20"/>
              </w:rPr>
            </w:pPr>
            <w:r>
              <w:rPr>
                <w:sz w:val="20"/>
                <w:szCs w:val="20"/>
              </w:rPr>
              <w:t xml:space="preserve">5 000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900 руб. в месяц</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t xml:space="preserve">Не взимается</w:t>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p>
            <w:pPr>
              <w:pStyle w:val="1148"/>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48"/>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48"/>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48"/>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48"/>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48"/>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48"/>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48"/>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48"/>
              <w:jc w:val="both"/>
              <w:spacing w:before="40"/>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48"/>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48"/>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48"/>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48"/>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48"/>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r>
            <w:r>
              <w:rPr>
                <w:bCs/>
                <w:sz w:val="20"/>
                <w:szCs w:val="20"/>
              </w:rPr>
            </w:r>
            <w:r>
              <w:rPr>
                <w:bCs/>
                <w:sz w:val="20"/>
                <w:szCs w:val="20"/>
              </w:rPr>
            </w:r>
          </w:p>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48"/>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48"/>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48"/>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48"/>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48"/>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48"/>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48"/>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48"/>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48"/>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48"/>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48"/>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48"/>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48"/>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48"/>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48"/>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48"/>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48"/>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48"/>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48"/>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r>
            <w:r>
              <w:rPr>
                <w:bCs/>
                <w:sz w:val="20"/>
                <w:szCs w:val="20"/>
              </w:rPr>
            </w:r>
            <w:r>
              <w:rPr>
                <w:bCs/>
                <w:sz w:val="20"/>
                <w:szCs w:val="20"/>
              </w:rPr>
            </w:r>
          </w:p>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48"/>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48"/>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48"/>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48"/>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48"/>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48"/>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48"/>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48"/>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48"/>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48"/>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48"/>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48"/>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48"/>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48"/>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48"/>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48"/>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48"/>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48"/>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4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48"/>
            </w:pPr>
            <w:r>
              <w:t xml:space="preserve">Сервис «SMS информирование»</w:t>
            </w: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48"/>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48"/>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48"/>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48"/>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48"/>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48"/>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48"/>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48"/>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48"/>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48"/>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bl>
    <w:p>
      <w:pPr>
        <w:pStyle w:val="1148"/>
        <w:jc w:val="both"/>
        <w:rPr>
          <w:bCs/>
          <w:iCs/>
          <w:sz w:val="20"/>
          <w:szCs w:val="20"/>
        </w:rPr>
      </w:pPr>
      <w:r>
        <w:rPr>
          <w:bCs/>
          <w:iCs/>
          <w:sz w:val="20"/>
          <w:szCs w:val="20"/>
        </w:rPr>
      </w:r>
      <w:r>
        <w:rPr>
          <w:bCs/>
          <w:iCs/>
          <w:sz w:val="20"/>
          <w:szCs w:val="20"/>
        </w:rPr>
      </w:r>
      <w:r>
        <w:rPr>
          <w:bCs/>
          <w:iCs/>
          <w:sz w:val="20"/>
          <w:szCs w:val="20"/>
        </w:rPr>
      </w:r>
    </w:p>
    <w:p>
      <w:pPr>
        <w:pStyle w:val="1148"/>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48"/>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48"/>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48"/>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48"/>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52"/>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48"/>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48"/>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48"/>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48"/>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48"/>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48"/>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48"/>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48"/>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52"/>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48"/>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48"/>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48"/>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w:t>
            </w:r>
            <w:r>
              <w:rPr>
                <w:color w:val="000000"/>
                <w:sz w:val="20"/>
                <w:szCs w:val="20"/>
              </w:rPr>
              <w:t xml:space="preserve">75</w:t>
            </w:r>
            <w:r>
              <w:rPr>
                <w:color w:val="000000"/>
                <w:sz w:val="20"/>
                <w:szCs w:val="20"/>
              </w:rPr>
              <w:t xml:space="preserve">х</w:t>
            </w:r>
            <w:r>
              <w:rPr>
                <w:color w:val="000000"/>
                <w:sz w:val="20"/>
                <w:szCs w:val="20"/>
              </w:rPr>
              <w:t xml:space="preserve">220</w:t>
            </w:r>
            <w:r>
              <w:rPr>
                <w:color w:val="000000"/>
                <w:sz w:val="20"/>
                <w:szCs w:val="20"/>
              </w:rPr>
              <w:t xml:space="preserve">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top"/>
            <w:vMerge w:val="restart"/>
            <w:textDirection w:val="lrTb"/>
            <w:noWrap w:val="false"/>
          </w:tcPr>
          <w:p>
            <w:pPr>
              <w:pStyle w:val="1148"/>
              <w:rPr>
                <w:color w:val="000000"/>
                <w:sz w:val="18"/>
                <w:szCs w:val="18"/>
              </w:rPr>
            </w:pPr>
            <w:r>
              <w:rPr>
                <w:color w:val="000000"/>
                <w:sz w:val="18"/>
                <w:szCs w:val="18"/>
              </w:rPr>
              <w:t xml:space="preserve">Тариф включает </w:t>
            </w:r>
            <w:r>
              <w:rPr>
                <w:color w:val="000000"/>
                <w:sz w:val="18"/>
                <w:szCs w:val="18"/>
              </w:rPr>
              <w:t xml:space="preserve"> в себя НДС(дополнительно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  </w:t>
            </w:r>
            <w:r>
              <w:rPr>
                <w:color w:val="000000"/>
                <w:sz w:val="18"/>
                <w:szCs w:val="18"/>
              </w:rPr>
            </w:r>
            <w:r>
              <w:rPr>
                <w:color w:val="000000"/>
                <w:sz w:val="18"/>
                <w:szCs w:val="18"/>
              </w:rPr>
            </w:r>
          </w:p>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255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top"/>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360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615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16</w:t>
            </w:r>
            <w:r>
              <w:rPr>
                <w:color w:val="000000"/>
                <w:sz w:val="20"/>
                <w:szCs w:val="20"/>
              </w:rPr>
              <w:t xml:space="preserve"> руб. в день;</w:t>
            </w:r>
            <w:r>
              <w:rPr>
                <w:color w:val="000000"/>
                <w:sz w:val="20"/>
                <w:szCs w:val="20"/>
              </w:rPr>
            </w:r>
            <w:r>
              <w:rPr>
                <w:color w:val="000000"/>
                <w:sz w:val="20"/>
                <w:szCs w:val="20"/>
              </w:rPr>
            </w:r>
          </w:p>
          <w:p>
            <w:pPr>
              <w:pStyle w:val="1148"/>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w:t>
            </w:r>
            <w:r>
              <w:rPr>
                <w:color w:val="000000"/>
                <w:sz w:val="20"/>
                <w:szCs w:val="20"/>
              </w:rPr>
              <w:t xml:space="preserve">50</w:t>
            </w:r>
            <w:r>
              <w:rPr>
                <w:color w:val="000000"/>
                <w:sz w:val="20"/>
                <w:szCs w:val="20"/>
              </w:rPr>
              <w:t xml:space="preserve">х2</w:t>
            </w:r>
            <w:r>
              <w:rPr>
                <w:color w:val="000000"/>
                <w:sz w:val="20"/>
                <w:szCs w:val="20"/>
              </w:rPr>
              <w:t xml:space="preserve">2</w:t>
            </w:r>
            <w:r>
              <w:rPr>
                <w:color w:val="000000"/>
                <w:sz w:val="20"/>
                <w:szCs w:val="20"/>
              </w:rPr>
              <w:t xml:space="preserve">0х</w:t>
            </w:r>
            <w:r>
              <w:rPr>
                <w:color w:val="000000"/>
                <w:sz w:val="20"/>
                <w:szCs w:val="20"/>
              </w:rPr>
              <w:t xml:space="preserve">3</w:t>
            </w:r>
            <w:r>
              <w:rPr>
                <w:color w:val="000000"/>
                <w:sz w:val="20"/>
                <w:szCs w:val="20"/>
              </w:rPr>
              <w:t xml:space="preserve">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3</w:t>
            </w:r>
            <w:r>
              <w:rPr>
                <w:color w:val="000000"/>
                <w:sz w:val="20"/>
                <w:szCs w:val="20"/>
              </w:rPr>
              <w:t xml:space="preserve">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920</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19</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48"/>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w:t>
            </w:r>
            <w:r>
              <w:rPr>
                <w:color w:val="000000"/>
                <w:sz w:val="20"/>
                <w:szCs w:val="20"/>
              </w:rPr>
              <w:t xml:space="preserve">18</w:t>
            </w:r>
            <w:r>
              <w:rPr>
                <w:color w:val="000000"/>
                <w:sz w:val="20"/>
                <w:szCs w:val="20"/>
              </w:rPr>
              <w:t xml:space="preserve">х</w:t>
            </w:r>
            <w:r>
              <w:rPr>
                <w:color w:val="000000"/>
                <w:sz w:val="20"/>
                <w:szCs w:val="20"/>
              </w:rPr>
              <w:t xml:space="preserve">38</w:t>
            </w:r>
            <w:r>
              <w:rPr>
                <w:color w:val="000000"/>
                <w:sz w:val="20"/>
                <w:szCs w:val="20"/>
              </w:rPr>
              <w:t xml:space="preserve">0 (мм)</w:t>
            </w:r>
            <w:r>
              <w:rPr>
                <w:color w:val="000000"/>
                <w:sz w:val="20"/>
                <w:szCs w:val="20"/>
              </w:rPr>
              <w:t xml:space="preserve">, 300</w:t>
            </w:r>
            <w:r>
              <w:rPr>
                <w:color w:val="000000"/>
                <w:sz w:val="20"/>
                <w:szCs w:val="20"/>
                <w:lang w:val="en-US"/>
              </w:rPr>
              <w:t xml:space="preserve">x</w:t>
            </w:r>
            <w:r>
              <w:rPr>
                <w:color w:val="000000"/>
                <w:sz w:val="20"/>
                <w:szCs w:val="20"/>
              </w:rPr>
              <w:t xml:space="preserve">450</w:t>
            </w:r>
            <w:r>
              <w:rPr>
                <w:color w:val="000000"/>
                <w:sz w:val="20"/>
                <w:szCs w:val="20"/>
                <w:lang w:val="en-US"/>
              </w:rPr>
              <w:t xml:space="preserve">x</w:t>
            </w:r>
            <w:r>
              <w:rPr>
                <w:color w:val="000000"/>
                <w:sz w:val="20"/>
                <w:szCs w:val="20"/>
              </w:rPr>
              <w:t xml:space="preserve">380(</w:t>
            </w:r>
            <w:r>
              <w:rPr>
                <w:color w:val="000000"/>
                <w:sz w:val="20"/>
                <w:szCs w:val="20"/>
              </w:rPr>
              <w:t xml:space="preserve">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48"/>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865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1835</w:t>
            </w:r>
            <w:r>
              <w:rPr>
                <w:color w:val="000000"/>
                <w:sz w:val="20"/>
                <w:szCs w:val="20"/>
              </w:rPr>
              <w:t xml:space="preserve">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56</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51</w:t>
            </w:r>
            <w:r>
              <w:rPr>
                <w:color w:val="000000"/>
                <w:sz w:val="20"/>
                <w:szCs w:val="20"/>
              </w:rPr>
              <w:t xml:space="preserve">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832"/>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48"/>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момент  предоставления  услуги  </w:t>
            </w:r>
            <w:r>
              <w:rPr>
                <w:color w:val="000000"/>
                <w:sz w:val="18"/>
                <w:szCs w:val="18"/>
              </w:rPr>
            </w:r>
            <w:r>
              <w:rPr>
                <w:color w:val="000000"/>
                <w:sz w:val="18"/>
                <w:szCs w:val="18"/>
              </w:rPr>
            </w:r>
          </w:p>
        </w:tc>
      </w:tr>
      <w:tr>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обнаружения</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возврата ключа </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48"/>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48"/>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48"/>
              <w:rPr>
                <w:color w:val="000000"/>
                <w:sz w:val="18"/>
                <w:szCs w:val="18"/>
              </w:rPr>
            </w:pPr>
            <w:r>
              <w:rPr>
                <w:color w:val="000000"/>
                <w:sz w:val="18"/>
                <w:szCs w:val="18"/>
              </w:rPr>
              <w:t xml:space="preserve">Комиссия включает  НДС и  уплачивается  в  день  заключения соответствующего договора</w:t>
            </w:r>
            <w:r>
              <w:rPr>
                <w:color w:val="000000"/>
                <w:sz w:val="18"/>
                <w:szCs w:val="18"/>
              </w:rPr>
            </w:r>
            <w:r>
              <w:rPr>
                <w:color w:val="000000"/>
                <w:sz w:val="18"/>
                <w:szCs w:val="18"/>
              </w:rPr>
            </w:r>
          </w:p>
        </w:tc>
      </w:tr>
    </w:tbl>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48"/>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48"/>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rFonts w:eastAsia="Calibri"/>
                <w:sz w:val="20"/>
                <w:szCs w:val="20"/>
                <w:lang w:eastAsia="en-US"/>
              </w:rPr>
            </w:pPr>
            <w:r>
              <w:rPr>
                <w:rFonts w:eastAsia="Calibri"/>
                <w:sz w:val="20"/>
                <w:szCs w:val="20"/>
                <w:lang w:eastAsia="en-US"/>
              </w:rPr>
              <w:t xml:space="preserve">Инкассация денежной наличности (рубли и иностранная валюта), в том числе внесенной через информационно-платежные терминалы в пределах г.Казань, г.Набережные Челны, г. Бугульма: </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подразделение банка</w:t>
            </w:r>
            <w:r>
              <w:rPr>
                <w:rStyle w:val="1180"/>
                <w:rFonts w:eastAsia="Calibri"/>
                <w:sz w:val="20"/>
                <w:szCs w:val="20"/>
                <w:lang w:eastAsia="en-US"/>
              </w:rPr>
              <w:footnoteReference w:id="2"/>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48"/>
              <w:ind w:left="-51" w:firstLine="51"/>
              <w:spacing w:before="40" w:after="40"/>
              <w:rPr>
                <w:rFonts w:eastAsia="Calibri"/>
                <w:sz w:val="20"/>
                <w:szCs w:val="20"/>
                <w:lang w:eastAsia="en-US"/>
              </w:rPr>
            </w:pPr>
            <w:r>
              <w:rPr>
                <w:rFonts w:eastAsia="Calibri"/>
                <w:sz w:val="20"/>
                <w:szCs w:val="20"/>
                <w:lang w:eastAsia="en-US"/>
              </w:rPr>
              <w:t xml:space="preserve">- с доставкой в другую кредитную организацию</w:t>
            </w:r>
            <w:r>
              <w:rPr>
                <w:rFonts w:eastAsia="Calibri"/>
                <w:sz w:val="20"/>
                <w:szCs w:val="20"/>
                <w:lang w:eastAsia="en-US"/>
              </w:rPr>
            </w:r>
            <w:r>
              <w:rPr>
                <w:rFonts w:eastAsia="Calibri"/>
                <w:sz w:val="20"/>
                <w:szCs w:val="20"/>
                <w:lang w:eastAsia="en-US"/>
              </w:rPr>
            </w:r>
          </w:p>
          <w:p>
            <w:pPr>
              <w:pStyle w:val="1148"/>
              <w:ind w:left="176"/>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0,15% от суммы </w:t>
            </w:r>
            <w:r>
              <w:rPr>
                <w:rFonts w:eastAsia="Calibri"/>
                <w:sz w:val="20"/>
                <w:szCs w:val="20"/>
                <w:lang w:eastAsia="en-US"/>
              </w:rPr>
            </w:r>
            <w:r>
              <w:rPr>
                <w:rFonts w:eastAsia="Calibri"/>
                <w:sz w:val="20"/>
                <w:szCs w:val="20"/>
                <w:lang w:eastAsia="en-US"/>
              </w:rPr>
            </w:r>
          </w:p>
          <w:p>
            <w:pPr>
              <w:pStyle w:val="1148"/>
              <w:ind w:left="-51" w:firstLine="51"/>
              <w:jc w:val="center"/>
              <w:rPr>
                <w:rFonts w:eastAsia="Calibri"/>
                <w:sz w:val="20"/>
                <w:szCs w:val="20"/>
                <w:lang w:eastAsia="en-US"/>
              </w:rPr>
            </w:pPr>
            <w:r>
              <w:rPr>
                <w:rFonts w:eastAsia="Calibri"/>
                <w:sz w:val="20"/>
                <w:szCs w:val="20"/>
                <w:lang w:eastAsia="en-US"/>
              </w:rPr>
              <w:t xml:space="preserve">до 600 000,00 </w:t>
            </w:r>
            <w:r>
              <w:rPr>
                <w:rStyle w:val="1180"/>
                <w:rFonts w:eastAsia="Calibri"/>
                <w:sz w:val="20"/>
                <w:szCs w:val="20"/>
                <w:lang w:eastAsia="en-US"/>
              </w:rPr>
              <w:footnoteReference w:id="3"/>
            </w:r>
            <w:r>
              <w:rPr>
                <w:rFonts w:eastAsia="Calibri"/>
                <w:sz w:val="20"/>
                <w:szCs w:val="20"/>
                <w:lang w:eastAsia="en-US"/>
              </w:rPr>
              <w:t xml:space="preserve">руб. (включительно),</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минимум 510</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p>
            <w:pPr>
              <w:pStyle w:val="1148"/>
              <w:ind w:left="-51" w:firstLine="51"/>
              <w:jc w:val="center"/>
              <w:spacing w:after="120"/>
              <w:rPr>
                <w:rFonts w:eastAsia="Calibri"/>
                <w:sz w:val="20"/>
                <w:szCs w:val="20"/>
                <w:lang w:eastAsia="en-US"/>
              </w:rPr>
            </w:pPr>
            <w:r>
              <w:rPr>
                <w:rFonts w:eastAsia="Calibri"/>
                <w:sz w:val="20"/>
                <w:szCs w:val="20"/>
                <w:lang w:eastAsia="en-US"/>
              </w:rPr>
              <w:t xml:space="preserve">0,10% от суммы с 600 000,01</w:t>
            </w:r>
            <w:r>
              <w:rPr>
                <w:rFonts w:eastAsia="Calibri"/>
                <w:sz w:val="20"/>
                <w:szCs w:val="20"/>
                <w:lang w:eastAsia="en-US"/>
              </w:rPr>
              <w:t xml:space="preserve"> руб. до 5 000 000,00</w:t>
            </w:r>
            <w:r>
              <w:rPr>
                <w:rFonts w:eastAsia="Calibri"/>
                <w:sz w:val="20"/>
                <w:szCs w:val="20"/>
                <w:vertAlign w:val="superscript"/>
                <w:lang w:eastAsia="en-US"/>
              </w:rPr>
              <w:t xml:space="preserve">*</w:t>
            </w:r>
            <w:r>
              <w:rPr>
                <w:rFonts w:eastAsia="Calibri"/>
                <w:sz w:val="20"/>
                <w:szCs w:val="20"/>
                <w:lang w:eastAsia="en-US"/>
              </w:rPr>
              <w:t xml:space="preserve"> руб. (включительно); </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0,05% от суммы с 5 000 000,01</w:t>
            </w:r>
            <w:r>
              <w:rPr>
                <w:rFonts w:eastAsia="Calibri"/>
                <w:sz w:val="20"/>
                <w:szCs w:val="20"/>
                <w:lang w:eastAsia="en-US"/>
              </w:rPr>
              <w:t xml:space="preserve"> руб. и выше</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48"/>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48"/>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rPr>
                <w:rFonts w:eastAsia="Calibri"/>
                <w:sz w:val="20"/>
                <w:szCs w:val="20"/>
                <w:lang w:eastAsia="en-US"/>
              </w:rPr>
            </w:pPr>
            <w:r>
              <w:rPr>
                <w:rFonts w:eastAsia="Calibri"/>
                <w:sz w:val="20"/>
                <w:szCs w:val="20"/>
                <w:lang w:eastAsia="en-US"/>
              </w:rPr>
              <w:t xml:space="preserve">0,2% от суммы,</w:t>
            </w:r>
            <w:r>
              <w:rPr>
                <w:rFonts w:eastAsia="Calibri"/>
                <w:sz w:val="20"/>
                <w:szCs w:val="20"/>
                <w:lang w:eastAsia="en-US"/>
              </w:rPr>
            </w:r>
            <w:r>
              <w:rPr>
                <w:rFonts w:eastAsia="Calibri"/>
                <w:sz w:val="20"/>
                <w:szCs w:val="20"/>
                <w:lang w:eastAsia="en-US"/>
              </w:rPr>
            </w:r>
          </w:p>
          <w:p>
            <w:pPr>
              <w:pStyle w:val="1148"/>
              <w:ind w:left="-51" w:firstLine="51"/>
              <w:jc w:val="center"/>
              <w:spacing w:before="40"/>
              <w:rPr>
                <w:rFonts w:eastAsia="Calibri"/>
                <w:sz w:val="20"/>
                <w:szCs w:val="20"/>
                <w:lang w:eastAsia="en-US"/>
              </w:rPr>
            </w:pPr>
            <w:r>
              <w:rPr>
                <w:rFonts w:eastAsia="Calibri"/>
                <w:sz w:val="20"/>
                <w:szCs w:val="20"/>
                <w:lang w:eastAsia="en-US"/>
              </w:rPr>
              <w:t xml:space="preserve">минимум </w:t>
            </w:r>
            <w:r>
              <w:rPr>
                <w:rFonts w:eastAsia="Calibri"/>
                <w:sz w:val="20"/>
                <w:szCs w:val="20"/>
                <w:lang w:eastAsia="en-US"/>
              </w:rPr>
            </w:r>
            <w:r>
              <w:rPr>
                <w:rFonts w:eastAsia="Calibri"/>
                <w:sz w:val="20"/>
                <w:szCs w:val="20"/>
                <w:lang w:eastAsia="en-US"/>
              </w:rPr>
            </w:r>
          </w:p>
          <w:p>
            <w:pPr>
              <w:pStyle w:val="1148"/>
              <w:ind w:left="-51" w:firstLine="51"/>
              <w:jc w:val="center"/>
              <w:spacing w:before="40" w:after="40"/>
              <w:rPr>
                <w:sz w:val="20"/>
                <w:szCs w:val="20"/>
              </w:rPr>
            </w:pPr>
            <w:r>
              <w:rPr>
                <w:rFonts w:eastAsia="Calibri"/>
                <w:sz w:val="20"/>
                <w:szCs w:val="20"/>
                <w:lang w:eastAsia="en-US"/>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48"/>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48"/>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48"/>
              <w:ind w:left="-51" w:firstLine="51"/>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48"/>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48"/>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48"/>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48"/>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48"/>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48"/>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48"/>
        <w:tabs>
          <w:tab w:val="left" w:pos="2985" w:leader="none"/>
        </w:tabs>
        <w:rPr>
          <w:sz w:val="20"/>
          <w:szCs w:val="20"/>
        </w:rPr>
      </w:pPr>
      <w:r>
        <w:rPr>
          <w:sz w:val="20"/>
          <w:szCs w:val="20"/>
        </w:rPr>
      </w:r>
      <w:r>
        <w:rPr>
          <w:sz w:val="20"/>
          <w:szCs w:val="20"/>
        </w:rPr>
      </w:r>
      <w:r>
        <w:rPr>
          <w:sz w:val="20"/>
          <w:szCs w:val="20"/>
        </w:rPr>
      </w:r>
    </w:p>
    <w:p>
      <w:pPr>
        <w:pStyle w:val="1152"/>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48"/>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48"/>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48"/>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48"/>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48"/>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4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48"/>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48"/>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48"/>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48"/>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48"/>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48"/>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48"/>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48"/>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49"/>
        <w:jc w:val="center"/>
        <w:rPr>
          <w:rFonts w:ascii="Times New Roman" w:hAnsi="Times New Roman" w:cs="Times New Roman"/>
          <w:sz w:val="22"/>
          <w:szCs w:val="22"/>
        </w:rPr>
      </w:pPr>
      <w:r/>
      <w:bookmarkStart w:id="81" w:name="_Toc314217418"/>
      <w:r>
        <w:rPr>
          <w:rFonts w:ascii="Times New Roman" w:hAnsi="Times New Roman" w:cs="Times New Roman"/>
          <w:sz w:val="22"/>
          <w:szCs w:val="22"/>
        </w:rPr>
        <w:t xml:space="preserve">12. Кредитные операции</w:t>
      </w:r>
      <w:bookmarkEnd w:id="81"/>
      <w:r>
        <w:rPr>
          <w:rFonts w:ascii="Times New Roman" w:hAnsi="Times New Roman" w:cs="Times New Roman"/>
          <w:sz w:val="22"/>
          <w:szCs w:val="22"/>
        </w:rPr>
      </w:r>
      <w:r>
        <w:rPr>
          <w:rFonts w:ascii="Times New Roman" w:hAnsi="Times New Roman" w:cs="Times New Roman"/>
          <w:sz w:val="22"/>
          <w:szCs w:val="22"/>
        </w:rPr>
      </w:r>
    </w:p>
    <w:p>
      <w:pPr>
        <w:pStyle w:val="1148"/>
        <w:rPr>
          <w:lang w:val="en-US" w:eastAsia="en-US"/>
        </w:rPr>
      </w:pPr>
      <w:r>
        <w:rPr>
          <w:lang w:val="en-US" w:eastAsia="en-US"/>
        </w:rPr>
      </w:r>
      <w:r>
        <w:rPr>
          <w:lang w:val="en-US" w:eastAsia="en-US"/>
        </w:rPr>
      </w:r>
      <w:r>
        <w:rPr>
          <w:lang w:val="en-US" w:eastAsia="en-U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082"/>
        <w:gridCol w:w="1984"/>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48"/>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4082" w:type="dxa"/>
            <w:vAlign w:val="center"/>
            <w:textDirection w:val="lrTb"/>
            <w:noWrap w:val="false"/>
          </w:tcPr>
          <w:p>
            <w:pPr>
              <w:pStyle w:val="1148"/>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4" w:type="dxa"/>
            <w:vAlign w:val="center"/>
            <w:textDirection w:val="lrTb"/>
            <w:noWrap w:val="false"/>
          </w:tcPr>
          <w:p>
            <w:pPr>
              <w:pStyle w:val="1148"/>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48"/>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after="4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48"/>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w:t>
            </w:r>
            <w:r>
              <w:rPr>
                <w:bCs/>
                <w:sz w:val="20"/>
                <w:szCs w:val="20"/>
              </w:rPr>
              <w:t xml:space="preserve"> </w:t>
            </w:r>
            <w:r>
              <w:rPr>
                <w:bCs/>
                <w:sz w:val="20"/>
                <w:szCs w:val="20"/>
              </w:rPr>
              <w:t xml:space="preserve">«Оборотный-стандарт Рефинанс»</w:t>
            </w:r>
            <w:r>
              <w:rPr>
                <w:bCs/>
                <w:sz w:val="20"/>
                <w:szCs w:val="20"/>
              </w:rPr>
              <w:t xml:space="preserve">.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48"/>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w:t>
            </w:r>
            <w:r>
              <w:rPr>
                <w:bCs/>
                <w:sz w:val="20"/>
                <w:szCs w:val="20"/>
              </w:rPr>
              <w:t xml:space="preserve"> </w:t>
            </w:r>
            <w:r>
              <w:rPr>
                <w:bCs/>
                <w:sz w:val="20"/>
                <w:szCs w:val="20"/>
              </w:rPr>
              <w:t xml:space="preserve">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80"/>
                <w:sz w:val="20"/>
                <w:szCs w:val="20"/>
              </w:rPr>
              <w:footnoteReference w:id="4"/>
            </w:r>
            <w:r>
              <w:rPr>
                <w:sz w:val="20"/>
                <w:szCs w:val="20"/>
              </w:rPr>
              <w:t xml:space="preserve"> со дня, следующего за: </w:t>
            </w:r>
            <w:r>
              <w:rPr>
                <w:sz w:val="20"/>
                <w:szCs w:val="20"/>
              </w:rPr>
            </w:r>
            <w:r>
              <w:rPr>
                <w:sz w:val="20"/>
                <w:szCs w:val="20"/>
              </w:rPr>
            </w:r>
          </w:p>
          <w:p>
            <w:pPr>
              <w:pStyle w:val="1148"/>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48"/>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48"/>
              <w:numPr>
                <w:ilvl w:val="0"/>
                <w:numId w:val="8"/>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48"/>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96"/>
              <w:numPr>
                <w:ilvl w:val="0"/>
                <w:numId w:val="8"/>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48"/>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48"/>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80"/>
                <w:sz w:val="20"/>
                <w:szCs w:val="20"/>
              </w:rPr>
              <w:footnoteReference w:id="5"/>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rPr>
                <w:sz w:val="20"/>
                <w:szCs w:val="20"/>
              </w:rPr>
            </w:pPr>
            <w:r>
              <w:rPr>
                <w:sz w:val="20"/>
                <w:szCs w:val="20"/>
              </w:rPr>
              <w:t xml:space="preserve">При изменении:</w:t>
            </w:r>
            <w:r>
              <w:rPr>
                <w:sz w:val="20"/>
                <w:szCs w:val="20"/>
              </w:rPr>
            </w:r>
            <w:r>
              <w:rPr>
                <w:sz w:val="20"/>
                <w:szCs w:val="20"/>
              </w:rPr>
            </w:r>
          </w:p>
          <w:p>
            <w:pPr>
              <w:pStyle w:val="1148"/>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48"/>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48"/>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48"/>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48"/>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48"/>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48"/>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48"/>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48"/>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48"/>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48"/>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r>
              <w:rPr>
                <w:bCs/>
                <w:sz w:val="20"/>
                <w:szCs w:val="20"/>
              </w:rPr>
            </w:r>
          </w:p>
          <w:p>
            <w:pPr>
              <w:pStyle w:val="1148"/>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48"/>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48"/>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48"/>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48"/>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48"/>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48"/>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48"/>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48"/>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48"/>
              <w:ind w:left="72"/>
              <w:jc w:val="center"/>
              <w:rPr>
                <w:sz w:val="20"/>
                <w:szCs w:val="20"/>
              </w:rPr>
            </w:pPr>
            <w:r>
              <w:rPr>
                <w:sz w:val="20"/>
                <w:szCs w:val="20"/>
              </w:rPr>
              <w:t xml:space="preserve">- свыше 365 календарных дней – </w:t>
            </w:r>
            <w:r>
              <w:rPr>
                <w:sz w:val="20"/>
                <w:szCs w:val="20"/>
              </w:rPr>
            </w:r>
            <w:r>
              <w:rPr>
                <w:sz w:val="20"/>
                <w:szCs w:val="20"/>
              </w:rPr>
            </w:r>
          </w:p>
          <w:p>
            <w:pPr>
              <w:pStyle w:val="1148"/>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48"/>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148"/>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6"/>
            </w:r>
            <w:r>
              <w:rPr>
                <w:sz w:val="20"/>
                <w:szCs w:val="20"/>
                <w:vertAlign w:val="superscript"/>
              </w:rPr>
              <w:t xml:space="preserve">,</w:t>
            </w:r>
            <w:r>
              <w:rPr>
                <w:sz w:val="20"/>
                <w:szCs w:val="20"/>
                <w:vertAlign w:val="superscript"/>
              </w:rPr>
              <w:footnoteReference w:id="7"/>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48"/>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48"/>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48"/>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48"/>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48"/>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p>
            <w:pPr>
              <w:pStyle w:val="1148"/>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w:t>
            </w:r>
            <w:r>
              <w:rPr>
                <w:bCs/>
                <w:sz w:val="20"/>
                <w:szCs w:val="20"/>
              </w:rPr>
              <w:t xml:space="preserve">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Правил предоставления субсидий из федерального бюджета кредитным </w:t>
            </w:r>
            <w:r>
              <w:rPr>
                <w:bCs/>
                <w:sz w:val="20"/>
                <w:szCs w:val="20"/>
              </w:rPr>
              <w:t xml:space="preserve">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rPr>
                <w:sz w:val="20"/>
                <w:szCs w:val="20"/>
              </w:rPr>
            </w:pPr>
            <w:r>
              <w:rPr>
                <w:sz w:val="20"/>
                <w:szCs w:val="20"/>
              </w:rPr>
              <w:t xml:space="preserve">Не более 1,5% </w:t>
            </w:r>
            <w:r>
              <w:rPr>
                <w:sz w:val="20"/>
                <w:szCs w:val="20"/>
              </w:rPr>
            </w:r>
            <w:r>
              <w:rPr>
                <w:sz w:val="20"/>
                <w:szCs w:val="20"/>
              </w:rPr>
            </w:r>
          </w:p>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b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w:t>
            </w:r>
            <w:r>
              <w:rPr>
                <w:bCs/>
                <w:sz w:val="20"/>
                <w:szCs w:val="20"/>
              </w:rPr>
              <w:t xml:space="preserve">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Не более 1,5% </w:t>
            </w:r>
            <w:r>
              <w:rPr>
                <w:sz w:val="20"/>
                <w:szCs w:val="20"/>
              </w:rPr>
            </w:r>
            <w:r>
              <w:rPr>
                <w:sz w:val="20"/>
                <w:szCs w:val="20"/>
              </w:rPr>
            </w:r>
          </w:p>
          <w:p>
            <w:pPr>
              <w:pStyle w:val="1148"/>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rPr>
                <w:sz w:val="20"/>
                <w:szCs w:val="20"/>
              </w:rPr>
            </w:pPr>
            <w:r>
              <w:rPr>
                <w:sz w:val="20"/>
                <w:szCs w:val="20"/>
              </w:rPr>
              <w:t xml:space="preserve">Не взимается</w:t>
            </w:r>
            <w:r>
              <w:rPr>
                <w:sz w:val="20"/>
                <w:szCs w:val="20"/>
              </w:rPr>
            </w:r>
            <w:r>
              <w:rPr>
                <w:sz w:val="20"/>
                <w:szCs w:val="20"/>
              </w:rPr>
            </w:r>
          </w:p>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48"/>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jc w:val="center"/>
              <w:spacing w:before="40" w:after="40"/>
              <w:rPr>
                <w:sz w:val="20"/>
                <w:szCs w:val="20"/>
              </w:rPr>
            </w:pPr>
            <w:r>
              <w:rPr>
                <w:sz w:val="20"/>
                <w:szCs w:val="20"/>
              </w:rPr>
              <w:t xml:space="preserve">0,2% от суммы, </w:t>
            </w:r>
            <w:r>
              <w:rPr>
                <w:sz w:val="20"/>
                <w:szCs w:val="20"/>
              </w:rPr>
            </w:r>
            <w:r>
              <w:rPr>
                <w:sz w:val="20"/>
                <w:szCs w:val="20"/>
              </w:rPr>
            </w:r>
          </w:p>
          <w:p>
            <w:pPr>
              <w:pStyle w:val="1148"/>
              <w:jc w:val="center"/>
              <w:spacing w:before="40" w:after="40"/>
              <w:rPr>
                <w:sz w:val="20"/>
                <w:szCs w:val="20"/>
              </w:rPr>
            </w:pPr>
            <w:r>
              <w:rPr>
                <w:sz w:val="20"/>
                <w:szCs w:val="20"/>
              </w:rPr>
              <w:t xml:space="preserve">минимум - 30 000 руб.,</w:t>
            </w:r>
            <w:r>
              <w:rPr>
                <w:sz w:val="20"/>
                <w:szCs w:val="20"/>
              </w:rPr>
            </w:r>
            <w:r>
              <w:rPr>
                <w:sz w:val="20"/>
                <w:szCs w:val="20"/>
              </w:rPr>
            </w:r>
          </w:p>
          <w:p>
            <w:pPr>
              <w:pStyle w:val="1148"/>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48"/>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48"/>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48"/>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48"/>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48"/>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082" w:type="dxa"/>
            <w:vAlign w:val="top"/>
            <w:textDirection w:val="lrTb"/>
            <w:noWrap w:val="false"/>
          </w:tcPr>
          <w:p>
            <w:pPr>
              <w:pStyle w:val="1148"/>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48"/>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48"/>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4082" w:type="dxa"/>
            <w:vAlign w:val="top"/>
            <w:textDirection w:val="lrTb"/>
            <w:noWrap w:val="false"/>
          </w:tcPr>
          <w:p>
            <w:pPr>
              <w:pStyle w:val="1148"/>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4" w:type="dxa"/>
            <w:vAlign w:val="top"/>
            <w:textDirection w:val="lrTb"/>
            <w:noWrap w:val="false"/>
          </w:tcPr>
          <w:p>
            <w:pPr>
              <w:pStyle w:val="1148"/>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48"/>
              <w:jc w:val="both"/>
              <w:spacing w:before="40"/>
              <w:rPr>
                <w:sz w:val="20"/>
                <w:szCs w:val="20"/>
              </w:rPr>
            </w:pPr>
            <w:r>
              <w:rPr>
                <w:sz w:val="20"/>
                <w:szCs w:val="20"/>
              </w:rPr>
            </w:r>
            <w:r>
              <w:rPr>
                <w:sz w:val="20"/>
                <w:szCs w:val="20"/>
              </w:rPr>
            </w:r>
            <w:r>
              <w:rPr>
                <w:sz w:val="20"/>
                <w:szCs w:val="20"/>
              </w:rPr>
            </w:r>
          </w:p>
        </w:tc>
      </w:tr>
    </w:tbl>
    <w:p>
      <w:pPr>
        <w:pStyle w:val="114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4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4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4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48"/>
        <w:jc w:val="both"/>
        <w:tabs>
          <w:tab w:val="left" w:pos="284" w:leader="none"/>
          <w:tab w:val="left" w:pos="1134" w:leader="none"/>
        </w:tabs>
        <w:rPr>
          <w:sz w:val="20"/>
          <w:szCs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szCs w:val="20"/>
        </w:rPr>
      </w:r>
      <w:r>
        <w:rPr>
          <w:sz w:val="20"/>
          <w:szCs w:val="20"/>
        </w:rPr>
      </w:r>
    </w:p>
    <w:p>
      <w:pPr>
        <w:pStyle w:val="1148"/>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w:t>
      </w:r>
      <w:r>
        <w:rPr>
          <w:bCs/>
          <w:iCs/>
          <w:sz w:val="20"/>
          <w:szCs w:val="20"/>
        </w:rPr>
        <w:t xml:space="preserve">Российской Федерации о порядке предоставления субсидии </w:t>
      </w:r>
      <w:r>
        <w:rPr>
          <w:bCs/>
          <w:iCs/>
          <w:sz w:val="20"/>
          <w:szCs w:val="20"/>
        </w:rPr>
        <w:t xml:space="preserve">№</w:t>
      </w:r>
      <w:r>
        <w:rPr>
          <w:bCs/>
          <w:iCs/>
          <w:sz w:val="20"/>
          <w:szCs w:val="20"/>
        </w:rPr>
        <w:t xml:space="preserve"> 25-66428-01969-Р</w:t>
      </w:r>
      <w:r>
        <w:t xml:space="preserve"> </w:t>
      </w:r>
      <w:r>
        <w:rPr>
          <w:bCs/>
          <w:iCs/>
          <w:sz w:val="20"/>
          <w:szCs w:val="20"/>
        </w:rPr>
        <w:t xml:space="preserve">«Возмещение недополученных российскими кредитными организациями, международными</w:t>
      </w:r>
      <w:r>
        <w:t xml:space="preserve"> </w:t>
      </w:r>
      <w:r>
        <w:rPr>
          <w:bCs/>
          <w:iCs/>
          <w:sz w:val="20"/>
          <w:szCs w:val="20"/>
        </w:rPr>
        <w:t xml:space="preserve">финансовыми организациями и государственной корпорацией развития «ВЭБ.РФ» доходов</w:t>
      </w:r>
      <w:r>
        <w:t xml:space="preserve"> </w:t>
      </w:r>
      <w:r>
        <w:rPr>
          <w:bCs/>
          <w:iCs/>
          <w:sz w:val="20"/>
          <w:szCs w:val="20"/>
        </w:rPr>
        <w:t xml:space="preserve">по кредитам, выданным сельскохозяйственным товаропроизводителям (за исключением</w:t>
      </w:r>
      <w:r>
        <w:t xml:space="preserve"> </w:t>
      </w:r>
      <w:r>
        <w:rPr>
          <w:bCs/>
          <w:iCs/>
          <w:sz w:val="20"/>
          <w:szCs w:val="20"/>
        </w:rPr>
        <w:t xml:space="preserve">сельскохозяйственных кредитных потребительских кооперативов), организациям и</w:t>
      </w:r>
      <w:r>
        <w:t xml:space="preserve">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1969-Р),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bCs/>
          <w:iCs/>
          <w:sz w:val="20"/>
          <w:szCs w:val="20"/>
        </w:rPr>
      </w:r>
      <w:r/>
    </w:p>
    <w:p>
      <w:pPr>
        <w:pStyle w:val="1148"/>
        <w:jc w:val="both"/>
        <w:spacing w:before="40"/>
        <w:outlineLvl w:val="5"/>
      </w:pPr>
      <w:r>
        <w:rPr>
          <w:bCs/>
          <w:iCs/>
          <w:sz w:val="20"/>
          <w:szCs w:val="20"/>
        </w:rPr>
        <w:t xml:space="preserve">- при кредитовании в рамках решения Министерства сельского хозяйства Российской </w:t>
      </w:r>
      <w:r>
        <w:rPr>
          <w:bCs/>
          <w:iCs/>
          <w:sz w:val="20"/>
          <w:szCs w:val="20"/>
        </w:rPr>
        <w:t xml:space="preserve">Федерации о порядке  предоставления субсидии </w:t>
      </w:r>
      <w:r>
        <w:rPr>
          <w:bCs/>
          <w:iCs/>
          <w:sz w:val="20"/>
          <w:szCs w:val="20"/>
        </w:rPr>
        <w:t xml:space="preserve">№</w:t>
      </w:r>
      <w:r>
        <w:rPr>
          <w:bCs/>
          <w:iCs/>
          <w:sz w:val="20"/>
          <w:szCs w:val="20"/>
        </w:rPr>
        <w:t xml:space="preserve"> 25-68850-01698-Р «Возмещение</w:t>
      </w:r>
      <w:r>
        <w:t xml:space="preserve"> </w:t>
      </w:r>
      <w:r>
        <w:rPr>
          <w:bCs/>
          <w:iCs/>
          <w:sz w:val="20"/>
          <w:szCs w:val="20"/>
        </w:rPr>
        <w:t xml:space="preserve">недополученных российскими кредитными организациями, международными финансовыми</w:t>
      </w:r>
      <w:r>
        <w:t xml:space="preserve"> </w:t>
      </w:r>
      <w:r>
        <w:rPr>
          <w:bCs/>
          <w:iCs/>
          <w:sz w:val="20"/>
          <w:szCs w:val="20"/>
        </w:rPr>
        <w:t xml:space="preserve">организациями и государственной корпорацией развития «ВЭБ.РФ» доходов по кредитам,</w:t>
      </w:r>
      <w:r>
        <w:t xml:space="preserve"> </w:t>
      </w:r>
      <w:r>
        <w:rPr>
          <w:bCs/>
          <w:iCs/>
          <w:sz w:val="20"/>
          <w:szCs w:val="20"/>
        </w:rPr>
        <w:t xml:space="preserve">выданным</w:t>
      </w:r>
      <w:r>
        <w:t xml:space="preserve"> </w:t>
      </w:r>
      <w:r>
        <w:rPr>
          <w:bCs/>
          <w:iCs/>
          <w:sz w:val="20"/>
          <w:szCs w:val="20"/>
        </w:rPr>
        <w:t xml:space="preserve"> сельскохозяйственным</w:t>
      </w:r>
      <w:r>
        <w:t xml:space="preserve"> </w:t>
      </w:r>
      <w:r>
        <w:rPr>
          <w:bCs/>
          <w:iCs/>
          <w:sz w:val="20"/>
          <w:szCs w:val="20"/>
        </w:rPr>
        <w:t xml:space="preserve"> товаропроизводителям</w:t>
      </w:r>
      <w:r>
        <w:t xml:space="preserve"> </w:t>
      </w:r>
      <w:r>
        <w:rPr>
          <w:bCs/>
          <w:iCs/>
          <w:sz w:val="20"/>
          <w:szCs w:val="20"/>
        </w:rPr>
        <w:t xml:space="preserve"> (за</w:t>
      </w:r>
      <w:r>
        <w:t xml:space="preserve"> </w:t>
      </w:r>
      <w:r>
        <w:rPr>
          <w:bCs/>
          <w:iCs/>
          <w:sz w:val="20"/>
          <w:szCs w:val="20"/>
        </w:rPr>
        <w:t xml:space="preserve"> исключением</w:t>
      </w:r>
      <w:r>
        <w:rPr>
          <w:bCs/>
          <w:iCs/>
          <w:sz w:val="20"/>
          <w:szCs w:val="20"/>
        </w:rPr>
      </w:r>
      <w:r/>
    </w:p>
    <w:p>
      <w:pPr>
        <w:pStyle w:val="1148"/>
        <w:jc w:val="both"/>
        <w:spacing w:before="40"/>
        <w:rPr>
          <w:sz w:val="20"/>
          <w:szCs w:val="20"/>
          <w:highlight w:val="none"/>
        </w:rPr>
        <w:outlineLvl w:val="5"/>
      </w:pPr>
      <w:r>
        <w:rPr>
          <w:bCs/>
          <w:iCs/>
          <w:sz w:val="20"/>
          <w:szCs w:val="20"/>
        </w:rPr>
        <w:t xml:space="preserve">сельскохозяйственных кредитных потребительских кооперативов), организациям и  </w:t>
      </w:r>
      <w:r>
        <w:rPr>
          <w:bCs/>
          <w:iCs/>
          <w:sz w:val="20"/>
          <w:szCs w:val="20"/>
        </w:rPr>
        <w:t xml:space="preserve">индивидуальным предпринимателям, осуществляющим производство, первичную и (или)</w:t>
      </w:r>
      <w:r>
        <w:t xml:space="preserve"> </w:t>
      </w:r>
      <w:r>
        <w:rPr>
          <w:bCs/>
          <w:iCs/>
          <w:sz w:val="20"/>
          <w:szCs w:val="20"/>
        </w:rPr>
        <w:t xml:space="preserve">последующую (промышленную) переработку сельскохозяйственной продукции и ее</w:t>
      </w:r>
      <w:r>
        <w:t xml:space="preserve"> </w:t>
      </w:r>
      <w:r>
        <w:rPr>
          <w:bCs/>
          <w:iCs/>
          <w:sz w:val="20"/>
          <w:szCs w:val="20"/>
        </w:rPr>
        <w:t xml:space="preserve">реализацию, по льготной ставке» (далее – Решение </w:t>
      </w:r>
      <w:r>
        <w:rPr>
          <w:bCs/>
          <w:iCs/>
          <w:sz w:val="20"/>
          <w:szCs w:val="20"/>
        </w:rPr>
        <w:t xml:space="preserve">№</w:t>
      </w:r>
      <w:r>
        <w:rPr>
          <w:bCs/>
          <w:iCs/>
          <w:sz w:val="20"/>
          <w:szCs w:val="20"/>
        </w:rPr>
        <w:t xml:space="preserve">  1698-Р), принятого в соответствии с</w:t>
      </w:r>
      <w:r>
        <w:t xml:space="preserve"> </w:t>
      </w:r>
      <w:r>
        <w:rPr>
          <w:bCs/>
          <w:iCs/>
          <w:sz w:val="20"/>
          <w:szCs w:val="20"/>
        </w:rPr>
        <w:t xml:space="preserve">ППРФ от 25.10.2023 </w:t>
      </w:r>
      <w:r>
        <w:rPr>
          <w:bCs/>
          <w:iCs/>
          <w:sz w:val="20"/>
          <w:szCs w:val="20"/>
        </w:rPr>
        <w:t xml:space="preserve">№</w:t>
      </w:r>
      <w:r>
        <w:rPr>
          <w:bCs/>
          <w:iCs/>
          <w:sz w:val="20"/>
          <w:szCs w:val="20"/>
        </w:rPr>
        <w:t xml:space="preserve"> 1780;</w:t>
      </w:r>
      <w:r>
        <w:rPr>
          <w:sz w:val="20"/>
          <w:szCs w:val="20"/>
          <w:highlight w:val="none"/>
        </w:rPr>
      </w:r>
      <w:r>
        <w:rPr>
          <w:sz w:val="20"/>
          <w:szCs w:val="20"/>
          <w:highlight w:val="none"/>
        </w:rPr>
      </w:r>
    </w:p>
    <w:p>
      <w:pPr>
        <w:jc w:val="both"/>
        <w:spacing w:before="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p>
      <w:pPr>
        <w:jc w:val="both"/>
        <w:spacing w:before="40"/>
        <w:rPr>
          <w:sz w:val="20"/>
          <w:szCs w:val="20"/>
        </w:rPr>
        <w:outlineLvl w:val="5"/>
      </w:pPr>
      <w:r>
        <w:rPr>
          <w:bCs/>
          <w:iCs/>
          <w:sz w:val="20"/>
          <w:szCs w:val="20"/>
        </w:rPr>
      </w:r>
      <w:r>
        <w:rPr>
          <w:bCs/>
          <w:iCs/>
          <w:sz w:val="20"/>
          <w:szCs w:val="20"/>
        </w:rPr>
        <w:t xml:space="preserve">- при кредитовании в рамках Правил возмещения кр</w:t>
      </w:r>
      <w:r>
        <w:rPr>
          <w:bCs/>
          <w:iCs/>
          <w:sz w:val="20"/>
          <w:szCs w:val="20"/>
        </w:rPr>
        <w:t xml:space="preserve">едитным</w:t>
      </w:r>
      <w:r>
        <w:rPr>
          <w:bCs/>
          <w:iCs/>
          <w:sz w:val="20"/>
          <w:szCs w:val="20"/>
        </w:rPr>
        <w:t xml:space="preserve">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w:t>
      </w:r>
      <w:r>
        <w:rPr>
          <w:bCs/>
          <w:iCs/>
          <w:sz w:val="20"/>
          <w:szCs w:val="20"/>
        </w:rPr>
        <w:t xml:space="preserve">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w:t>
      </w:r>
      <w:r>
        <w:rPr>
          <w:bCs/>
          <w:iCs/>
          <w:sz w:val="20"/>
          <w:szCs w:val="20"/>
        </w:rPr>
        <w:t xml:space="preserve">629) (</w:t>
      </w:r>
      <w:r>
        <w:rPr>
          <w:bCs/>
          <w:iCs/>
          <w:sz w:val="20"/>
          <w:szCs w:val="20"/>
        </w:rPr>
        <w:t xml:space="preserve">далее –</w:t>
      </w:r>
      <w:r>
        <w:rPr>
          <w:bCs/>
          <w:iCs/>
          <w:sz w:val="20"/>
          <w:szCs w:val="20"/>
        </w:rPr>
        <w:t xml:space="preserve"> ППРФ от 30.04.2020 № </w:t>
      </w:r>
      <w:r>
        <w:rPr>
          <w:bCs/>
          <w:iCs/>
          <w:sz w:val="20"/>
          <w:szCs w:val="20"/>
        </w:rPr>
        <w:t xml:space="preserve">629);</w:t>
      </w:r>
      <w:r>
        <w:rPr>
          <w:sz w:val="20"/>
          <w:szCs w:val="20"/>
        </w:rPr>
      </w:r>
      <w:r>
        <w:rPr>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w:t>
      </w:r>
      <w:r>
        <w:rPr>
          <w:bCs/>
          <w:iCs/>
          <w:sz w:val="20"/>
          <w:szCs w:val="20"/>
        </w:rPr>
        <w:t xml:space="preserve">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w:t>
      </w:r>
      <w:r>
        <w:rPr>
          <w:bCs/>
          <w:iCs/>
          <w:sz w:val="20"/>
          <w:szCs w:val="20"/>
        </w:rPr>
        <w:t xml:space="preserve"> </w:t>
      </w:r>
      <w:r>
        <w:rPr>
          <w:bCs/>
          <w:iCs/>
          <w:sz w:val="20"/>
          <w:szCs w:val="20"/>
        </w:rPr>
        <w:t xml:space="preserve">№ 279) </w:t>
      </w:r>
      <w:r>
        <w:rPr>
          <w:bCs/>
          <w:iCs/>
          <w:sz w:val="20"/>
          <w:szCs w:val="20"/>
        </w:rPr>
        <w:t xml:space="preserve">(далее – ППРФ </w:t>
      </w:r>
      <w:r>
        <w:rPr>
          <w:bCs/>
          <w:iCs/>
          <w:sz w:val="20"/>
          <w:szCs w:val="20"/>
        </w:rPr>
        <w:t xml:space="preserve">от 27.02.2021</w:t>
      </w:r>
      <w:r>
        <w:rPr>
          <w:bCs/>
          <w:iCs/>
          <w:sz w:val="20"/>
          <w:szCs w:val="20"/>
        </w:rPr>
        <w:t xml:space="preserve"> </w:t>
      </w:r>
      <w:r>
        <w:rPr>
          <w:bCs/>
          <w:iCs/>
          <w:sz w:val="20"/>
          <w:szCs w:val="20"/>
        </w:rPr>
        <w:t xml:space="preserve">№ 279</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w:t>
      </w:r>
      <w:r>
        <w:rPr>
          <w:bCs/>
          <w:iCs/>
          <w:sz w:val="20"/>
          <w:szCs w:val="20"/>
        </w:rPr>
        <w:t xml:space="preserve">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w:t>
      </w:r>
      <w:r>
        <w:rPr>
          <w:bCs/>
          <w:iCs/>
          <w:sz w:val="20"/>
          <w:szCs w:val="20"/>
        </w:rPr>
        <w:t xml:space="preserve">(далее – ППРФ </w:t>
      </w:r>
      <w:r>
        <w:rPr>
          <w:bCs/>
          <w:iCs/>
          <w:sz w:val="20"/>
          <w:szCs w:val="20"/>
        </w:rPr>
        <w:t xml:space="preserve">от 16.03.2022 № 375</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w:t>
      </w:r>
      <w:r>
        <w:rPr>
          <w:bCs/>
          <w:iCs/>
          <w:sz w:val="20"/>
          <w:szCs w:val="20"/>
        </w:rPr>
        <w:t xml:space="preserve">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w:t>
      </w:r>
      <w:r>
        <w:rPr>
          <w:bCs/>
          <w:iCs/>
          <w:sz w:val="20"/>
          <w:szCs w:val="20"/>
        </w:rPr>
        <w:t xml:space="preserve">(далее – ППРФ </w:t>
      </w:r>
      <w:r>
        <w:rPr>
          <w:bCs/>
          <w:iCs/>
          <w:sz w:val="20"/>
          <w:szCs w:val="20"/>
        </w:rPr>
        <w:t xml:space="preserve">от 17.03.2022 № 393</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w:t>
      </w:r>
      <w:r>
        <w:rPr>
          <w:bCs/>
          <w:iCs/>
          <w:sz w:val="20"/>
          <w:szCs w:val="20"/>
        </w:rPr>
        <w:t xml:space="preserve">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Pr>
          <w:bCs/>
          <w:iCs/>
          <w:sz w:val="20"/>
          <w:szCs w:val="20"/>
        </w:rPr>
        <w:br w:type="textWrapping" w:clear="all"/>
      </w:r>
      <w:r>
        <w:rPr>
          <w:bCs/>
          <w:iCs/>
          <w:sz w:val="20"/>
          <w:szCs w:val="20"/>
        </w:rPr>
        <w:t xml:space="preserve">№ 574) </w:t>
      </w:r>
      <w:r>
        <w:rPr>
          <w:bCs/>
          <w:iCs/>
          <w:sz w:val="20"/>
          <w:szCs w:val="20"/>
        </w:rPr>
        <w:t xml:space="preserve">(далее – ППРФ </w:t>
      </w:r>
      <w:r>
        <w:rPr>
          <w:bCs/>
          <w:iCs/>
          <w:sz w:val="20"/>
          <w:szCs w:val="20"/>
        </w:rPr>
        <w:t xml:space="preserve">от 02.04.2022 № 574</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w:t>
      </w:r>
      <w:r>
        <w:rPr>
          <w:bCs/>
          <w:iCs/>
          <w:sz w:val="20"/>
          <w:szCs w:val="20"/>
        </w:rPr>
        <w:t xml:space="preserve">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w:t>
      </w:r>
      <w:r>
        <w:rPr>
          <w:bCs/>
          <w:iCs/>
          <w:sz w:val="20"/>
          <w:szCs w:val="20"/>
        </w:rPr>
        <w:t xml:space="preserve">(далее – ППРФ </w:t>
        <w:br w:type="textWrapping" w:clear="all"/>
      </w:r>
      <w:r>
        <w:rPr>
          <w:bCs/>
          <w:iCs/>
          <w:sz w:val="20"/>
          <w:szCs w:val="20"/>
        </w:rPr>
        <w:t xml:space="preserve">от 18.05.2022 № 895</w:t>
      </w:r>
      <w:r>
        <w:rPr>
          <w:bCs/>
          <w:iCs/>
          <w:sz w:val="20"/>
          <w:szCs w:val="20"/>
        </w:rPr>
        <w:t xml:space="preserve">);</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субсидий </w:t>
      </w:r>
      <w:r>
        <w:rPr>
          <w:bCs/>
          <w:iCs/>
          <w:sz w:val="20"/>
          <w:szCs w:val="20"/>
        </w:rPr>
        <w:t xml:space="preserve">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w:t>
      </w:r>
      <w:r>
        <w:rPr>
          <w:bCs/>
          <w:iCs/>
          <w:sz w:val="20"/>
          <w:szCs w:val="20"/>
        </w:rPr>
        <w:t xml:space="preserve">от 03.06.2017 № 674) (далее – ППРФ от 03.06.2017 № 674)</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color w:val="000000"/>
          <w:sz w:val="20"/>
          <w:szCs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color w:val="000000"/>
          <w:sz w:val="20"/>
          <w:szCs w:val="20"/>
        </w:rPr>
        <w:t xml:space="preserve">постановлением Правительства Российской Федерации от 24.12.2019 № 1804) (далее – ППРФ от 24.12.2019 № 1804);</w:t>
      </w:r>
      <w:r>
        <w:rPr>
          <w:bCs/>
          <w:iCs/>
          <w:color w:val="000000"/>
          <w:sz w:val="20"/>
          <w:szCs w:val="20"/>
        </w:rPr>
      </w:r>
      <w:r>
        <w:rPr>
          <w:bCs/>
          <w:iCs/>
          <w:color w:val="000000"/>
          <w:sz w:val="20"/>
          <w:szCs w:val="20"/>
        </w:rPr>
      </w:r>
    </w:p>
    <w:p>
      <w:pPr>
        <w:pStyle w:val="1148"/>
        <w:jc w:val="both"/>
        <w:spacing w:before="40"/>
        <w:rPr>
          <w:bCs/>
          <w:iCs/>
          <w:color w:val="000000"/>
          <w:sz w:val="20"/>
          <w:szCs w:val="20"/>
        </w:rPr>
        <w:outlineLvl w:val="5"/>
      </w:pPr>
      <w:r>
        <w:rPr>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color w:val="000000"/>
          <w:sz w:val="20"/>
          <w:szCs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color w:val="000000"/>
          <w:sz w:val="20"/>
          <w:szCs w:val="20"/>
        </w:rPr>
        <w:t xml:space="preserve">постановлением Правительства Российской Федерации от 30.12.2018 № 1764) (далее – ППРФ от 30.12.2018 </w:t>
        <w:br w:type="textWrapping" w:clear="all"/>
        <w:t xml:space="preserve">№ 1764); </w:t>
      </w:r>
      <w:r>
        <w:rPr>
          <w:bCs/>
          <w:iCs/>
          <w:color w:val="000000"/>
          <w:sz w:val="20"/>
          <w:szCs w:val="20"/>
        </w:rPr>
      </w:r>
      <w:r>
        <w:rPr>
          <w:bCs/>
          <w:iCs/>
          <w:color w:val="000000"/>
          <w:sz w:val="20"/>
          <w:szCs w:val="20"/>
        </w:rPr>
      </w:r>
    </w:p>
    <w:p>
      <w:pPr>
        <w:pStyle w:val="1148"/>
        <w:jc w:val="both"/>
        <w:spacing w:before="40" w:after="120"/>
        <w:rPr>
          <w:bCs/>
          <w:iCs/>
          <w:color w:val="000000"/>
          <w:sz w:val="20"/>
          <w:szCs w:val="20"/>
        </w:rPr>
        <w:outlineLvl w:val="5"/>
      </w:pPr>
      <w:r>
        <w:rPr>
          <w:bCs/>
          <w:iCs/>
          <w:color w:val="000000"/>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w:t>
      </w:r>
      <w:r>
        <w:rPr>
          <w:bCs/>
          <w:iCs/>
          <w:color w:val="000000"/>
          <w:sz w:val="20"/>
          <w:szCs w:val="20"/>
        </w:rPr>
        <w:t xml:space="preserve">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color w:val="000000"/>
          <w:sz w:val="20"/>
          <w:szCs w:val="20"/>
        </w:rPr>
      </w:r>
      <w:r>
        <w:rPr>
          <w:bCs/>
          <w:iCs/>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w:t>
      </w:r>
      <w:r>
        <w:rPr>
          <w:color w:val="000000"/>
          <w:sz w:val="20"/>
          <w:szCs w:val="20"/>
        </w:rPr>
        <w:t xml:space="preserve">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w:t>
      </w:r>
      <w:r>
        <w:rPr>
          <w:color w:val="000000"/>
          <w:sz w:val="20"/>
          <w:szCs w:val="20"/>
        </w:rPr>
        <w:t xml:space="preserve">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w:t>
      </w:r>
      <w:r>
        <w:rPr>
          <w:color w:val="000000"/>
          <w:sz w:val="20"/>
          <w:szCs w:val="20"/>
        </w:rPr>
        <w:t xml:space="preserve">щую (промышленную) переработку сельскохозяйственной продукции и ее реализацию, по льготной ставке» далее – Решение № 258-Р , принятого в соответствии с постановлением Правительства Российской Федерации от 25.10.2023 № 1780 «Об утверждении Правил предоставл</w:t>
      </w:r>
      <w:r>
        <w:rPr>
          <w:color w:val="000000"/>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color w:val="000000"/>
          <w:sz w:val="20"/>
          <w:szCs w:val="20"/>
        </w:rPr>
      </w:r>
      <w:r>
        <w:rPr>
          <w:color w:val="000000"/>
          <w:sz w:val="20"/>
          <w:szCs w:val="20"/>
        </w:rPr>
      </w:r>
    </w:p>
    <w:p>
      <w:pPr>
        <w:pStyle w:val="1148"/>
        <w:jc w:val="both"/>
        <w:spacing w:before="40" w:after="40"/>
        <w:rPr>
          <w:color w:val="000000"/>
          <w:sz w:val="20"/>
          <w:szCs w:val="20"/>
        </w:rPr>
        <w:outlineLvl w:val="5"/>
      </w:pPr>
      <w:r>
        <w:rPr>
          <w:color w:val="000000"/>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w:t>
      </w:r>
      <w:r>
        <w:rPr>
          <w:color w:val="000000"/>
          <w:sz w:val="20"/>
          <w:szCs w:val="20"/>
        </w:rPr>
        <w:t xml:space="preserve">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br/>
        <w:t xml:space="preserve">и индивидуа</w:t>
      </w:r>
      <w:r>
        <w:rPr>
          <w:color w:val="000000"/>
          <w:sz w:val="20"/>
          <w:szCs w:val="20"/>
        </w:rPr>
        <w:t xml:space="preserve">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color w:val="000000"/>
          <w:sz w:val="20"/>
          <w:szCs w:val="20"/>
        </w:rPr>
      </w:r>
      <w:r>
        <w:rPr>
          <w:color w:val="000000"/>
          <w:sz w:val="20"/>
          <w:szCs w:val="20"/>
        </w:rPr>
      </w:r>
    </w:p>
    <w:p>
      <w:pPr>
        <w:pStyle w:val="1148"/>
        <w:jc w:val="both"/>
        <w:rPr>
          <w:color w:val="000000"/>
          <w:sz w:val="20"/>
          <w:szCs w:val="20"/>
        </w:rPr>
      </w:pPr>
      <w:r>
        <w:rPr>
          <w:color w:val="000000"/>
          <w:sz w:val="20"/>
          <w:szCs w:val="20"/>
        </w:rPr>
        <w:t xml:space="preserve">- при кредитовании в рамках решения Министерства экономического развития Российской Федерации о порядке предоставления субсидии от </w:t>
      </w:r>
      <w:r>
        <w:rPr>
          <w:color w:val="000000"/>
          <w:sz w:val="20"/>
          <w:szCs w:val="20"/>
        </w:rPr>
        <w:t xml:space="preserve">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color w:val="000000"/>
          <w:sz w:val="20"/>
          <w:szCs w:val="20"/>
        </w:rPr>
      </w:r>
      <w:r>
        <w:rPr>
          <w:color w:val="000000"/>
          <w:sz w:val="20"/>
          <w:szCs w:val="20"/>
        </w:rPr>
      </w:r>
    </w:p>
    <w:p>
      <w:pPr>
        <w:pStyle w:val="1148"/>
        <w:jc w:val="both"/>
        <w:tabs>
          <w:tab w:val="left" w:pos="1134" w:leader="none"/>
        </w:tabs>
        <w:rPr>
          <w:sz w:val="20"/>
          <w:szCs w:val="20"/>
        </w:rPr>
      </w:pPr>
      <w:r>
        <w:rPr>
          <w:sz w:val="20"/>
          <w:szCs w:val="20"/>
        </w:rPr>
        <w:t xml:space="preserve">-</w:t>
      </w:r>
      <w:r>
        <w:rPr>
          <w:sz w:val="20"/>
          <w:szCs w:val="20"/>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w:t>
      </w:r>
      <w:r>
        <w:rPr>
          <w:sz w:val="20"/>
          <w:szCs w:val="20"/>
        </w:rPr>
        <w:t xml:space="preserve">ия субсидии от 22.02.2024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tabs>
          <w:tab w:val="left" w:pos="1134" w:leader="none"/>
        </w:tabs>
        <w:rPr>
          <w:sz w:val="20"/>
          <w:szCs w:val="20"/>
        </w:rPr>
      </w:pPr>
      <w:r>
        <w:rPr>
          <w:sz w:val="20"/>
          <w:szCs w:val="20"/>
        </w:rPr>
      </w:r>
      <w:r>
        <w:rPr>
          <w:sz w:val="20"/>
          <w:szCs w:val="20"/>
        </w:rPr>
      </w:r>
      <w:r>
        <w:rPr>
          <w:sz w:val="20"/>
          <w:szCs w:val="20"/>
        </w:rPr>
      </w:r>
    </w:p>
    <w:tbl>
      <w:tblPr>
        <w:tblW w:w="100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820"/>
        <w:gridCol w:w="45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48"/>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934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48"/>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820"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523" w:type="dxa"/>
            <w:vAlign w:val="top"/>
            <w:textDirection w:val="lrTb"/>
            <w:noWrap w:val="false"/>
          </w:tcPr>
          <w:p>
            <w:pPr>
              <w:pStyle w:val="1148"/>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820" w:type="dxa"/>
            <w:vAlign w:val="top"/>
            <w:textDirection w:val="lrTb"/>
            <w:noWrap w:val="false"/>
          </w:tcPr>
          <w:p>
            <w:pPr>
              <w:pStyle w:val="114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48"/>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30.04.2020 № 629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27.02.2021 № 279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7</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8</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16.03.2022 № 375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16.03.2022 № 375</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9</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17.03.2022 № 393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10</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02.04.2022 № 574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11</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18.05.2022 № 895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pPr>
            <w:r>
              <w:rPr>
                <w:bCs/>
                <w:iCs/>
                <w:sz w:val="20"/>
                <w:szCs w:val="20"/>
              </w:rPr>
              <w:t xml:space="preserve">12</w:t>
            </w:r>
            <w:r>
              <w:rPr>
                <w:bCs/>
                <w:iCs/>
                <w:sz w:val="20"/>
                <w:szCs w:val="20"/>
              </w:rPr>
            </w:r>
            <w:r>
              <w:rPr>
                <w:bCs/>
                <w:iCs/>
                <w:sz w:val="20"/>
                <w:szCs w:val="20"/>
              </w:rPr>
            </w:r>
          </w:p>
        </w:tc>
        <w:tc>
          <w:tcPr>
            <w:tcW w:w="4820" w:type="dxa"/>
            <w:vAlign w:val="top"/>
            <w:textDirection w:val="lrTb"/>
            <w:noWrap w:val="false"/>
          </w:tcPr>
          <w:p>
            <w:pPr>
              <w:pStyle w:val="1148"/>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523" w:type="dxa"/>
            <w:vAlign w:val="top"/>
            <w:textDirection w:val="lrTb"/>
            <w:noWrap w:val="false"/>
          </w:tcPr>
          <w:p>
            <w:pPr>
              <w:pStyle w:val="1148"/>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 </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ППРФ от 03.06.2017 № 674</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3"/>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 </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1969-Р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ППРФ от 06.092022 № 1570</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1969-Р (в рамках ППРФ </w:t>
            </w: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bCs/>
                <w:iCs/>
                <w:sz w:val="20"/>
                <w:szCs w:val="20"/>
                <w:highlight w:val="none"/>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sz w:val="20"/>
                <w:szCs w:val="20"/>
              </w:rPr>
              <w:t xml:space="preserve">- Решение </w:t>
            </w:r>
            <w:r>
              <w:rPr>
                <w:bCs/>
                <w:iCs/>
                <w:sz w:val="20"/>
                <w:szCs w:val="20"/>
              </w:rPr>
              <w:t xml:space="preserve">№</w:t>
            </w:r>
            <w:r>
              <w:rPr>
                <w:sz w:val="20"/>
                <w:szCs w:val="20"/>
              </w:rPr>
              <w:t xml:space="preserve"> 1698-Р (в рамках ППРФ </w:t>
            </w:r>
            <w:r>
              <w:rPr>
                <w:sz w:val="20"/>
                <w:szCs w:val="20"/>
              </w:rPr>
              <w:t xml:space="preserve">от 25.10.2023 </w:t>
            </w:r>
            <w:r>
              <w:rPr>
                <w:bCs/>
                <w:iCs/>
                <w:sz w:val="20"/>
                <w:szCs w:val="20"/>
              </w:rPr>
              <w:t xml:space="preserve">№</w:t>
            </w:r>
            <w:r>
              <w:rPr>
                <w:sz w:val="20"/>
                <w:szCs w:val="20"/>
              </w:rPr>
              <w:t xml:space="preserve"> 1780)</w:t>
            </w:r>
            <w:r>
              <w:rPr>
                <w:sz w:val="20"/>
                <w:szCs w:val="20"/>
              </w:rPr>
            </w: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outlineLvl w:val="5"/>
            </w:pPr>
            <w:r>
              <w:rPr>
                <w:bCs/>
                <w:iCs/>
                <w:sz w:val="20"/>
                <w:szCs w:val="20"/>
                <w:highlight w:val="none"/>
              </w:rPr>
              <w:t xml:space="preserve">- Решение </w:t>
            </w:r>
            <w:r>
              <w:rPr>
                <w:bCs/>
                <w:iCs/>
                <w:sz w:val="20"/>
                <w:szCs w:val="20"/>
              </w:rPr>
              <w:t xml:space="preserve">№</w:t>
            </w:r>
            <w:r>
              <w:rPr>
                <w:bCs/>
                <w:iCs/>
                <w:sz w:val="20"/>
                <w:szCs w:val="20"/>
                <w:highlight w:val="none"/>
              </w:rPr>
              <w:t xml:space="preserve"> 1698-Р (в рамках ППРФ</w:t>
            </w:r>
            <w:r/>
          </w:p>
          <w:p>
            <w:pPr>
              <w:keepNext/>
              <w:spacing w:before="40" w:after="40"/>
              <w:rPr>
                <w:sz w:val="20"/>
                <w:szCs w:val="20"/>
              </w:rPr>
              <w:outlineLvl w:val="5"/>
            </w:pPr>
            <w:r>
              <w:rPr>
                <w:bCs/>
                <w:iCs/>
                <w:sz w:val="20"/>
                <w:szCs w:val="20"/>
                <w:highlight w:val="none"/>
              </w:rPr>
              <w:t xml:space="preserve">от 25.10.2023 </w:t>
            </w:r>
            <w:r>
              <w:rPr>
                <w:bCs/>
                <w:iCs/>
                <w:sz w:val="20"/>
                <w:szCs w:val="20"/>
              </w:rPr>
              <w:t xml:space="preserve">№</w:t>
            </w:r>
            <w:r>
              <w:rPr>
                <w:bCs/>
                <w:iCs/>
                <w:sz w:val="20"/>
                <w:szCs w:val="20"/>
                <w:highlight w:val="none"/>
              </w:rPr>
              <w:t xml:space="preserve">  1780)</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820"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523" w:type="dxa"/>
            <w:vAlign w:val="top"/>
            <w:textDirection w:val="lrTb"/>
            <w:noWrap w:val="false"/>
          </w:tcPr>
          <w:p>
            <w:pPr>
              <w:pStyle w:val="1148"/>
              <w:keepNext/>
              <w:spacing w:before="40" w:after="40"/>
              <w:rPr>
                <w:iCs/>
                <w:sz w:val="20"/>
                <w:szCs w:val="20"/>
                <w:highlight w:val="none"/>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iCs/>
                <w:sz w:val="20"/>
                <w:szCs w:val="20"/>
                <w:highlight w:val="none"/>
              </w:rPr>
            </w:r>
            <w:r>
              <w:rPr>
                <w:iCs/>
                <w:sz w:val="20"/>
                <w:szCs w:val="20"/>
                <w:highlight w:val="none"/>
              </w:rPr>
            </w:r>
          </w:p>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18</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48"/>
              <w:jc w:val="center"/>
              <w:spacing w:before="40" w:after="40"/>
              <w:rPr>
                <w:bCs/>
                <w:iCs/>
                <w:sz w:val="20"/>
                <w:szCs w:val="20"/>
              </w:rPr>
              <w:outlineLvl w:val="5"/>
            </w:pPr>
            <w:r>
              <w:rPr>
                <w:bCs/>
                <w:iCs/>
                <w:sz w:val="20"/>
                <w:szCs w:val="20"/>
              </w:rPr>
              <w:t xml:space="preserve">19</w:t>
            </w:r>
            <w:r>
              <w:rPr>
                <w:bCs/>
                <w:iCs/>
                <w:sz w:val="20"/>
                <w:szCs w:val="20"/>
              </w:rPr>
            </w:r>
            <w:r>
              <w:rPr>
                <w:bCs/>
                <w:iCs/>
                <w:sz w:val="20"/>
                <w:szCs w:val="20"/>
              </w:rPr>
            </w:r>
          </w:p>
        </w:tc>
        <w:tc>
          <w:tcPr>
            <w:tcW w:w="4820"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523" w:type="dxa"/>
            <w:vAlign w:val="top"/>
            <w:textDirection w:val="lrTb"/>
            <w:noWrap w:val="false"/>
          </w:tcPr>
          <w:p>
            <w:pPr>
              <w:pStyle w:val="114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bl>
    <w:p>
      <w:pPr>
        <w:pStyle w:val="1148"/>
        <w:jc w:val="both"/>
        <w:tabs>
          <w:tab w:val="left" w:pos="1134" w:leader="none"/>
        </w:tabs>
        <w:rPr>
          <w:sz w:val="20"/>
          <w:szCs w:val="20"/>
        </w:rPr>
      </w:pPr>
      <w:r>
        <w:rPr>
          <w:sz w:val="20"/>
          <w:szCs w:val="20"/>
        </w:rPr>
      </w:r>
      <w:r>
        <w:rPr>
          <w:sz w:val="20"/>
          <w:szCs w:val="20"/>
        </w:rPr>
      </w:r>
      <w:r>
        <w:rPr>
          <w:sz w:val="20"/>
          <w:szCs w:val="20"/>
        </w:rPr>
      </w:r>
    </w:p>
    <w:p>
      <w:pPr>
        <w:pStyle w:val="1148"/>
        <w:jc w:val="both"/>
        <w:spacing w:before="120"/>
        <w:rPr>
          <w:lang w:eastAsia="en-US"/>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lang w:eastAsia="en-US"/>
        </w:rPr>
      </w:r>
      <w:r>
        <w:rPr>
          <w:lang w:eastAsia="en-US"/>
        </w:rPr>
      </w:r>
    </w:p>
    <w:p>
      <w:pPr>
        <w:pStyle w:val="1148"/>
        <w:rPr>
          <w:lang w:eastAsia="en-US"/>
        </w:rPr>
      </w:pPr>
      <w:r>
        <w:rPr>
          <w:lang w:eastAsia="en-US"/>
        </w:rPr>
      </w:r>
      <w:r>
        <w:rPr>
          <w:lang w:eastAsia="en-US"/>
        </w:rPr>
      </w:r>
      <w:r>
        <w:rPr>
          <w:lang w:eastAsia="en-US"/>
        </w:rPr>
      </w:r>
    </w:p>
    <w:p>
      <w:pPr>
        <w:pStyle w:val="1148"/>
        <w:rPr>
          <w:lang w:eastAsia="en-US"/>
        </w:rPr>
      </w:pPr>
      <w:r>
        <w:rPr>
          <w:lang w:eastAsia="en-US"/>
        </w:rPr>
      </w:r>
      <w:r>
        <w:rPr>
          <w:lang w:eastAsia="en-US"/>
        </w:rPr>
      </w:r>
      <w:r>
        <w:rPr>
          <w:lang w:eastAsia="en-US"/>
        </w:rPr>
      </w:r>
    </w:p>
    <w:p>
      <w:pPr>
        <w:pStyle w:val="1152"/>
        <w:numPr>
          <w:ilvl w:val="0"/>
          <w:numId w:val="27"/>
        </w:numPr>
      </w:pPr>
      <w:r>
        <w:t xml:space="preserve">Обслуживание торгово-сервисных предприятий</w:t>
      </w:r>
      <w:r>
        <w:footnoteReference w:id="8"/>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48"/>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48"/>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8"/>
        </w:trPr>
        <w:tc>
          <w:tcPr>
            <w:tcW w:w="1130" w:type="dxa"/>
            <w:vAlign w:val="center"/>
            <w:textDirection w:val="lrTb"/>
            <w:noWrap w:val="false"/>
          </w:tcPr>
          <w:p>
            <w:pPr>
              <w:pStyle w:val="1148"/>
              <w:jc w:val="center"/>
              <w:rPr>
                <w:sz w:val="20"/>
                <w:szCs w:val="20"/>
              </w:rPr>
            </w:pPr>
            <w:r>
              <w:rPr>
                <w:sz w:val="20"/>
                <w:szCs w:val="20"/>
              </w:rPr>
              <w:t xml:space="preserve">13.3.</w:t>
            </w:r>
            <w:r>
              <w:rPr>
                <w:sz w:val="20"/>
                <w:szCs w:val="20"/>
              </w:rPr>
            </w:r>
            <w:r>
              <w:rPr>
                <w:sz w:val="20"/>
                <w:szCs w:val="20"/>
              </w:rPr>
            </w:r>
          </w:p>
        </w:tc>
        <w:tc>
          <w:tcPr>
            <w:gridSpan w:val="3"/>
            <w:tcW w:w="8793" w:type="dxa"/>
            <w:vAlign w:val="center"/>
            <w:textDirection w:val="lrTb"/>
            <w:noWrap w:val="false"/>
          </w:tcPr>
          <w:p>
            <w:pPr>
              <w:pStyle w:val="1148"/>
              <w:rPr>
                <w:sz w:val="20"/>
                <w:szCs w:val="20"/>
              </w:rPr>
            </w:pPr>
            <w:r>
              <w:rPr>
                <w:sz w:val="20"/>
                <w:szCs w:val="20"/>
              </w:rPr>
              <w:t xml:space="preserve">Комиссия за совершение операции в сети Интернет: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13.3.1.</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jc w:val="center"/>
              <w:rPr>
                <w:sz w:val="20"/>
                <w:szCs w:val="20"/>
              </w:rPr>
            </w:pPr>
            <w:r>
              <w:rPr>
                <w:sz w:val="20"/>
                <w:szCs w:val="20"/>
              </w:rPr>
              <w:t xml:space="preserve">13.3.2.</w:t>
            </w:r>
            <w:r>
              <w:rPr>
                <w:sz w:val="20"/>
                <w:szCs w:val="20"/>
              </w:rPr>
            </w:r>
            <w:r>
              <w:rPr>
                <w:sz w:val="20"/>
                <w:szCs w:val="20"/>
              </w:rPr>
            </w:r>
          </w:p>
        </w:tc>
        <w:tc>
          <w:tcPr>
            <w:tcW w:w="3870" w:type="dxa"/>
            <w:vAlign w:val="center"/>
            <w:textDirection w:val="lrTb"/>
            <w:noWrap w:val="false"/>
          </w:tcPr>
          <w:p>
            <w:pPr>
              <w:pStyle w:val="1148"/>
              <w:jc w:val="center"/>
              <w:rPr>
                <w:sz w:val="20"/>
                <w:szCs w:val="20"/>
              </w:rPr>
            </w:pPr>
            <w:r>
              <w:rPr>
                <w:sz w:val="20"/>
                <w:szCs w:val="20"/>
              </w:rPr>
              <w:t xml:space="preserve">C использованием карты платежной системы МИР, международных платежных систем, UnionPay, JCB, American Express, VISA и Mastercard (кроме карт, выпущенных АО «Россельхозбанк»)</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C использованием карты, выпущенной </w:t>
              <w:br w:type="textWrapping" w:clear="all"/>
              <w:t xml:space="preserve">АО «Россельхозбанк» (МИР, UnionPay, JCB, VISA и Mastercard всех категорий)</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48"/>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48"/>
              <w:jc w:val="both"/>
              <w:keepLines/>
              <w:keepNext/>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088" w:type="dxa"/>
            <w:vAlign w:val="top"/>
            <w:textDirection w:val="lrTb"/>
            <w:noWrap w:val="false"/>
          </w:tcPr>
          <w:p>
            <w:pPr>
              <w:pStyle w:val="1148"/>
              <w:jc w:val="center"/>
              <w:keepLines/>
              <w:keepNext/>
              <w:rPr>
                <w:sz w:val="20"/>
                <w:szCs w:val="20"/>
              </w:rPr>
            </w:pPr>
            <w:r>
              <w:rPr>
                <w:sz w:val="20"/>
                <w:szCs w:val="20"/>
              </w:rPr>
              <w:t xml:space="preserve">0,70% от суммы операции, но не более </w:t>
            </w:r>
            <w:r>
              <w:rPr>
                <w:sz w:val="20"/>
                <w:szCs w:val="20"/>
              </w:rPr>
            </w:r>
            <w:r>
              <w:rPr>
                <w:sz w:val="20"/>
                <w:szCs w:val="20"/>
              </w:rPr>
            </w:r>
          </w:p>
          <w:p>
            <w:pPr>
              <w:pStyle w:val="1148"/>
              <w:ind w:left="72"/>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2835" w:type="dxa"/>
            <w:vAlign w:val="top"/>
            <w:textDirection w:val="lrTb"/>
            <w:noWrap w:val="false"/>
          </w:tcPr>
          <w:p>
            <w:pPr>
              <w:pStyle w:val="1148"/>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48"/>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48"/>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130" w:type="dxa"/>
            <w:vAlign w:val="top"/>
            <w:textDirection w:val="lrTb"/>
            <w:noWrap w:val="false"/>
          </w:tcPr>
          <w:p>
            <w:pPr>
              <w:pStyle w:val="1148"/>
              <w:ind w:left="72"/>
              <w:jc w:val="both"/>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70" w:type="dxa"/>
            <w:vAlign w:val="top"/>
            <w:textDirection w:val="lrTb"/>
            <w:noWrap w:val="false"/>
          </w:tcPr>
          <w:p>
            <w:pPr>
              <w:pStyle w:val="1148"/>
              <w:ind w:left="72"/>
              <w:jc w:val="both"/>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88" w:type="dxa"/>
            <w:vAlign w:val="top"/>
            <w:textDirection w:val="lrTb"/>
            <w:noWrap w:val="false"/>
          </w:tcPr>
          <w:p>
            <w:pPr>
              <w:pStyle w:val="1148"/>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48"/>
              <w:rPr>
                <w:sz w:val="20"/>
                <w:szCs w:val="20"/>
              </w:rPr>
            </w:pPr>
            <w:r>
              <w:rPr>
                <w:sz w:val="20"/>
                <w:szCs w:val="20"/>
              </w:rPr>
            </w:r>
            <w:r>
              <w:rPr>
                <w:sz w:val="20"/>
                <w:szCs w:val="20"/>
              </w:rPr>
            </w:r>
            <w:r>
              <w:rPr>
                <w:sz w:val="20"/>
                <w:szCs w:val="20"/>
              </w:rPr>
            </w:r>
          </w:p>
        </w:tc>
      </w:tr>
    </w:tbl>
    <w:p>
      <w:pPr>
        <w:pStyle w:val="1148"/>
        <w:rPr>
          <w:i/>
          <w:sz w:val="20"/>
          <w:szCs w:val="20"/>
        </w:rPr>
      </w:pPr>
      <w:r>
        <w:rPr>
          <w:i/>
          <w:sz w:val="20"/>
          <w:szCs w:val="20"/>
        </w:rPr>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rPr>
          <w:sz w:val="20"/>
          <w:szCs w:val="20"/>
        </w:rPr>
      </w:pPr>
      <w:r>
        <w:rPr>
          <w:i/>
          <w:sz w:val="20"/>
          <w:szCs w:val="20"/>
        </w:rPr>
        <w:t xml:space="preserve">Примечание:</w:t>
      </w:r>
      <w:r>
        <w:rPr>
          <w:i/>
          <w:sz w:val="20"/>
          <w:szCs w:val="20"/>
        </w:rPr>
        <w:t xml:space="preserve"> </w:t>
      </w:r>
      <w:r>
        <w:rPr>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20"/>
          <w:szCs w:val="20"/>
        </w:rPr>
      </w:r>
      <w:r>
        <w:rPr>
          <w:sz w:val="20"/>
          <w:szCs w:val="20"/>
        </w:rPr>
      </w:r>
    </w:p>
    <w:p>
      <w:pPr>
        <w:pStyle w:val="1148"/>
      </w:pPr>
      <w:r/>
      <w:r/>
    </w:p>
    <w:p>
      <w:pPr>
        <w:pStyle w:val="1148"/>
        <w:rPr>
          <w:i/>
          <w:sz w:val="20"/>
          <w:szCs w:val="20"/>
        </w:rPr>
      </w:pPr>
      <w:r>
        <w:rPr>
          <w:i/>
          <w:sz w:val="20"/>
          <w:szCs w:val="20"/>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w:t>
      </w:r>
      <w:r>
        <w:rPr>
          <w:i/>
          <w:sz w:val="20"/>
          <w:szCs w:val="20"/>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20"/>
          <w:szCs w:val="20"/>
        </w:rPr>
      </w:r>
      <w:r>
        <w:rPr>
          <w:i/>
          <w:sz w:val="20"/>
          <w:szCs w:val="20"/>
        </w:rPr>
      </w:r>
    </w:p>
    <w:p>
      <w:pPr>
        <w:pStyle w:val="1148"/>
        <w:rPr>
          <w:i/>
          <w:sz w:val="20"/>
          <w:szCs w:val="20"/>
        </w:rPr>
      </w:pPr>
      <w:r>
        <w:rPr>
          <w:i/>
          <w:sz w:val="20"/>
          <w:szCs w:val="20"/>
        </w:rPr>
      </w:r>
      <w:r>
        <w:rPr>
          <w:i/>
          <w:sz w:val="20"/>
          <w:szCs w:val="20"/>
        </w:rPr>
      </w:r>
      <w:r>
        <w:rPr>
          <w:i/>
          <w:sz w:val="20"/>
          <w:szCs w:val="20"/>
        </w:rPr>
      </w:r>
    </w:p>
    <w:p>
      <w:pPr>
        <w:pStyle w:val="1148"/>
      </w:pPr>
      <w:r/>
      <w:r/>
    </w:p>
    <w:p>
      <w:pPr>
        <w:pStyle w:val="1152"/>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48"/>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4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48"/>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2 000 руб., </w:t>
            </w:r>
            <w:r>
              <w:rPr>
                <w:sz w:val="20"/>
                <w:szCs w:val="20"/>
              </w:rPr>
            </w:r>
            <w:r>
              <w:rPr>
                <w:sz w:val="20"/>
                <w:szCs w:val="20"/>
              </w:rPr>
            </w:r>
          </w:p>
          <w:p>
            <w:pPr>
              <w:pStyle w:val="1148"/>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48"/>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48"/>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48"/>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48"/>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48"/>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94"/>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 принятых </w:t>
              <w:br w:type="textWrapping" w:clear="all"/>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9"/>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94"/>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48"/>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48"/>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48"/>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48"/>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48"/>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48"/>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48"/>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48"/>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48"/>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48"/>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94"/>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94"/>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94"/>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48"/>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48"/>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48"/>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48"/>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500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94"/>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48"/>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94"/>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48"/>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48"/>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48"/>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48"/>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48"/>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48"/>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48"/>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48"/>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48"/>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48"/>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1148"/>
              <w:jc w:val="both"/>
              <w:spacing w:before="40" w:after="40"/>
              <w:rPr>
                <w:sz w:val="20"/>
                <w:szCs w:val="20"/>
              </w:rPr>
            </w:pPr>
            <w:r>
              <w:rPr>
                <w:sz w:val="20"/>
                <w:szCs w:val="20"/>
              </w:rPr>
              <w:t xml:space="preserve">Предоставление выписок, копий поручений, приложений, договоров и др. документов по запросу Депонента</w:t>
            </w:r>
            <w:r>
              <w:rPr>
                <w:sz w:val="20"/>
                <w:szCs w:val="20"/>
              </w:rPr>
            </w:r>
            <w:r>
              <w:rPr>
                <w:sz w:val="20"/>
                <w:szCs w:val="20"/>
              </w:rPr>
            </w:r>
          </w:p>
        </w:tc>
        <w:tc>
          <w:tcPr>
            <w:gridSpan w:val="2"/>
            <w:tcW w:w="1985" w:type="dxa"/>
            <w:vAlign w:val="top"/>
            <w:textDirection w:val="lrTb"/>
            <w:noWrap w:val="false"/>
          </w:tcPr>
          <w:p>
            <w:pPr>
              <w:pStyle w:val="1148"/>
              <w:jc w:val="center"/>
              <w:spacing w:before="40" w:after="40"/>
              <w:rPr>
                <w:sz w:val="20"/>
                <w:szCs w:val="20"/>
              </w:rPr>
            </w:pPr>
            <w:r>
              <w:rPr>
                <w:sz w:val="20"/>
                <w:szCs w:val="20"/>
              </w:rPr>
              <w:t xml:space="preserve">100 руб. за лист</w:t>
            </w:r>
            <w:r>
              <w:rPr>
                <w:sz w:val="20"/>
                <w:szCs w:val="20"/>
              </w:rPr>
            </w:r>
            <w:r>
              <w:rPr>
                <w:sz w:val="20"/>
                <w:szCs w:val="20"/>
              </w:rPr>
            </w:r>
          </w:p>
        </w:tc>
        <w:tc>
          <w:tcPr>
            <w:tcW w:w="2976" w:type="dxa"/>
            <w:vAlign w:val="top"/>
            <w:textDirection w:val="lrTb"/>
            <w:noWrap w:val="false"/>
          </w:tcPr>
          <w:p>
            <w:pPr>
              <w:pStyle w:val="1148"/>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48"/>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48"/>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48"/>
        <w:rPr>
          <w:i/>
          <w:sz w:val="16"/>
          <w:szCs w:val="16"/>
        </w:rPr>
      </w:pPr>
      <w:r>
        <w:rPr>
          <w:i/>
          <w:sz w:val="16"/>
          <w:szCs w:val="16"/>
        </w:rPr>
      </w:r>
      <w:r>
        <w:rPr>
          <w:i/>
          <w:sz w:val="16"/>
          <w:szCs w:val="16"/>
        </w:rPr>
      </w:r>
      <w:r>
        <w:rPr>
          <w:i/>
          <w:sz w:val="16"/>
          <w:szCs w:val="16"/>
        </w:rPr>
      </w:r>
    </w:p>
    <w:p>
      <w:pPr>
        <w:pStyle w:val="1152"/>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48"/>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48"/>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48"/>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48"/>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48"/>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48"/>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48"/>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48"/>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48"/>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48"/>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48"/>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52"/>
        <w:rPr>
          <w:lang w:val="ru-RU"/>
        </w:rPr>
      </w:pPr>
      <w:r>
        <w:t xml:space="preserve">16. Операции с драгоценными металлами</w:t>
      </w:r>
      <w:r>
        <w:rPr>
          <w:lang w:val="ru-RU"/>
        </w:rPr>
      </w:r>
      <w:r>
        <w:rPr>
          <w:lang w:val="ru-RU"/>
        </w:rPr>
      </w:r>
    </w:p>
    <w:p>
      <w:pPr>
        <w:pStyle w:val="1148"/>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48"/>
              <w:jc w:val="center"/>
              <w:rPr>
                <w:b/>
                <w:sz w:val="20"/>
                <w:szCs w:val="20"/>
              </w:rPr>
            </w:pPr>
            <w:r>
              <w:rPr>
                <w:b/>
                <w:sz w:val="20"/>
                <w:szCs w:val="20"/>
              </w:rPr>
              <w:t xml:space="preserve">№</w:t>
            </w:r>
            <w:r>
              <w:rPr>
                <w:b/>
                <w:sz w:val="20"/>
                <w:szCs w:val="20"/>
              </w:rPr>
            </w:r>
            <w:r>
              <w:rPr>
                <w:b/>
                <w:sz w:val="20"/>
                <w:szCs w:val="20"/>
              </w:rPr>
            </w:r>
          </w:p>
          <w:p>
            <w:pPr>
              <w:pStyle w:val="1148"/>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48"/>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48"/>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48"/>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48"/>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93"/>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4"/>
            <w:tcW w:w="8930" w:type="dxa"/>
            <w:vAlign w:val="top"/>
            <w:textDirection w:val="lrTb"/>
            <w:noWrap w:val="false"/>
          </w:tcPr>
          <w:p>
            <w:pPr>
              <w:pStyle w:val="1193"/>
              <w:jc w:val="both"/>
              <w:spacing w:before="120" w:after="12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банковским счетам в драгоценных металлах</w:t>
            </w:r>
            <w:r>
              <w:rPr>
                <w:rStyle w:val="1180"/>
                <w:i/>
                <w:iCs/>
                <w:smallCaps/>
                <w:sz w:val="20"/>
                <w:szCs w:val="20"/>
              </w:rPr>
              <w:footnoteReference w:id="10"/>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1"/>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spacing w:before="20"/>
                    <w:tabs>
                      <w:tab w:val="left" w:pos="58"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left w:val="single" w:color="000000" w:sz="4" w:space="0"/>
            </w:tcBorders>
            <w:tcW w:w="184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2"/>
            <w:tcW w:w="3827"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w:t>
            </w:r>
            <w:r>
              <w:rPr>
                <w:rFonts w:ascii="Times New Roman" w:hAnsi="Times New Roman" w:cs="Times New Roman"/>
                <w:b w:val="0"/>
                <w:bCs w:val="0"/>
                <w:i w:val="0"/>
                <w:iCs w:val="0"/>
                <w:smallCaps w:val="0"/>
                <w:sz w:val="20"/>
                <w:szCs w:val="20"/>
                <w:lang w:val="en-US"/>
              </w:rPr>
              <w:t xml:space="preserve">              </w:t>
            </w:r>
            <w:r>
              <w:rPr>
                <w:rFonts w:ascii="Times New Roman" w:hAnsi="Times New Roman" w:cs="Times New Roman"/>
                <w:b w:val="0"/>
                <w:bCs w:val="0"/>
                <w:i w:val="0"/>
                <w:iCs w:val="0"/>
                <w:smallCaps w:val="0"/>
                <w:sz w:val="20"/>
                <w:szCs w:val="20"/>
              </w:rPr>
              <w:t xml:space="preserve">драгоценного металла</w:t>
            </w:r>
            <w:r>
              <w:rPr>
                <w:rStyle w:val="1180"/>
                <w:rFonts w:ascii="Times New Roman" w:hAnsi="Times New Roman" w:cs="Times New Roman"/>
                <w:i/>
                <w:iCs/>
                <w:smallCaps/>
                <w:sz w:val="20"/>
                <w:szCs w:val="20"/>
              </w:rPr>
              <w:footnoteReference w:id="12"/>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93"/>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843" w:type="dxa"/>
            <w:vAlign w:val="top"/>
            <w:textDirection w:val="lrTb"/>
            <w:noWrap w:val="false"/>
          </w:tcPr>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1 100,00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1 200,00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1 900,00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2"/>
                <w:szCs w:val="20"/>
              </w:rPr>
            </w:pPr>
            <w:r>
              <w:rPr>
                <w:rFonts w:ascii="Times New Roman" w:hAnsi="Times New Roman" w:cs="Times New Roman"/>
                <w:b w:val="0"/>
                <w:bCs w:val="0"/>
                <w:i w:val="0"/>
                <w:iCs w:val="0"/>
                <w:smallCaps w:val="0"/>
                <w:sz w:val="22"/>
                <w:szCs w:val="20"/>
              </w:rPr>
              <w:t xml:space="preserve">2 300,00</w:t>
            </w:r>
            <w:r>
              <w:rPr>
                <w:rFonts w:ascii="Times New Roman" w:hAnsi="Times New Roman" w:cs="Times New Roman"/>
                <w:b w:val="0"/>
                <w:bCs w:val="0"/>
                <w:i w:val="0"/>
                <w:iCs w:val="0"/>
                <w:smallCaps w:val="0"/>
                <w:sz w:val="22"/>
                <w:szCs w:val="20"/>
              </w:rPr>
            </w:r>
            <w:r>
              <w:rPr>
                <w:rFonts w:ascii="Times New Roman" w:hAnsi="Times New Roman" w:cs="Times New Roman"/>
                <w:b w:val="0"/>
                <w:bCs w:val="0"/>
                <w:i w:val="0"/>
                <w:iCs w:val="0"/>
                <w:smallCaps w:val="0"/>
                <w:sz w:val="22"/>
                <w:szCs w:val="20"/>
              </w:rPr>
            </w:r>
          </w:p>
          <w:p>
            <w:pPr>
              <w:pStyle w:val="1193"/>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2"/>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93"/>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48"/>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148"/>
        <w:rPr>
          <w:lang w:val="en-US" w:eastAsia="en-US"/>
        </w:rPr>
      </w:pPr>
      <w:r>
        <w:rPr>
          <w:lang w:val="en-US" w:eastAsia="en-US"/>
        </w:rPr>
      </w:r>
      <w:r>
        <w:rPr>
          <w:lang w:val="en-US" w:eastAsia="en-US"/>
        </w:rPr>
      </w:r>
      <w:r>
        <w:rPr>
          <w:lang w:val="en-US" w:eastAsia="en-US"/>
        </w:rPr>
      </w:r>
    </w:p>
    <w:p>
      <w:pPr>
        <w:pStyle w:val="1152"/>
        <w:ind w:left="567"/>
      </w:pPr>
      <w:r>
        <w:rPr>
          <w:lang w:val="ru-RU"/>
        </w:rPr>
        <w:t xml:space="preserve">1</w:t>
      </w:r>
      <w:r>
        <w:t xml:space="preserve">7. Обслуживание с использованием Торговой системы</w:t>
      </w:r>
      <w:r>
        <w:t xml:space="preserve"> 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p>
    <w:p>
      <w:pPr>
        <w:pStyle w:val="1148"/>
        <w:rPr>
          <w:lang w:val="en-US" w:eastAsia="en-US"/>
        </w:rPr>
      </w:pPr>
      <w:r>
        <w:rPr>
          <w:lang w:val="en-US" w:eastAsia="en-US"/>
        </w:rPr>
      </w:r>
      <w:r>
        <w:rPr>
          <w:lang w:val="en-US" w:eastAsia="en-US"/>
        </w:rPr>
      </w:r>
      <w:r>
        <w:rPr>
          <w:lang w:val="en-US" w:eastAsia="en-US"/>
        </w:rPr>
      </w:r>
    </w:p>
    <w:tbl>
      <w:tblPr>
        <w:tblW w:w="10064"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349"/>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349" w:type="dxa"/>
            <w:vAlign w:val="center"/>
            <w:textDirection w:val="lrTb"/>
            <w:noWrap w:val="false"/>
          </w:tcPr>
          <w:p>
            <w:pPr>
              <w:pStyle w:val="1148"/>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338" w:type="dxa"/>
            <w:vAlign w:val="center"/>
            <w:textDirection w:val="lrTb"/>
            <w:noWrap w:val="false"/>
          </w:tcPr>
          <w:p>
            <w:pPr>
              <w:pStyle w:val="1148"/>
              <w:rPr>
                <w:b/>
                <w:bCs/>
                <w:lang w:eastAsia="en-US"/>
              </w:rPr>
            </w:pPr>
            <w:r>
              <w:rPr>
                <w:b/>
                <w:bCs/>
                <w:lang w:eastAsia="en-US"/>
              </w:rPr>
              <w:t xml:space="preserve">Наименование услуги</w:t>
            </w:r>
            <w:r>
              <w:rPr>
                <w:b/>
                <w:bCs/>
                <w:lang w:eastAsia="en-US"/>
              </w:rPr>
            </w:r>
            <w:r>
              <w:rPr>
                <w:b/>
                <w:bCs/>
                <w:lang w:eastAsia="en-US"/>
              </w:rPr>
            </w:r>
          </w:p>
        </w:tc>
        <w:tc>
          <w:tcPr>
            <w:tcW w:w="1787" w:type="dxa"/>
            <w:vAlign w:val="center"/>
            <w:textDirection w:val="lrTb"/>
            <w:noWrap w:val="false"/>
          </w:tcPr>
          <w:p>
            <w:pPr>
              <w:pStyle w:val="1148"/>
              <w:rPr>
                <w:b/>
                <w:bCs/>
                <w:lang w:eastAsia="en-US"/>
              </w:rPr>
            </w:pPr>
            <w:r>
              <w:rPr>
                <w:b/>
                <w:bCs/>
                <w:lang w:eastAsia="en-US"/>
              </w:rPr>
              <w:t xml:space="preserve">Тариф</w:t>
            </w:r>
            <w:r>
              <w:rPr>
                <w:b/>
                <w:bCs/>
                <w:lang w:eastAsia="en-US"/>
              </w:rPr>
            </w:r>
            <w:r>
              <w:rPr>
                <w:b/>
                <w:bCs/>
                <w:lang w:eastAsia="en-US"/>
              </w:rPr>
            </w:r>
          </w:p>
        </w:tc>
        <w:tc>
          <w:tcPr>
            <w:tcW w:w="3590" w:type="dxa"/>
            <w:vAlign w:val="center"/>
            <w:textDirection w:val="lrTb"/>
            <w:noWrap w:val="false"/>
          </w:tcPr>
          <w:p>
            <w:pPr>
              <w:pStyle w:val="1148"/>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3"/>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38" w:type="dxa"/>
            <w:vAlign w:val="top"/>
            <w:textDirection w:val="lrTb"/>
            <w:noWrap w:val="false"/>
          </w:tcPr>
          <w:p>
            <w:pPr>
              <w:pStyle w:val="1148"/>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48"/>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48"/>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349" w:type="dxa"/>
            <w:vAlign w:val="top"/>
            <w:textDirection w:val="lrTb"/>
            <w:noWrap w:val="false"/>
          </w:tcPr>
          <w:p>
            <w:pPr>
              <w:pStyle w:val="1148"/>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48"/>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p>
            <w:pPr>
              <w:pStyle w:val="1148"/>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349" w:type="dxa"/>
            <w:vAlign w:val="top"/>
            <w:textDirection w:val="lrTb"/>
            <w:noWrap w:val="false"/>
          </w:tcPr>
          <w:p>
            <w:pPr>
              <w:pStyle w:val="1148"/>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338" w:type="dxa"/>
            <w:vAlign w:val="top"/>
            <w:textDirection w:val="lrTb"/>
            <w:noWrap w:val="false"/>
          </w:tcPr>
          <w:p>
            <w:pPr>
              <w:pStyle w:val="1148"/>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787" w:type="dxa"/>
            <w:vAlign w:val="top"/>
            <w:textDirection w:val="lrTb"/>
            <w:noWrap w:val="false"/>
          </w:tcPr>
          <w:p>
            <w:pPr>
              <w:pStyle w:val="1148"/>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590" w:type="dxa"/>
            <w:vAlign w:val="top"/>
            <w:textDirection w:val="lrTb"/>
            <w:noWrap w:val="false"/>
          </w:tcPr>
          <w:p>
            <w:pPr>
              <w:pStyle w:val="1148"/>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48"/>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48"/>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48"/>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48"/>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52"/>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348"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7"/>
        <w:gridCol w:w="5953"/>
        <w:gridCol w:w="1985"/>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center"/>
            <w:textDirection w:val="lrTb"/>
            <w:noWrap w:val="false"/>
          </w:tcPr>
          <w:p>
            <w:pPr>
              <w:pStyle w:val="1148"/>
              <w:ind w:hanging="137"/>
              <w:jc w:val="center"/>
              <w:rPr>
                <w:sz w:val="22"/>
                <w:szCs w:val="22"/>
              </w:rPr>
            </w:pPr>
            <w:r>
              <w:rPr>
                <w:sz w:val="22"/>
                <w:szCs w:val="22"/>
              </w:rPr>
              <w:t xml:space="preserve">№</w:t>
            </w:r>
            <w:r>
              <w:rPr>
                <w:sz w:val="22"/>
                <w:szCs w:val="22"/>
              </w:rPr>
            </w:r>
            <w:r>
              <w:rPr>
                <w:sz w:val="22"/>
                <w:szCs w:val="22"/>
              </w:rPr>
            </w:r>
          </w:p>
          <w:p>
            <w:pPr>
              <w:pStyle w:val="1148"/>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48"/>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48"/>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48"/>
              <w:jc w:val="center"/>
              <w:rPr>
                <w:sz w:val="22"/>
                <w:szCs w:val="22"/>
              </w:rPr>
            </w:pPr>
            <w:r>
              <w:rPr>
                <w:sz w:val="22"/>
                <w:szCs w:val="22"/>
              </w:rPr>
              <w:t xml:space="preserve">Примечание</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w:t>
            </w:r>
            <w:r>
              <w:rPr>
                <w:sz w:val="20"/>
                <w:szCs w:val="20"/>
              </w:rPr>
            </w:r>
            <w:r>
              <w:rPr>
                <w:sz w:val="20"/>
                <w:szCs w:val="20"/>
              </w:rPr>
            </w:r>
          </w:p>
        </w:tc>
        <w:tc>
          <w:tcPr>
            <w:gridSpan w:val="3"/>
            <w:tcW w:w="9781" w:type="dxa"/>
            <w:vAlign w:val="top"/>
            <w:textDirection w:val="lrTb"/>
            <w:noWrap w:val="false"/>
          </w:tcPr>
          <w:p>
            <w:pPr>
              <w:pStyle w:val="1148"/>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1.1.</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7" w:type="dxa"/>
            <w:vAlign w:val="top"/>
            <w:textDirection w:val="lrTb"/>
            <w:noWrap w:val="false"/>
          </w:tcPr>
          <w:p>
            <w:pPr>
              <w:pStyle w:val="1148"/>
              <w:jc w:val="center"/>
              <w:spacing w:before="40" w:after="40"/>
              <w:rPr>
                <w:sz w:val="20"/>
                <w:szCs w:val="20"/>
              </w:rPr>
            </w:pPr>
            <w:r>
              <w:rPr>
                <w:sz w:val="20"/>
                <w:szCs w:val="20"/>
              </w:rPr>
              <w:t xml:space="preserve">1.2.</w:t>
            </w:r>
            <w:r>
              <w:rPr>
                <w:sz w:val="20"/>
                <w:szCs w:val="20"/>
              </w:rPr>
            </w:r>
            <w:r>
              <w:rPr>
                <w:sz w:val="20"/>
                <w:szCs w:val="20"/>
              </w:rPr>
            </w:r>
          </w:p>
        </w:tc>
        <w:tc>
          <w:tcPr>
            <w:tcW w:w="5953" w:type="dxa"/>
            <w:vAlign w:val="top"/>
            <w:textDirection w:val="lrTb"/>
            <w:noWrap w:val="false"/>
          </w:tcPr>
          <w:p>
            <w:pPr>
              <w:pStyle w:val="1148"/>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985" w:type="dxa"/>
            <w:vAlign w:val="top"/>
            <w:textDirection w:val="lrTb"/>
            <w:noWrap w:val="false"/>
          </w:tcPr>
          <w:p>
            <w:pPr>
              <w:pStyle w:val="1148"/>
              <w:jc w:val="center"/>
              <w:spacing w:before="40"/>
              <w:rPr>
                <w:sz w:val="20"/>
                <w:szCs w:val="20"/>
              </w:rPr>
            </w:pPr>
            <w:r>
              <w:rPr>
                <w:sz w:val="20"/>
                <w:szCs w:val="20"/>
              </w:rPr>
              <w:t xml:space="preserve">Не взимается*</w:t>
            </w:r>
            <w:r>
              <w:rPr>
                <w:sz w:val="20"/>
                <w:szCs w:val="20"/>
              </w:rPr>
            </w:r>
            <w:r>
              <w:rPr>
                <w:sz w:val="20"/>
                <w:szCs w:val="20"/>
              </w:rPr>
            </w:r>
          </w:p>
        </w:tc>
        <w:tc>
          <w:tcPr>
            <w:tcW w:w="1843" w:type="dxa"/>
            <w:vAlign w:val="top"/>
            <w:textDirection w:val="lrTb"/>
            <w:noWrap w:val="false"/>
          </w:tcPr>
          <w:p>
            <w:pPr>
              <w:pStyle w:val="1148"/>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48"/>
        <w:ind w:left="-425" w:right="-284" w:firstLine="709"/>
        <w:jc w:val="both"/>
        <w:spacing w:before="120"/>
        <w:rPr>
          <w:sz w:val="20"/>
          <w:szCs w:val="20"/>
        </w:rPr>
      </w:pPr>
      <w:r>
        <w:rPr>
          <w:sz w:val="20"/>
          <w:szCs w:val="20"/>
        </w:rPr>
        <w:t xml:space="preserve">* Срок действия – до 31.12.2025 (включительно).</w:t>
      </w:r>
      <w:r>
        <w:rPr>
          <w:sz w:val="20"/>
          <w:szCs w:val="20"/>
        </w:rPr>
      </w:r>
      <w:r>
        <w:rPr>
          <w:sz w:val="20"/>
          <w:szCs w:val="20"/>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Symbol">
    <w:panose1 w:val="05010000000000000000"/>
  </w:font>
  <w:font w:name="TimesET">
    <w:panose1 w:val="02000603000000000000"/>
  </w:font>
  <w:font w:name="Tahoma">
    <w:panose1 w:val="020B0604030504040204"/>
  </w:font>
  <w:font w:name="Calibri Light">
    <w:panose1 w:val="020F0502020204030204"/>
  </w:font>
  <w:font w:name="Calibri">
    <w:panose1 w:val="020F0502020204030204"/>
  </w:font>
  <w:font w:name="Times New Roman">
    <w:panose1 w:val="02020603050405020304"/>
  </w:font>
  <w:font w:name="Cambria">
    <w:panose1 w:val="020405030504060302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77"/>
      </w:pPr>
      <w:r>
        <w:rPr>
          <w:rStyle w:val="1180"/>
        </w:rPr>
        <w:footnoteRef/>
      </w:r>
      <w:r>
        <w:t xml:space="preserve"> </w:t>
      </w:r>
      <w:r>
        <w:rPr>
          <w:rFonts w:eastAsia="Calibri"/>
          <w:lang w:eastAsia="en-US"/>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внутренние структурные подразделения.</w:t>
      </w:r>
      <w:r/>
    </w:p>
  </w:footnote>
  <w:footnote w:id="3">
    <w:p>
      <w:pPr>
        <w:pStyle w:val="1177"/>
      </w:pPr>
      <w:r>
        <w:rPr>
          <w:rStyle w:val="1180"/>
        </w:rPr>
        <w:footnoteRef/>
      </w:r>
      <w:r>
        <w:t xml:space="preserve"> </w:t>
      </w:r>
      <w:r>
        <w:t xml:space="preserve">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p>
  </w:footnote>
  <w:footnote w:id="4">
    <w:p>
      <w:pPr>
        <w:pStyle w:val="1177"/>
      </w:pPr>
      <w:r>
        <w:rPr>
          <w:rStyle w:val="1180"/>
        </w:rPr>
        <w:footnoteRef/>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5">
    <w:p>
      <w:pPr>
        <w:pStyle w:val="1177"/>
      </w:pPr>
      <w:r>
        <w:rPr>
          <w:rStyle w:val="1180"/>
        </w:rPr>
        <w:footnoteRef/>
      </w:r>
      <w:r>
        <w:t xml:space="preserve"> [номер сноски указывается в соответствии с нумерацией сносок в Тарифах]</w:t>
      </w:r>
      <w:r/>
    </w:p>
    <w:p>
      <w:pPr>
        <w:pStyle w:val="1177"/>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77"/>
      </w:pPr>
      <w:r/>
      <w:r/>
    </w:p>
  </w:footnote>
  <w:footnote w:id="6">
    <w:p>
      <w:pPr>
        <w:pStyle w:val="1177"/>
        <w:jc w:val="both"/>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7">
    <w:p>
      <w:pPr>
        <w:pStyle w:val="1177"/>
      </w:pPr>
      <w:r>
        <w:rPr>
          <w:rStyle w:val="1180"/>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77"/>
      </w:pPr>
      <w:r>
        <w:t xml:space="preserve">В соответствии с пунктом 10.2 приказа АО «Россельхозбанк» от 01.08.2013 № 386-ОД.</w:t>
      </w:r>
      <w:r/>
    </w:p>
  </w:footnote>
  <w:footnote w:id="8">
    <w:p>
      <w:pPr>
        <w:pStyle w:val="1196"/>
        <w:ind w:left="0"/>
        <w:jc w:val="both"/>
        <w:spacing w:line="240" w:lineRule="auto"/>
        <w:tabs>
          <w:tab w:val="left" w:pos="426" w:leader="none"/>
        </w:tabs>
        <w:rPr>
          <w:sz w:val="24"/>
          <w:szCs w:val="24"/>
        </w:rPr>
      </w:pPr>
      <w:r>
        <w:rPr>
          <w:rStyle w:val="1180"/>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9">
    <w:p>
      <w:pPr>
        <w:pStyle w:val="1148"/>
        <w:ind w:right="-17"/>
        <w:jc w:val="both"/>
        <w:spacing w:before="40" w:after="40"/>
        <w:tabs>
          <w:tab w:val="left" w:pos="4464" w:leader="none"/>
          <w:tab w:val="left" w:pos="5760" w:leader="none"/>
        </w:tabs>
        <w:rPr>
          <w:rFonts w:eastAsia="Calibri"/>
          <w:i/>
          <w:sz w:val="20"/>
          <w:szCs w:val="20"/>
        </w:rPr>
      </w:pPr>
      <w:r>
        <w:rPr>
          <w:rStyle w:val="1180"/>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48"/>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0">
    <w:p>
      <w:pPr>
        <w:pStyle w:val="1177"/>
      </w:pPr>
      <w:r>
        <w:rPr>
          <w:rStyle w:val="1180"/>
          <w:sz w:val="18"/>
          <w:szCs w:val="18"/>
        </w:rPr>
        <w:footnoteRef/>
      </w:r>
      <w:r>
        <w:rPr>
          <w:sz w:val="18"/>
          <w:szCs w:val="18"/>
        </w:rPr>
        <w:t xml:space="preserve"> </w:t>
      </w:r>
      <w:r>
        <w:t xml:space="preserve">[Номер сноски указывается в соответствии с нумерацией сносок в Тарифах]</w:t>
      </w:r>
      <w:r/>
    </w:p>
    <w:p>
      <w:pPr>
        <w:pStyle w:val="1177"/>
      </w:pPr>
      <w:r>
        <w:t xml:space="preserve">Комиссионное вознаграждение по операциям приема/выдачи слитков драгоценных металлов НДС не облагается. </w:t>
      </w:r>
      <w:r/>
    </w:p>
  </w:footnote>
  <w:footnote w:id="11">
    <w:p>
      <w:pPr>
        <w:pStyle w:val="1177"/>
        <w:jc w:val="both"/>
      </w:pPr>
      <w:r>
        <w:rPr>
          <w:rStyle w:val="1180"/>
        </w:rPr>
        <w:footnoteRef/>
      </w:r>
      <w:r>
        <w:t xml:space="preserve"> [Номер сноски указывается в соответствии с нумерацией сносок в Тарифах]</w:t>
      </w:r>
      <w:r/>
    </w:p>
    <w:p>
      <w:pPr>
        <w:pStyle w:val="1177"/>
        <w:jc w:val="both"/>
      </w:pPr>
      <w: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77"/>
        <w:jc w:val="both"/>
        <w:rPr>
          <w:sz w:val="18"/>
          <w:szCs w:val="18"/>
        </w:rPr>
      </w:pPr>
      <w:r>
        <w:rPr>
          <w:rStyle w:val="1180"/>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77"/>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48"/>
        <w:jc w:val="both"/>
        <w:rPr>
          <w:bCs/>
          <w:i/>
          <w:sz w:val="20"/>
          <w:szCs w:val="20"/>
          <w:lang w:eastAsia="en-US"/>
        </w:rPr>
      </w:pPr>
      <w:r>
        <w:rPr>
          <w:rStyle w:val="1180"/>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77"/>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4">
    <w:p>
      <w:pPr>
        <w:pStyle w:val="1148"/>
        <w:jc w:val="both"/>
        <w:rPr>
          <w:bCs/>
          <w:sz w:val="18"/>
          <w:szCs w:val="18"/>
          <w:lang w:eastAsia="en-US"/>
        </w:rPr>
      </w:pPr>
      <w:r>
        <w:rPr>
          <w:rStyle w:val="1180"/>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77"/>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8"/>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1169"/>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69"/>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1">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3"/>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0"/>
  </w:num>
  <w:num w:numId="2">
    <w:abstractNumId w:val="1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7"/>
  </w:num>
  <w:num w:numId="8">
    <w:abstractNumId w:val="13"/>
  </w:num>
  <w:num w:numId="9">
    <w:abstractNumId w:val="19"/>
  </w:num>
  <w:num w:numId="10">
    <w:abstractNumId w:val="12"/>
  </w:num>
  <w:num w:numId="11">
    <w:abstractNumId w:val="14"/>
  </w:num>
  <w:num w:numId="12">
    <w:abstractNumId w:val="3"/>
  </w:num>
  <w:num w:numId="13">
    <w:abstractNumId w:val="0"/>
  </w:num>
  <w:num w:numId="14">
    <w:abstractNumId w:val="5"/>
  </w:num>
  <w:num w:numId="15">
    <w:abstractNumId w:val="17"/>
  </w:num>
  <w:num w:numId="16">
    <w:abstractNumId w:val="18"/>
  </w:num>
  <w:num w:numId="17">
    <w:abstractNumId w:val="11"/>
  </w:num>
  <w:num w:numId="18">
    <w:abstractNumId w:val="4"/>
  </w:num>
  <w:num w:numId="19">
    <w:abstractNumId w:val="20"/>
  </w:num>
  <w:num w:numId="20">
    <w:abstractNumId w:val="8"/>
  </w:num>
  <w:num w:numId="21">
    <w:abstractNumId w:val="2"/>
  </w:num>
  <w:num w:numId="22">
    <w:abstractNumId w:val="2"/>
  </w:num>
  <w:num w:numId="23">
    <w:abstractNumId w:val="2"/>
  </w:num>
  <w:num w:numId="24">
    <w:abstractNumId w:val="6"/>
  </w:num>
  <w:num w:numId="25">
    <w:abstractNumId w:val="1"/>
  </w:num>
  <w:num w:numId="26">
    <w:abstractNumId w:val="9"/>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70">
    <w:name w:val="Heading 1"/>
    <w:basedOn w:val="1148"/>
    <w:next w:val="1148"/>
    <w:link w:val="971"/>
    <w:uiPriority w:val="9"/>
    <w:qFormat/>
    <w:pPr>
      <w:keepLines/>
      <w:keepNext/>
      <w:spacing w:before="480" w:after="200"/>
      <w:outlineLvl w:val="0"/>
    </w:pPr>
    <w:rPr>
      <w:rFonts w:ascii="Arial" w:hAnsi="Arial" w:eastAsia="Arial" w:cs="Arial"/>
      <w:sz w:val="40"/>
      <w:szCs w:val="40"/>
    </w:rPr>
  </w:style>
  <w:style w:type="character" w:styleId="971">
    <w:name w:val="Heading 1 Char"/>
    <w:link w:val="970"/>
    <w:uiPriority w:val="9"/>
    <w:rPr>
      <w:rFonts w:ascii="Arial" w:hAnsi="Arial" w:eastAsia="Arial" w:cs="Arial"/>
      <w:sz w:val="40"/>
      <w:szCs w:val="40"/>
    </w:rPr>
  </w:style>
  <w:style w:type="paragraph" w:styleId="972">
    <w:name w:val="Heading 2"/>
    <w:basedOn w:val="1148"/>
    <w:next w:val="1148"/>
    <w:link w:val="973"/>
    <w:uiPriority w:val="9"/>
    <w:unhideWhenUsed/>
    <w:qFormat/>
    <w:pPr>
      <w:keepLines/>
      <w:keepNext/>
      <w:spacing w:before="360" w:after="200"/>
      <w:outlineLvl w:val="1"/>
    </w:pPr>
    <w:rPr>
      <w:rFonts w:ascii="Arial" w:hAnsi="Arial" w:eastAsia="Arial" w:cs="Arial"/>
      <w:sz w:val="34"/>
    </w:rPr>
  </w:style>
  <w:style w:type="character" w:styleId="973">
    <w:name w:val="Heading 2 Char"/>
    <w:link w:val="972"/>
    <w:uiPriority w:val="9"/>
    <w:rPr>
      <w:rFonts w:ascii="Arial" w:hAnsi="Arial" w:eastAsia="Arial" w:cs="Arial"/>
      <w:sz w:val="34"/>
    </w:rPr>
  </w:style>
  <w:style w:type="paragraph" w:styleId="974">
    <w:name w:val="Heading 3"/>
    <w:basedOn w:val="1148"/>
    <w:next w:val="1148"/>
    <w:link w:val="975"/>
    <w:uiPriority w:val="9"/>
    <w:unhideWhenUsed/>
    <w:qFormat/>
    <w:pPr>
      <w:keepLines/>
      <w:keepNext/>
      <w:spacing w:before="320" w:after="200"/>
      <w:outlineLvl w:val="2"/>
    </w:pPr>
    <w:rPr>
      <w:rFonts w:ascii="Arial" w:hAnsi="Arial" w:eastAsia="Arial" w:cs="Arial"/>
      <w:sz w:val="30"/>
      <w:szCs w:val="30"/>
    </w:rPr>
  </w:style>
  <w:style w:type="character" w:styleId="975">
    <w:name w:val="Heading 3 Char"/>
    <w:link w:val="974"/>
    <w:uiPriority w:val="9"/>
    <w:rPr>
      <w:rFonts w:ascii="Arial" w:hAnsi="Arial" w:eastAsia="Arial" w:cs="Arial"/>
      <w:sz w:val="30"/>
      <w:szCs w:val="30"/>
    </w:rPr>
  </w:style>
  <w:style w:type="paragraph" w:styleId="976">
    <w:name w:val="Heading 4"/>
    <w:basedOn w:val="1148"/>
    <w:next w:val="1148"/>
    <w:link w:val="977"/>
    <w:uiPriority w:val="9"/>
    <w:unhideWhenUsed/>
    <w:qFormat/>
    <w:pPr>
      <w:keepLines/>
      <w:keepNext/>
      <w:spacing w:before="320" w:after="200"/>
      <w:outlineLvl w:val="3"/>
    </w:pPr>
    <w:rPr>
      <w:rFonts w:ascii="Arial" w:hAnsi="Arial" w:eastAsia="Arial" w:cs="Arial"/>
      <w:b/>
      <w:bCs/>
      <w:sz w:val="26"/>
      <w:szCs w:val="26"/>
    </w:rPr>
  </w:style>
  <w:style w:type="character" w:styleId="977">
    <w:name w:val="Heading 4 Char"/>
    <w:link w:val="976"/>
    <w:uiPriority w:val="9"/>
    <w:rPr>
      <w:rFonts w:ascii="Arial" w:hAnsi="Arial" w:eastAsia="Arial" w:cs="Arial"/>
      <w:b/>
      <w:bCs/>
      <w:sz w:val="26"/>
      <w:szCs w:val="26"/>
    </w:rPr>
  </w:style>
  <w:style w:type="paragraph" w:styleId="978">
    <w:name w:val="Heading 5"/>
    <w:basedOn w:val="1148"/>
    <w:next w:val="1148"/>
    <w:link w:val="979"/>
    <w:uiPriority w:val="9"/>
    <w:unhideWhenUsed/>
    <w:qFormat/>
    <w:pPr>
      <w:keepLines/>
      <w:keepNext/>
      <w:spacing w:before="320" w:after="200"/>
      <w:outlineLvl w:val="4"/>
    </w:pPr>
    <w:rPr>
      <w:rFonts w:ascii="Arial" w:hAnsi="Arial" w:eastAsia="Arial" w:cs="Arial"/>
      <w:b/>
      <w:bCs/>
      <w:sz w:val="24"/>
      <w:szCs w:val="24"/>
    </w:rPr>
  </w:style>
  <w:style w:type="character" w:styleId="979">
    <w:name w:val="Heading 5 Char"/>
    <w:link w:val="978"/>
    <w:uiPriority w:val="9"/>
    <w:rPr>
      <w:rFonts w:ascii="Arial" w:hAnsi="Arial" w:eastAsia="Arial" w:cs="Arial"/>
      <w:b/>
      <w:bCs/>
      <w:sz w:val="24"/>
      <w:szCs w:val="24"/>
    </w:rPr>
  </w:style>
  <w:style w:type="paragraph" w:styleId="980">
    <w:name w:val="Heading 6"/>
    <w:basedOn w:val="1148"/>
    <w:next w:val="1148"/>
    <w:link w:val="981"/>
    <w:uiPriority w:val="9"/>
    <w:unhideWhenUsed/>
    <w:qFormat/>
    <w:pPr>
      <w:keepLines/>
      <w:keepNext/>
      <w:spacing w:before="320" w:after="200"/>
      <w:outlineLvl w:val="5"/>
    </w:pPr>
    <w:rPr>
      <w:rFonts w:ascii="Arial" w:hAnsi="Arial" w:eastAsia="Arial" w:cs="Arial"/>
      <w:b/>
      <w:bCs/>
      <w:sz w:val="22"/>
      <w:szCs w:val="22"/>
    </w:rPr>
  </w:style>
  <w:style w:type="character" w:styleId="981">
    <w:name w:val="Heading 6 Char"/>
    <w:link w:val="980"/>
    <w:uiPriority w:val="9"/>
    <w:rPr>
      <w:rFonts w:ascii="Arial" w:hAnsi="Arial" w:eastAsia="Arial" w:cs="Arial"/>
      <w:b/>
      <w:bCs/>
      <w:sz w:val="22"/>
      <w:szCs w:val="22"/>
    </w:rPr>
  </w:style>
  <w:style w:type="paragraph" w:styleId="982">
    <w:name w:val="Heading 7"/>
    <w:basedOn w:val="1148"/>
    <w:next w:val="1148"/>
    <w:link w:val="983"/>
    <w:uiPriority w:val="9"/>
    <w:unhideWhenUsed/>
    <w:qFormat/>
    <w:pPr>
      <w:keepLines/>
      <w:keepNext/>
      <w:spacing w:before="320" w:after="200"/>
      <w:outlineLvl w:val="6"/>
    </w:pPr>
    <w:rPr>
      <w:rFonts w:ascii="Arial" w:hAnsi="Arial" w:eastAsia="Arial" w:cs="Arial"/>
      <w:b/>
      <w:bCs/>
      <w:i/>
      <w:iCs/>
      <w:sz w:val="22"/>
      <w:szCs w:val="22"/>
    </w:rPr>
  </w:style>
  <w:style w:type="character" w:styleId="983">
    <w:name w:val="Heading 7 Char"/>
    <w:link w:val="982"/>
    <w:uiPriority w:val="9"/>
    <w:rPr>
      <w:rFonts w:ascii="Arial" w:hAnsi="Arial" w:eastAsia="Arial" w:cs="Arial"/>
      <w:b/>
      <w:bCs/>
      <w:i/>
      <w:iCs/>
      <w:sz w:val="22"/>
      <w:szCs w:val="22"/>
    </w:rPr>
  </w:style>
  <w:style w:type="paragraph" w:styleId="984">
    <w:name w:val="Heading 8"/>
    <w:basedOn w:val="1148"/>
    <w:next w:val="1148"/>
    <w:link w:val="985"/>
    <w:uiPriority w:val="9"/>
    <w:unhideWhenUsed/>
    <w:qFormat/>
    <w:pPr>
      <w:keepLines/>
      <w:keepNext/>
      <w:spacing w:before="320" w:after="200"/>
      <w:outlineLvl w:val="7"/>
    </w:pPr>
    <w:rPr>
      <w:rFonts w:ascii="Arial" w:hAnsi="Arial" w:eastAsia="Arial" w:cs="Arial"/>
      <w:i/>
      <w:iCs/>
      <w:sz w:val="22"/>
      <w:szCs w:val="22"/>
    </w:rPr>
  </w:style>
  <w:style w:type="character" w:styleId="985">
    <w:name w:val="Heading 8 Char"/>
    <w:link w:val="984"/>
    <w:uiPriority w:val="9"/>
    <w:rPr>
      <w:rFonts w:ascii="Arial" w:hAnsi="Arial" w:eastAsia="Arial" w:cs="Arial"/>
      <w:i/>
      <w:iCs/>
      <w:sz w:val="22"/>
      <w:szCs w:val="22"/>
    </w:rPr>
  </w:style>
  <w:style w:type="paragraph" w:styleId="986">
    <w:name w:val="Heading 9"/>
    <w:basedOn w:val="1148"/>
    <w:next w:val="1148"/>
    <w:link w:val="987"/>
    <w:uiPriority w:val="9"/>
    <w:unhideWhenUsed/>
    <w:qFormat/>
    <w:pPr>
      <w:keepLines/>
      <w:keepNext/>
      <w:spacing w:before="320" w:after="200"/>
      <w:outlineLvl w:val="8"/>
    </w:pPr>
    <w:rPr>
      <w:rFonts w:ascii="Arial" w:hAnsi="Arial" w:eastAsia="Arial" w:cs="Arial"/>
      <w:i/>
      <w:iCs/>
      <w:sz w:val="21"/>
      <w:szCs w:val="21"/>
    </w:rPr>
  </w:style>
  <w:style w:type="character" w:styleId="987">
    <w:name w:val="Heading 9 Char"/>
    <w:link w:val="986"/>
    <w:uiPriority w:val="9"/>
    <w:rPr>
      <w:rFonts w:ascii="Arial" w:hAnsi="Arial" w:eastAsia="Arial" w:cs="Arial"/>
      <w:i/>
      <w:iCs/>
      <w:sz w:val="21"/>
      <w:szCs w:val="21"/>
    </w:rPr>
  </w:style>
  <w:style w:type="paragraph" w:styleId="988">
    <w:name w:val="List Paragraph"/>
    <w:basedOn w:val="1148"/>
    <w:uiPriority w:val="34"/>
    <w:qFormat/>
    <w:pPr>
      <w:contextualSpacing/>
      <w:ind w:left="720"/>
    </w:pPr>
  </w:style>
  <w:style w:type="paragraph" w:styleId="989">
    <w:name w:val="No Spacing"/>
    <w:uiPriority w:val="1"/>
    <w:qFormat/>
    <w:pPr>
      <w:spacing w:before="0" w:after="0" w:line="240" w:lineRule="auto"/>
    </w:pPr>
  </w:style>
  <w:style w:type="paragraph" w:styleId="990">
    <w:name w:val="Title"/>
    <w:basedOn w:val="1148"/>
    <w:next w:val="1148"/>
    <w:link w:val="991"/>
    <w:uiPriority w:val="10"/>
    <w:qFormat/>
    <w:pPr>
      <w:contextualSpacing/>
      <w:spacing w:before="300" w:after="200"/>
    </w:pPr>
    <w:rPr>
      <w:sz w:val="48"/>
      <w:szCs w:val="48"/>
    </w:rPr>
  </w:style>
  <w:style w:type="character" w:styleId="991">
    <w:name w:val="Title Char"/>
    <w:link w:val="990"/>
    <w:uiPriority w:val="10"/>
    <w:rPr>
      <w:sz w:val="48"/>
      <w:szCs w:val="48"/>
    </w:rPr>
  </w:style>
  <w:style w:type="paragraph" w:styleId="992">
    <w:name w:val="Subtitle"/>
    <w:basedOn w:val="1148"/>
    <w:next w:val="1148"/>
    <w:link w:val="993"/>
    <w:uiPriority w:val="11"/>
    <w:qFormat/>
    <w:pPr>
      <w:spacing w:before="200" w:after="200"/>
    </w:pPr>
    <w:rPr>
      <w:sz w:val="24"/>
      <w:szCs w:val="24"/>
    </w:rPr>
  </w:style>
  <w:style w:type="character" w:styleId="993">
    <w:name w:val="Subtitle Char"/>
    <w:link w:val="992"/>
    <w:uiPriority w:val="11"/>
    <w:rPr>
      <w:sz w:val="24"/>
      <w:szCs w:val="24"/>
    </w:rPr>
  </w:style>
  <w:style w:type="paragraph" w:styleId="994">
    <w:name w:val="Quote"/>
    <w:basedOn w:val="1148"/>
    <w:next w:val="1148"/>
    <w:link w:val="995"/>
    <w:uiPriority w:val="29"/>
    <w:qFormat/>
    <w:pPr>
      <w:ind w:left="720" w:right="720"/>
    </w:pPr>
    <w:rPr>
      <w:i/>
    </w:rPr>
  </w:style>
  <w:style w:type="character" w:styleId="995">
    <w:name w:val="Quote Char"/>
    <w:link w:val="994"/>
    <w:uiPriority w:val="29"/>
    <w:rPr>
      <w:i/>
    </w:rPr>
  </w:style>
  <w:style w:type="paragraph" w:styleId="996">
    <w:name w:val="Intense Quote"/>
    <w:basedOn w:val="1148"/>
    <w:next w:val="1148"/>
    <w:link w:val="99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7">
    <w:name w:val="Intense Quote Char"/>
    <w:link w:val="996"/>
    <w:uiPriority w:val="30"/>
    <w:rPr>
      <w:i/>
    </w:rPr>
  </w:style>
  <w:style w:type="paragraph" w:styleId="998">
    <w:name w:val="Header"/>
    <w:basedOn w:val="1148"/>
    <w:link w:val="999"/>
    <w:uiPriority w:val="99"/>
    <w:unhideWhenUsed/>
    <w:pPr>
      <w:spacing w:after="0" w:line="240" w:lineRule="auto"/>
      <w:tabs>
        <w:tab w:val="center" w:pos="7143" w:leader="none"/>
        <w:tab w:val="right" w:pos="14287" w:leader="none"/>
      </w:tabs>
    </w:pPr>
  </w:style>
  <w:style w:type="character" w:styleId="999">
    <w:name w:val="Header Char"/>
    <w:link w:val="998"/>
    <w:uiPriority w:val="99"/>
  </w:style>
  <w:style w:type="paragraph" w:styleId="1000">
    <w:name w:val="Footer"/>
    <w:basedOn w:val="1148"/>
    <w:link w:val="1003"/>
    <w:uiPriority w:val="99"/>
    <w:unhideWhenUsed/>
    <w:pPr>
      <w:spacing w:after="0" w:line="240" w:lineRule="auto"/>
      <w:tabs>
        <w:tab w:val="center" w:pos="7143" w:leader="none"/>
        <w:tab w:val="right" w:pos="14287" w:leader="none"/>
      </w:tabs>
    </w:pPr>
  </w:style>
  <w:style w:type="character" w:styleId="1001">
    <w:name w:val="Footer Char"/>
    <w:link w:val="1000"/>
    <w:uiPriority w:val="99"/>
  </w:style>
  <w:style w:type="paragraph" w:styleId="1002">
    <w:name w:val="Caption"/>
    <w:basedOn w:val="1148"/>
    <w:next w:val="1148"/>
    <w:uiPriority w:val="35"/>
    <w:semiHidden/>
    <w:unhideWhenUsed/>
    <w:qFormat/>
    <w:pPr>
      <w:spacing w:line="276" w:lineRule="auto"/>
    </w:pPr>
    <w:rPr>
      <w:b/>
      <w:bCs/>
      <w:color w:val="4f81bd" w:themeColor="accent1"/>
      <w:sz w:val="18"/>
      <w:szCs w:val="18"/>
    </w:rPr>
  </w:style>
  <w:style w:type="character" w:styleId="1003">
    <w:name w:val="Caption Char"/>
    <w:basedOn w:val="1002"/>
    <w:link w:val="1000"/>
    <w:uiPriority w:val="99"/>
  </w:style>
  <w:style w:type="table" w:styleId="100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0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0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1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1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1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1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1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1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1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2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2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2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2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2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2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3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3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3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3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3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4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4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4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4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4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4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4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5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5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5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5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5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5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6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6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6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6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6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7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7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7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7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7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8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8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8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8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8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8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8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9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9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0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0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0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0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0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0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0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2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2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2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2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2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2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2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30">
    <w:name w:val="Hyperlink"/>
    <w:uiPriority w:val="99"/>
    <w:unhideWhenUsed/>
    <w:rPr>
      <w:color w:val="0000ff" w:themeColor="hyperlink"/>
      <w:u w:val="single"/>
    </w:rPr>
  </w:style>
  <w:style w:type="paragraph" w:styleId="1131">
    <w:name w:val="footnote text"/>
    <w:basedOn w:val="1148"/>
    <w:link w:val="1132"/>
    <w:uiPriority w:val="99"/>
    <w:semiHidden/>
    <w:unhideWhenUsed/>
    <w:pPr>
      <w:spacing w:after="40" w:line="240" w:lineRule="auto"/>
    </w:pPr>
    <w:rPr>
      <w:sz w:val="18"/>
    </w:rPr>
  </w:style>
  <w:style w:type="character" w:styleId="1132">
    <w:name w:val="Footnote Text Char"/>
    <w:link w:val="1131"/>
    <w:uiPriority w:val="99"/>
    <w:rPr>
      <w:sz w:val="18"/>
    </w:rPr>
  </w:style>
  <w:style w:type="character" w:styleId="1133">
    <w:name w:val="footnote reference"/>
    <w:uiPriority w:val="99"/>
    <w:unhideWhenUsed/>
    <w:rPr>
      <w:vertAlign w:val="superscript"/>
    </w:rPr>
  </w:style>
  <w:style w:type="paragraph" w:styleId="1134">
    <w:name w:val="endnote text"/>
    <w:basedOn w:val="1148"/>
    <w:link w:val="1135"/>
    <w:uiPriority w:val="99"/>
    <w:semiHidden/>
    <w:unhideWhenUsed/>
    <w:pPr>
      <w:spacing w:after="0" w:line="240" w:lineRule="auto"/>
    </w:pPr>
    <w:rPr>
      <w:sz w:val="20"/>
    </w:rPr>
  </w:style>
  <w:style w:type="character" w:styleId="1135">
    <w:name w:val="Endnote Text Char"/>
    <w:link w:val="1134"/>
    <w:uiPriority w:val="99"/>
    <w:rPr>
      <w:sz w:val="20"/>
    </w:rPr>
  </w:style>
  <w:style w:type="character" w:styleId="1136">
    <w:name w:val="endnote reference"/>
    <w:uiPriority w:val="99"/>
    <w:semiHidden/>
    <w:unhideWhenUsed/>
    <w:rPr>
      <w:vertAlign w:val="superscript"/>
    </w:rPr>
  </w:style>
  <w:style w:type="paragraph" w:styleId="1137">
    <w:name w:val="toc 1"/>
    <w:basedOn w:val="1148"/>
    <w:next w:val="1148"/>
    <w:uiPriority w:val="39"/>
    <w:unhideWhenUsed/>
    <w:pPr>
      <w:ind w:left="0" w:right="0" w:firstLine="0"/>
      <w:spacing w:after="57"/>
    </w:pPr>
  </w:style>
  <w:style w:type="paragraph" w:styleId="1138">
    <w:name w:val="toc 2"/>
    <w:basedOn w:val="1148"/>
    <w:next w:val="1148"/>
    <w:uiPriority w:val="39"/>
    <w:unhideWhenUsed/>
    <w:pPr>
      <w:ind w:left="283" w:right="0" w:firstLine="0"/>
      <w:spacing w:after="57"/>
    </w:pPr>
  </w:style>
  <w:style w:type="paragraph" w:styleId="1139">
    <w:name w:val="toc 3"/>
    <w:basedOn w:val="1148"/>
    <w:next w:val="1148"/>
    <w:uiPriority w:val="39"/>
    <w:unhideWhenUsed/>
    <w:pPr>
      <w:ind w:left="567" w:right="0" w:firstLine="0"/>
      <w:spacing w:after="57"/>
    </w:pPr>
  </w:style>
  <w:style w:type="paragraph" w:styleId="1140">
    <w:name w:val="toc 4"/>
    <w:basedOn w:val="1148"/>
    <w:next w:val="1148"/>
    <w:uiPriority w:val="39"/>
    <w:unhideWhenUsed/>
    <w:pPr>
      <w:ind w:left="850" w:right="0" w:firstLine="0"/>
      <w:spacing w:after="57"/>
    </w:pPr>
  </w:style>
  <w:style w:type="paragraph" w:styleId="1141">
    <w:name w:val="toc 5"/>
    <w:basedOn w:val="1148"/>
    <w:next w:val="1148"/>
    <w:uiPriority w:val="39"/>
    <w:unhideWhenUsed/>
    <w:pPr>
      <w:ind w:left="1134" w:right="0" w:firstLine="0"/>
      <w:spacing w:after="57"/>
    </w:pPr>
  </w:style>
  <w:style w:type="paragraph" w:styleId="1142">
    <w:name w:val="toc 6"/>
    <w:basedOn w:val="1148"/>
    <w:next w:val="1148"/>
    <w:uiPriority w:val="39"/>
    <w:unhideWhenUsed/>
    <w:pPr>
      <w:ind w:left="1417" w:right="0" w:firstLine="0"/>
      <w:spacing w:after="57"/>
    </w:pPr>
  </w:style>
  <w:style w:type="paragraph" w:styleId="1143">
    <w:name w:val="toc 7"/>
    <w:basedOn w:val="1148"/>
    <w:next w:val="1148"/>
    <w:uiPriority w:val="39"/>
    <w:unhideWhenUsed/>
    <w:pPr>
      <w:ind w:left="1701" w:right="0" w:firstLine="0"/>
      <w:spacing w:after="57"/>
    </w:pPr>
  </w:style>
  <w:style w:type="paragraph" w:styleId="1144">
    <w:name w:val="toc 8"/>
    <w:basedOn w:val="1148"/>
    <w:next w:val="1148"/>
    <w:uiPriority w:val="39"/>
    <w:unhideWhenUsed/>
    <w:pPr>
      <w:ind w:left="1984" w:right="0" w:firstLine="0"/>
      <w:spacing w:after="57"/>
    </w:pPr>
  </w:style>
  <w:style w:type="paragraph" w:styleId="1145">
    <w:name w:val="toc 9"/>
    <w:basedOn w:val="1148"/>
    <w:next w:val="1148"/>
    <w:uiPriority w:val="39"/>
    <w:unhideWhenUsed/>
    <w:pPr>
      <w:ind w:left="2268" w:right="0" w:firstLine="0"/>
      <w:spacing w:after="57"/>
    </w:pPr>
  </w:style>
  <w:style w:type="paragraph" w:styleId="1146">
    <w:name w:val="TOC Heading"/>
    <w:uiPriority w:val="39"/>
    <w:unhideWhenUsed/>
  </w:style>
  <w:style w:type="paragraph" w:styleId="1147">
    <w:name w:val="table of figures"/>
    <w:basedOn w:val="1148"/>
    <w:next w:val="1148"/>
    <w:uiPriority w:val="99"/>
    <w:unhideWhenUsed/>
    <w:pPr>
      <w:spacing w:after="0" w:afterAutospacing="0"/>
    </w:pPr>
  </w:style>
  <w:style w:type="paragraph" w:styleId="1148" w:default="1">
    <w:name w:val="Normal"/>
    <w:next w:val="1148"/>
    <w:link w:val="1148"/>
    <w:qFormat/>
    <w:rPr>
      <w:sz w:val="24"/>
      <w:szCs w:val="24"/>
      <w:lang w:val="ru-RU" w:eastAsia="ru-RU" w:bidi="ar-SA"/>
    </w:rPr>
  </w:style>
  <w:style w:type="paragraph" w:styleId="1149">
    <w:name w:val="Заголовок 1"/>
    <w:basedOn w:val="1148"/>
    <w:next w:val="1148"/>
    <w:link w:val="1148"/>
    <w:qFormat/>
    <w:pPr>
      <w:keepNext/>
      <w:spacing w:before="240" w:after="60"/>
      <w:outlineLvl w:val="0"/>
    </w:pPr>
    <w:rPr>
      <w:rFonts w:ascii="Arial" w:hAnsi="Arial" w:cs="Arial"/>
      <w:b/>
      <w:bCs/>
      <w:sz w:val="32"/>
      <w:szCs w:val="32"/>
    </w:rPr>
  </w:style>
  <w:style w:type="paragraph" w:styleId="1150">
    <w:name w:val="Заголовок 2"/>
    <w:basedOn w:val="1148"/>
    <w:next w:val="1148"/>
    <w:link w:val="1161"/>
    <w:qFormat/>
    <w:pPr>
      <w:jc w:val="both"/>
      <w:keepNext/>
      <w:spacing w:before="240" w:after="60"/>
      <w:outlineLvl w:val="1"/>
    </w:pPr>
    <w:rPr>
      <w:b/>
      <w:bCs/>
      <w:i/>
      <w:iCs/>
    </w:rPr>
  </w:style>
  <w:style w:type="paragraph" w:styleId="1151">
    <w:name w:val="Заголовок 3"/>
    <w:basedOn w:val="1148"/>
    <w:next w:val="1148"/>
    <w:link w:val="1162"/>
    <w:qFormat/>
    <w:pPr>
      <w:keepNext/>
      <w:spacing w:before="240" w:after="60"/>
      <w:outlineLvl w:val="2"/>
    </w:pPr>
    <w:rPr>
      <w:rFonts w:ascii="Cambria" w:hAnsi="Cambria"/>
      <w:b/>
      <w:bCs/>
      <w:sz w:val="26"/>
      <w:szCs w:val="26"/>
      <w:lang w:val="en-US" w:eastAsia="en-US"/>
    </w:rPr>
  </w:style>
  <w:style w:type="paragraph" w:styleId="1152">
    <w:name w:val="Заголовок 4"/>
    <w:basedOn w:val="1148"/>
    <w:next w:val="1148"/>
    <w:link w:val="1163"/>
    <w:qFormat/>
    <w:pPr>
      <w:jc w:val="center"/>
      <w:keepNext/>
      <w:outlineLvl w:val="3"/>
    </w:pPr>
    <w:rPr>
      <w:b/>
      <w:bCs/>
      <w:sz w:val="22"/>
      <w:szCs w:val="28"/>
      <w:lang w:val="en-US" w:eastAsia="en-US"/>
    </w:rPr>
  </w:style>
  <w:style w:type="paragraph" w:styleId="1153">
    <w:name w:val="Заголовок 5"/>
    <w:basedOn w:val="1148"/>
    <w:next w:val="1148"/>
    <w:link w:val="1202"/>
    <w:qFormat/>
    <w:pPr>
      <w:spacing w:before="240" w:after="60"/>
      <w:outlineLvl w:val="4"/>
    </w:pPr>
    <w:rPr>
      <w:b/>
      <w:bCs/>
      <w:i/>
      <w:iCs/>
      <w:sz w:val="26"/>
      <w:szCs w:val="26"/>
    </w:rPr>
  </w:style>
  <w:style w:type="paragraph" w:styleId="1154">
    <w:name w:val="Заголовок 6"/>
    <w:basedOn w:val="1148"/>
    <w:next w:val="1148"/>
    <w:link w:val="1205"/>
    <w:qFormat/>
    <w:pPr>
      <w:spacing w:before="240" w:after="60"/>
      <w:outlineLvl w:val="5"/>
    </w:pPr>
    <w:rPr>
      <w:rFonts w:eastAsia="Times New Roman" w:cs="Times New Roman"/>
      <w:b/>
      <w:bCs/>
      <w:szCs w:val="22"/>
    </w:rPr>
  </w:style>
  <w:style w:type="paragraph" w:styleId="1155">
    <w:name w:val="Заголовок 7"/>
    <w:basedOn w:val="1148"/>
    <w:next w:val="1148"/>
    <w:link w:val="1206"/>
    <w:qFormat/>
    <w:pPr>
      <w:spacing w:before="240" w:after="60"/>
      <w:outlineLvl w:val="6"/>
    </w:pPr>
    <w:rPr>
      <w:rFonts w:ascii="Calibri" w:hAnsi="Calibri" w:eastAsia="Times New Roman" w:cs="Times New Roman"/>
    </w:rPr>
  </w:style>
  <w:style w:type="paragraph" w:styleId="1156">
    <w:name w:val="Заголовок 8"/>
    <w:basedOn w:val="1148"/>
    <w:next w:val="1148"/>
    <w:link w:val="1148"/>
    <w:qFormat/>
    <w:pPr>
      <w:spacing w:before="240" w:after="60"/>
      <w:outlineLvl w:val="7"/>
    </w:pPr>
    <w:rPr>
      <w:i/>
      <w:iCs/>
    </w:rPr>
  </w:style>
  <w:style w:type="paragraph" w:styleId="1157">
    <w:name w:val="Заголовок 9"/>
    <w:basedOn w:val="1148"/>
    <w:next w:val="1148"/>
    <w:link w:val="1207"/>
    <w:qFormat/>
    <w:pPr>
      <w:spacing w:before="240" w:after="60"/>
      <w:outlineLvl w:val="8"/>
    </w:pPr>
    <w:rPr>
      <w:rFonts w:ascii="Calibri Light" w:hAnsi="Calibri Light" w:eastAsia="Times New Roman" w:cs="Times New Roman"/>
      <w:sz w:val="22"/>
      <w:szCs w:val="22"/>
    </w:rPr>
  </w:style>
  <w:style w:type="character" w:styleId="1158">
    <w:name w:val="Основной шрифт абзаца"/>
    <w:next w:val="1158"/>
    <w:link w:val="1148"/>
    <w:semiHidden/>
  </w:style>
  <w:style w:type="table" w:styleId="1159">
    <w:name w:val="Обычная таблица"/>
    <w:next w:val="1159"/>
    <w:link w:val="1148"/>
    <w:semiHidden/>
    <w:tblPr/>
  </w:style>
  <w:style w:type="numbering" w:styleId="1160">
    <w:name w:val="Нет списка"/>
    <w:next w:val="1160"/>
    <w:link w:val="1148"/>
    <w:uiPriority w:val="99"/>
    <w:semiHidden/>
  </w:style>
  <w:style w:type="character" w:styleId="1161">
    <w:name w:val="Заголовок 2 Знак"/>
    <w:next w:val="1161"/>
    <w:link w:val="1150"/>
    <w:rPr>
      <w:b/>
      <w:bCs/>
      <w:i/>
      <w:iCs/>
      <w:sz w:val="24"/>
      <w:szCs w:val="24"/>
    </w:rPr>
  </w:style>
  <w:style w:type="character" w:styleId="1162">
    <w:name w:val="Заголовок 3 Знак"/>
    <w:next w:val="1162"/>
    <w:link w:val="1151"/>
    <w:rPr>
      <w:rFonts w:ascii="Cambria" w:hAnsi="Cambria"/>
      <w:b/>
      <w:bCs/>
      <w:sz w:val="26"/>
      <w:szCs w:val="26"/>
      <w:lang w:val="en-US" w:eastAsia="en-US"/>
    </w:rPr>
  </w:style>
  <w:style w:type="character" w:styleId="1163">
    <w:name w:val="Заголовок 4 Знак"/>
    <w:next w:val="1163"/>
    <w:link w:val="1152"/>
    <w:rPr>
      <w:b/>
      <w:bCs/>
      <w:sz w:val="22"/>
      <w:szCs w:val="28"/>
      <w:lang w:val="en-US" w:eastAsia="en-US"/>
    </w:rPr>
  </w:style>
  <w:style w:type="paragraph" w:styleId="1164">
    <w:name w:val="Без интервала"/>
    <w:next w:val="1164"/>
    <w:link w:val="1165"/>
    <w:qFormat/>
    <w:rPr>
      <w:rFonts w:ascii="Calibri" w:hAnsi="Calibri"/>
      <w:sz w:val="22"/>
      <w:szCs w:val="22"/>
      <w:lang w:val="ru-RU" w:eastAsia="en-US" w:bidi="ar-SA"/>
    </w:rPr>
  </w:style>
  <w:style w:type="character" w:styleId="1165">
    <w:name w:val="Без интервала Знак"/>
    <w:next w:val="1165"/>
    <w:link w:val="1164"/>
    <w:rPr>
      <w:rFonts w:ascii="Calibri" w:hAnsi="Calibri"/>
      <w:sz w:val="22"/>
      <w:szCs w:val="22"/>
      <w:lang w:val="ru-RU" w:eastAsia="en-US" w:bidi="ar-SA"/>
    </w:rPr>
  </w:style>
  <w:style w:type="character" w:styleId="1166">
    <w:name w:val="Гиперссылка"/>
    <w:next w:val="1166"/>
    <w:link w:val="1148"/>
    <w:uiPriority w:val="99"/>
    <w:unhideWhenUsed/>
    <w:rPr>
      <w:rFonts w:ascii="Times New Roman" w:hAnsi="Times New Roman"/>
      <w:color w:val="0000ff"/>
      <w:sz w:val="24"/>
      <w:u w:val="none"/>
      <w:vertAlign w:val="baseline"/>
    </w:rPr>
  </w:style>
  <w:style w:type="paragraph" w:styleId="1167">
    <w:name w:val="Оглавление 2"/>
    <w:basedOn w:val="1148"/>
    <w:next w:val="1148"/>
    <w:link w:val="1148"/>
    <w:uiPriority w:val="39"/>
    <w:pPr>
      <w:ind w:left="240"/>
    </w:pPr>
    <w:rPr>
      <w:rFonts w:ascii="Calibri" w:hAnsi="Calibri"/>
      <w:smallCaps/>
      <w:sz w:val="20"/>
      <w:szCs w:val="20"/>
    </w:rPr>
  </w:style>
  <w:style w:type="paragraph" w:styleId="1168">
    <w:name w:val="Оглавление 1"/>
    <w:basedOn w:val="1148"/>
    <w:next w:val="1148"/>
    <w:link w:val="1148"/>
    <w:uiPriority w:val="39"/>
    <w:pPr>
      <w:spacing w:before="120" w:after="120"/>
    </w:pPr>
    <w:rPr>
      <w:bCs/>
      <w:caps/>
      <w:sz w:val="22"/>
      <w:szCs w:val="20"/>
    </w:rPr>
  </w:style>
  <w:style w:type="paragraph" w:styleId="1169">
    <w:name w:val="Верхний колонтитул"/>
    <w:basedOn w:val="1148"/>
    <w:next w:val="1169"/>
    <w:link w:val="1170"/>
    <w:uiPriority w:val="99"/>
    <w:pPr>
      <w:tabs>
        <w:tab w:val="center" w:pos="4677" w:leader="none"/>
        <w:tab w:val="right" w:pos="9355" w:leader="none"/>
      </w:tabs>
    </w:pPr>
    <w:rPr>
      <w:lang w:val="en-US" w:eastAsia="en-US"/>
    </w:rPr>
  </w:style>
  <w:style w:type="character" w:styleId="1170">
    <w:name w:val="Верхний колонтитул Знак"/>
    <w:next w:val="1170"/>
    <w:link w:val="1169"/>
    <w:uiPriority w:val="99"/>
    <w:rPr>
      <w:sz w:val="24"/>
      <w:szCs w:val="24"/>
    </w:rPr>
  </w:style>
  <w:style w:type="paragraph" w:styleId="1171">
    <w:name w:val="Основной текст,Основной текст_отчет,bt"/>
    <w:basedOn w:val="1148"/>
    <w:next w:val="1171"/>
    <w:link w:val="1172"/>
    <w:rPr>
      <w:b/>
      <w:bCs/>
      <w:lang w:val="en-US" w:eastAsia="en-US"/>
    </w:rPr>
  </w:style>
  <w:style w:type="character" w:styleId="1172">
    <w:name w:val="Основной текст Знак,Основной текст_отчет Знак,bt Знак"/>
    <w:next w:val="1172"/>
    <w:link w:val="1171"/>
    <w:rPr>
      <w:b/>
      <w:bCs/>
      <w:sz w:val="24"/>
      <w:szCs w:val="24"/>
    </w:rPr>
  </w:style>
  <w:style w:type="paragraph" w:styleId="1173">
    <w:name w:val="Цитата"/>
    <w:basedOn w:val="1148"/>
    <w:next w:val="1173"/>
    <w:link w:val="1148"/>
    <w:pPr>
      <w:ind w:left="-108" w:right="-108"/>
      <w:jc w:val="center"/>
    </w:pPr>
    <w:rPr>
      <w:b/>
      <w:bCs/>
    </w:rPr>
  </w:style>
  <w:style w:type="paragraph" w:styleId="1174">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48"/>
    <w:next w:val="1174"/>
    <w:link w:val="1175"/>
    <w:pPr>
      <w:jc w:val="both"/>
    </w:pPr>
    <w:rPr>
      <w:b/>
      <w:bCs/>
      <w:lang w:val="en-US" w:eastAsia="en-US"/>
    </w:rPr>
  </w:style>
  <w:style w:type="character" w:styleId="1175">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75"/>
    <w:link w:val="1174"/>
    <w:rPr>
      <w:b/>
      <w:bCs/>
      <w:sz w:val="24"/>
      <w:szCs w:val="24"/>
    </w:rPr>
  </w:style>
  <w:style w:type="paragraph" w:styleId="1176">
    <w:name w:val="Основной текст с отступом 2"/>
    <w:basedOn w:val="1148"/>
    <w:next w:val="1176"/>
    <w:link w:val="1191"/>
    <w:pPr>
      <w:ind w:firstLine="708"/>
      <w:jc w:val="both"/>
    </w:pPr>
    <w:rPr>
      <w:sz w:val="22"/>
      <w:szCs w:val="22"/>
      <w:lang w:val="en-US" w:eastAsia="en-US"/>
    </w:rPr>
  </w:style>
  <w:style w:type="paragraph" w:styleId="1177">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48"/>
    <w:next w:val="1177"/>
    <w:link w:val="1192"/>
    <w:qFormat/>
    <w:rPr>
      <w:sz w:val="20"/>
      <w:szCs w:val="20"/>
    </w:rPr>
  </w:style>
  <w:style w:type="paragraph" w:styleId="1178">
    <w:name w:val="Основной текст с отступом 3"/>
    <w:basedOn w:val="1148"/>
    <w:next w:val="1178"/>
    <w:link w:val="1148"/>
    <w:pPr>
      <w:ind w:left="283"/>
      <w:spacing w:after="120"/>
    </w:pPr>
    <w:rPr>
      <w:sz w:val="16"/>
      <w:szCs w:val="16"/>
    </w:rPr>
  </w:style>
  <w:style w:type="paragraph" w:styleId="1179">
    <w:name w:val="Основной текст 2"/>
    <w:basedOn w:val="1148"/>
    <w:next w:val="1179"/>
    <w:link w:val="1148"/>
    <w:pPr>
      <w:jc w:val="both"/>
      <w:spacing w:before="120" w:after="120"/>
    </w:pPr>
  </w:style>
  <w:style w:type="character" w:styleId="1180">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80"/>
    <w:link w:val="1148"/>
    <w:qFormat/>
    <w:rPr>
      <w:vertAlign w:val="superscript"/>
    </w:rPr>
  </w:style>
  <w:style w:type="paragraph" w:styleId="1181">
    <w:name w:val="Текст выноски"/>
    <w:basedOn w:val="1148"/>
    <w:next w:val="1181"/>
    <w:link w:val="1197"/>
    <w:uiPriority w:val="99"/>
    <w:semiHidden/>
    <w:rPr>
      <w:rFonts w:ascii="Tahoma" w:hAnsi="Tahoma" w:cs="Tahoma"/>
      <w:sz w:val="16"/>
      <w:szCs w:val="16"/>
    </w:rPr>
  </w:style>
  <w:style w:type="paragraph" w:styleId="1182">
    <w:name w:val="Нижний колонтитул"/>
    <w:basedOn w:val="1148"/>
    <w:next w:val="1182"/>
    <w:link w:val="1183"/>
    <w:uiPriority w:val="99"/>
    <w:pPr>
      <w:tabs>
        <w:tab w:val="center" w:pos="4677" w:leader="none"/>
        <w:tab w:val="right" w:pos="9355" w:leader="none"/>
      </w:tabs>
    </w:pPr>
    <w:rPr>
      <w:lang w:val="en-US" w:eastAsia="en-US"/>
    </w:rPr>
  </w:style>
  <w:style w:type="character" w:styleId="1183">
    <w:name w:val="Нижний колонтитул Знак"/>
    <w:next w:val="1183"/>
    <w:link w:val="1182"/>
    <w:uiPriority w:val="99"/>
    <w:rPr>
      <w:sz w:val="24"/>
      <w:szCs w:val="24"/>
    </w:rPr>
  </w:style>
  <w:style w:type="paragraph" w:styleId="1184">
    <w:name w:val="Оглавление 3"/>
    <w:basedOn w:val="1148"/>
    <w:next w:val="1148"/>
    <w:link w:val="1148"/>
    <w:semiHidden/>
    <w:pPr>
      <w:ind w:left="480"/>
    </w:pPr>
    <w:rPr>
      <w:rFonts w:ascii="Calibri" w:hAnsi="Calibri"/>
      <w:i/>
      <w:iCs/>
      <w:sz w:val="20"/>
      <w:szCs w:val="20"/>
    </w:rPr>
  </w:style>
  <w:style w:type="paragraph" w:styleId="1185">
    <w:name w:val="Оглавление 4"/>
    <w:basedOn w:val="1148"/>
    <w:next w:val="1148"/>
    <w:link w:val="1148"/>
    <w:semiHidden/>
    <w:pPr>
      <w:ind w:left="720"/>
    </w:pPr>
    <w:rPr>
      <w:rFonts w:ascii="Calibri" w:hAnsi="Calibri"/>
      <w:sz w:val="18"/>
      <w:szCs w:val="18"/>
    </w:rPr>
  </w:style>
  <w:style w:type="paragraph" w:styleId="1186">
    <w:name w:val="Оглавление 5"/>
    <w:basedOn w:val="1148"/>
    <w:next w:val="1148"/>
    <w:link w:val="1148"/>
    <w:semiHidden/>
    <w:pPr>
      <w:ind w:left="960"/>
    </w:pPr>
    <w:rPr>
      <w:rFonts w:ascii="Calibri" w:hAnsi="Calibri"/>
      <w:sz w:val="18"/>
      <w:szCs w:val="18"/>
    </w:rPr>
  </w:style>
  <w:style w:type="paragraph" w:styleId="1187">
    <w:name w:val="Оглавление 6"/>
    <w:basedOn w:val="1148"/>
    <w:next w:val="1148"/>
    <w:link w:val="1148"/>
    <w:semiHidden/>
    <w:pPr>
      <w:ind w:left="1200"/>
    </w:pPr>
    <w:rPr>
      <w:rFonts w:ascii="Calibri" w:hAnsi="Calibri"/>
      <w:sz w:val="18"/>
      <w:szCs w:val="18"/>
    </w:rPr>
  </w:style>
  <w:style w:type="paragraph" w:styleId="1188">
    <w:name w:val="Оглавление 7"/>
    <w:basedOn w:val="1148"/>
    <w:next w:val="1148"/>
    <w:link w:val="1148"/>
    <w:semiHidden/>
    <w:pPr>
      <w:ind w:left="1440"/>
    </w:pPr>
    <w:rPr>
      <w:rFonts w:ascii="Calibri" w:hAnsi="Calibri"/>
      <w:sz w:val="18"/>
      <w:szCs w:val="18"/>
    </w:rPr>
  </w:style>
  <w:style w:type="paragraph" w:styleId="1189">
    <w:name w:val="Оглавление 8"/>
    <w:basedOn w:val="1148"/>
    <w:next w:val="1148"/>
    <w:link w:val="1148"/>
    <w:semiHidden/>
    <w:pPr>
      <w:ind w:left="1680"/>
    </w:pPr>
    <w:rPr>
      <w:rFonts w:ascii="Calibri" w:hAnsi="Calibri"/>
      <w:sz w:val="18"/>
      <w:szCs w:val="18"/>
    </w:rPr>
  </w:style>
  <w:style w:type="paragraph" w:styleId="1190">
    <w:name w:val="Оглавление 9"/>
    <w:basedOn w:val="1148"/>
    <w:next w:val="1148"/>
    <w:link w:val="1148"/>
    <w:semiHidden/>
    <w:pPr>
      <w:ind w:left="1920"/>
    </w:pPr>
    <w:rPr>
      <w:rFonts w:ascii="Calibri" w:hAnsi="Calibri"/>
      <w:sz w:val="18"/>
      <w:szCs w:val="18"/>
    </w:rPr>
  </w:style>
  <w:style w:type="character" w:styleId="1191">
    <w:name w:val="Основной текст с отступом 2 Знак"/>
    <w:next w:val="1191"/>
    <w:link w:val="1176"/>
    <w:rPr>
      <w:sz w:val="22"/>
      <w:szCs w:val="22"/>
    </w:rPr>
  </w:style>
  <w:style w:type="character" w:styleId="119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92"/>
    <w:link w:val="1177"/>
  </w:style>
  <w:style w:type="paragraph" w:styleId="1193">
    <w:name w:val="Нормальный"/>
    <w:next w:val="1193"/>
    <w:link w:val="1148"/>
    <w:rPr>
      <w:rFonts w:ascii="TimesET" w:hAnsi="TimesET" w:cs="TimesET"/>
      <w:b/>
      <w:bCs/>
      <w:i/>
      <w:iCs/>
      <w:smallCaps/>
      <w:sz w:val="24"/>
      <w:szCs w:val="24"/>
      <w:lang w:val="ru-RU" w:eastAsia="ru-RU" w:bidi="ar-SA"/>
    </w:rPr>
  </w:style>
  <w:style w:type="paragraph" w:styleId="1194">
    <w:name w:val="Default"/>
    <w:next w:val="1194"/>
    <w:link w:val="1148"/>
    <w:rPr>
      <w:rFonts w:eastAsia="Calibri"/>
      <w:color w:val="000000"/>
      <w:sz w:val="24"/>
      <w:szCs w:val="24"/>
      <w:lang w:val="ru-RU" w:eastAsia="ru-RU" w:bidi="ar-SA"/>
    </w:rPr>
  </w:style>
  <w:style w:type="numbering" w:styleId="1195">
    <w:name w:val="Нет списка1"/>
    <w:next w:val="1160"/>
    <w:link w:val="1148"/>
    <w:uiPriority w:val="99"/>
    <w:semiHidden/>
    <w:unhideWhenUsed/>
  </w:style>
  <w:style w:type="paragraph" w:styleId="1196">
    <w:name w:val="Абзац списка"/>
    <w:basedOn w:val="1148"/>
    <w:next w:val="1196"/>
    <w:link w:val="1148"/>
    <w:uiPriority w:val="34"/>
    <w:qFormat/>
    <w:pPr>
      <w:contextualSpacing/>
      <w:ind w:left="720"/>
      <w:spacing w:after="200" w:line="276" w:lineRule="auto"/>
    </w:pPr>
    <w:rPr>
      <w:rFonts w:ascii="Calibri" w:hAnsi="Calibri" w:eastAsia="Calibri"/>
      <w:sz w:val="22"/>
      <w:szCs w:val="22"/>
      <w:lang w:eastAsia="en-US"/>
    </w:rPr>
  </w:style>
  <w:style w:type="character" w:styleId="1197">
    <w:name w:val="Текст выноски Знак"/>
    <w:next w:val="1197"/>
    <w:link w:val="1181"/>
    <w:uiPriority w:val="99"/>
    <w:semiHidden/>
    <w:rPr>
      <w:rFonts w:ascii="Tahoma" w:hAnsi="Tahoma" w:cs="Tahoma"/>
      <w:sz w:val="16"/>
      <w:szCs w:val="16"/>
    </w:rPr>
  </w:style>
  <w:style w:type="paragraph" w:styleId="1198">
    <w:name w:val="Заголовок"/>
    <w:basedOn w:val="1148"/>
    <w:next w:val="1148"/>
    <w:link w:val="1199"/>
    <w:qFormat/>
    <w:pPr>
      <w:jc w:val="center"/>
      <w:spacing w:before="240" w:after="60"/>
      <w:outlineLvl w:val="0"/>
    </w:pPr>
    <w:rPr>
      <w:rFonts w:ascii="Calibri Light" w:hAnsi="Calibri Light" w:eastAsia="Times New Roman" w:cs="Times New Roman"/>
      <w:b/>
      <w:bCs/>
      <w:sz w:val="32"/>
      <w:szCs w:val="32"/>
    </w:rPr>
  </w:style>
  <w:style w:type="character" w:styleId="1199">
    <w:name w:val="Заголовок Знак"/>
    <w:next w:val="1199"/>
    <w:link w:val="1198"/>
    <w:rPr>
      <w:rFonts w:ascii="Calibri Light" w:hAnsi="Calibri Light" w:eastAsia="Times New Roman" w:cs="Times New Roman"/>
      <w:b/>
      <w:bCs/>
      <w:sz w:val="32"/>
      <w:szCs w:val="32"/>
    </w:rPr>
  </w:style>
  <w:style w:type="paragraph" w:styleId="1200">
    <w:name w:val="Подзаголовок"/>
    <w:basedOn w:val="1148"/>
    <w:next w:val="1148"/>
    <w:link w:val="1201"/>
    <w:qFormat/>
    <w:pPr>
      <w:jc w:val="center"/>
      <w:spacing w:after="60"/>
      <w:outlineLvl w:val="1"/>
    </w:pPr>
    <w:rPr>
      <w:rFonts w:ascii="Calibri Light" w:hAnsi="Calibri Light" w:eastAsia="Times New Roman" w:cs="Times New Roman"/>
    </w:rPr>
  </w:style>
  <w:style w:type="character" w:styleId="1201">
    <w:name w:val="Подзаголовок Знак"/>
    <w:next w:val="1201"/>
    <w:link w:val="1200"/>
    <w:rPr>
      <w:rFonts w:ascii="Calibri Light" w:hAnsi="Calibri Light" w:eastAsia="Times New Roman" w:cs="Times New Roman"/>
      <w:sz w:val="24"/>
      <w:szCs w:val="24"/>
    </w:rPr>
  </w:style>
  <w:style w:type="character" w:styleId="1202">
    <w:name w:val="Заголовок 5 Знак"/>
    <w:next w:val="1202"/>
    <w:link w:val="1153"/>
    <w:rPr>
      <w:b/>
      <w:bCs/>
      <w:i/>
      <w:iCs/>
      <w:sz w:val="26"/>
      <w:szCs w:val="26"/>
    </w:rPr>
  </w:style>
  <w:style w:type="paragraph" w:styleId="1203">
    <w:name w:val="msonormal"/>
    <w:basedOn w:val="1148"/>
    <w:next w:val="1203"/>
    <w:link w:val="1148"/>
    <w:pPr>
      <w:spacing w:before="100" w:beforeAutospacing="1" w:after="100" w:afterAutospacing="1"/>
    </w:pPr>
  </w:style>
  <w:style w:type="character" w:styleId="1204">
    <w:name w:val="Выделение"/>
    <w:next w:val="1204"/>
    <w:link w:val="1148"/>
    <w:qFormat/>
    <w:rPr>
      <w:i/>
      <w:iCs/>
    </w:rPr>
  </w:style>
  <w:style w:type="character" w:styleId="1205">
    <w:name w:val="Заголовок 6 Знак"/>
    <w:next w:val="1205"/>
    <w:link w:val="1154"/>
    <w:rPr>
      <w:b/>
      <w:bCs/>
      <w:sz w:val="24"/>
      <w:szCs w:val="22"/>
    </w:rPr>
  </w:style>
  <w:style w:type="character" w:styleId="1206">
    <w:name w:val="Заголовок 7 Знак"/>
    <w:next w:val="1206"/>
    <w:link w:val="1155"/>
    <w:rPr>
      <w:rFonts w:ascii="Calibri" w:hAnsi="Calibri"/>
      <w:sz w:val="24"/>
      <w:szCs w:val="24"/>
    </w:rPr>
  </w:style>
  <w:style w:type="character" w:styleId="1207">
    <w:name w:val="Заголовок 9 Знак"/>
    <w:next w:val="1207"/>
    <w:link w:val="1157"/>
    <w:rPr>
      <w:rFonts w:ascii="Calibri Light" w:hAnsi="Calibri Light"/>
      <w:sz w:val="22"/>
      <w:szCs w:val="22"/>
    </w:rPr>
  </w:style>
  <w:style w:type="character" w:styleId="1208">
    <w:name w:val="Знак примечания"/>
    <w:next w:val="1208"/>
    <w:link w:val="1148"/>
    <w:rPr>
      <w:sz w:val="16"/>
      <w:szCs w:val="16"/>
    </w:rPr>
  </w:style>
  <w:style w:type="paragraph" w:styleId="1209">
    <w:name w:val="Текст примечания"/>
    <w:basedOn w:val="1148"/>
    <w:next w:val="1209"/>
    <w:link w:val="1210"/>
    <w:rPr>
      <w:sz w:val="20"/>
      <w:szCs w:val="20"/>
    </w:rPr>
  </w:style>
  <w:style w:type="character" w:styleId="1210">
    <w:name w:val="Текст примечания Знак"/>
    <w:basedOn w:val="1158"/>
    <w:next w:val="1210"/>
    <w:link w:val="1209"/>
  </w:style>
  <w:style w:type="paragraph" w:styleId="1211">
    <w:name w:val="Тема примечания"/>
    <w:basedOn w:val="1209"/>
    <w:next w:val="1209"/>
    <w:link w:val="1212"/>
    <w:rPr>
      <w:b/>
      <w:bCs/>
    </w:rPr>
  </w:style>
  <w:style w:type="character" w:styleId="1212">
    <w:name w:val="Тема примечания Знак"/>
    <w:next w:val="1212"/>
    <w:link w:val="1211"/>
    <w:rPr>
      <w:b/>
      <w:bCs/>
    </w:rPr>
  </w:style>
  <w:style w:type="numbering" w:styleId="1213">
    <w:name w:val="Нет списка2"/>
    <w:next w:val="1160"/>
    <w:link w:val="1148"/>
    <w:uiPriority w:val="99"/>
    <w:semiHidden/>
    <w:unhideWhenUsed/>
  </w:style>
  <w:style w:type="character" w:styleId="1214">
    <w:name w:val="Просмотренная гиперссылка"/>
    <w:next w:val="1214"/>
    <w:link w:val="1148"/>
    <w:rPr>
      <w:color w:val="954f72"/>
      <w:u w:val="single"/>
    </w:rPr>
  </w:style>
  <w:style w:type="character" w:styleId="1215" w:default="1">
    <w:name w:val="Default Paragraph Font"/>
    <w:uiPriority w:val="1"/>
    <w:semiHidden/>
    <w:unhideWhenUsed/>
  </w:style>
  <w:style w:type="numbering" w:styleId="1216" w:default="1">
    <w:name w:val="No List"/>
    <w:uiPriority w:val="99"/>
    <w:semiHidden/>
    <w:unhideWhenUsed/>
  </w:style>
  <w:style w:type="table" w:styleId="121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ОАО "Россельхозбанк"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20</cp:revision>
  <dcterms:created xsi:type="dcterms:W3CDTF">2024-07-23T14:00:00Z</dcterms:created>
  <dcterms:modified xsi:type="dcterms:W3CDTF">2025-09-15T06:03:17Z</dcterms:modified>
  <cp:version>1048576</cp:version>
</cp:coreProperties>
</file>