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object w:dxaOrig="15796" w:dyaOrig="1198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159.00pt;height:122.25pt;mso-wrap-distance-left:0.00pt;mso-wrap-distance-top:0.00pt;mso-wrap-distance-right:0.00pt;mso-wrap-distance-bottom:0.00pt;" filled="f" stroked="f">
            <v:path textboxrect="0,0,0,0"/>
            <v:imagedata r:id="rId12" o:title=""/>
          </v:shape>
          <o:OLEObject DrawAspect="Content" r:id="rId13" ObjectID="_1525040" ProgID="PBrush" ShapeID="_x0000_i0" Type="Embed"/>
        </w:objec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1985" w:hanging="1985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Паспорт продукта </w:t>
      </w:r>
      <w:r>
        <w:rPr>
          <w:rFonts w:ascii="Times New Roman" w:hAnsi="Times New Roman" w:cs="Times New Roman"/>
          <w:b/>
          <w:sz w:val="24"/>
          <w:szCs w:val="20"/>
        </w:rPr>
        <w:t xml:space="preserve">«</w:t>
      </w:r>
      <w:r>
        <w:rPr>
          <w:rFonts w:ascii="Times New Roman" w:hAnsi="Times New Roman" w:cs="Times New Roman"/>
          <w:b/>
          <w:sz w:val="24"/>
          <w:szCs w:val="20"/>
        </w:rPr>
        <w:t xml:space="preserve">Накопительный счет</w:t>
      </w:r>
      <w:r>
        <w:rPr>
          <w:rFonts w:ascii="Times New Roman" w:hAnsi="Times New Roman" w:cs="Times New Roman"/>
          <w:b/>
          <w:sz w:val="24"/>
          <w:szCs w:val="20"/>
        </w:rPr>
        <w:t xml:space="preserve">»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</w:r>
      <w:r>
        <w:rPr>
          <w:rFonts w:ascii="Times New Roman" w:hAnsi="Times New Roman" w:cs="Times New Roman"/>
          <w:b/>
          <w:sz w:val="24"/>
          <w:szCs w:val="20"/>
        </w:rPr>
      </w:r>
    </w:p>
    <w:p>
      <w:pPr>
        <w:ind w:left="1985" w:hanging="1985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0"/>
          <w:u w:val="single"/>
        </w:rPr>
        <w:t xml:space="preserve">«Мо</w:t>
      </w:r>
      <w:r>
        <w:rPr>
          <w:rFonts w:ascii="Times New Roman" w:hAnsi="Times New Roman" w:cs="Times New Roman"/>
          <w:b/>
          <w:sz w:val="24"/>
          <w:szCs w:val="20"/>
          <w:u w:val="single"/>
        </w:rPr>
        <w:t xml:space="preserve">й счет</w:t>
      </w:r>
      <w:r>
        <w:rPr>
          <w:rFonts w:ascii="Times New Roman" w:hAnsi="Times New Roman" w:cs="Times New Roman"/>
          <w:b/>
          <w:sz w:val="24"/>
          <w:szCs w:val="20"/>
          <w:u w:val="single"/>
        </w:rPr>
        <w:t xml:space="preserve">»</w:t>
      </w:r>
      <w:r>
        <w:rPr>
          <w:rFonts w:ascii="Times New Roman" w:hAnsi="Times New Roman" w:cs="Times New Roman"/>
          <w:b/>
          <w:sz w:val="24"/>
          <w:szCs w:val="20"/>
          <w:u w:val="single"/>
        </w:rPr>
      </w:r>
      <w:r>
        <w:rPr>
          <w:rFonts w:ascii="Times New Roman" w:hAnsi="Times New Roman" w:cs="Times New Roman"/>
          <w:b/>
          <w:sz w:val="24"/>
          <w:szCs w:val="20"/>
          <w:u w:val="single"/>
        </w:rPr>
      </w:r>
    </w:p>
    <w:p>
      <w:pPr>
        <w:ind w:left="1985" w:hanging="1985"/>
        <w:spacing w:after="0" w:line="240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3686"/>
        <w:jc w:val="both"/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документе представлено краткое изложение ключевой информации, которая относится к стандар</w:t>
      </w:r>
      <w:r>
        <w:rPr>
          <w:rFonts w:ascii="Times New Roman" w:hAnsi="Times New Roman" w:cs="Times New Roman"/>
          <w:sz w:val="20"/>
          <w:szCs w:val="20"/>
        </w:rPr>
        <w:t xml:space="preserve">тным условиям данного продукта.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3686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Информация, указанная в документе, не является рекламой и носит исключительно справочный характер.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921"/>
        <w:tblW w:w="9639" w:type="dxa"/>
        <w:tblInd w:w="-5" w:type="dxa"/>
        <w:tblBorders>
          <w:top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ind w:left="-1814"/>
              <w:jc w:val="center"/>
              <w:spacing w:before="120"/>
              <w:tabs>
                <w:tab w:val="left" w:pos="17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АО «Россельхозбанк»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Кредитная организация: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АО «Россельхозбанк» (ИНН: 7725114488, ОГРН: 1027700342890)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Контактная информация: 119034, Москва, Гагаринский переулок, д. 3, контактный телефон: для звонков по</w:t>
      </w:r>
      <w:r>
        <w:rPr>
          <w:rFonts w:ascii="Times New Roman" w:hAnsi="Times New Roman" w:cs="Times New Roman"/>
          <w:sz w:val="20"/>
          <w:szCs w:val="20"/>
        </w:rPr>
        <w:t xml:space="preserve"> России </w:t>
      </w:r>
      <w:r>
        <w:rPr>
          <w:rFonts w:ascii="Times New Roman" w:hAnsi="Times New Roman" w:cs="Times New Roman"/>
          <w:sz w:val="20"/>
          <w:szCs w:val="20"/>
        </w:rPr>
        <w:t xml:space="preserve">8 (800) 100-01-00, официальный сайт: https://www.rshb.ru.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921"/>
        <w:tblW w:w="9918" w:type="dxa"/>
        <w:tblLook w:val="04A0" w:firstRow="1" w:lastRow="0" w:firstColumn="1" w:lastColumn="0" w:noHBand="0" w:noVBand="1"/>
      </w:tblPr>
      <w:tblGrid>
        <w:gridCol w:w="562"/>
        <w:gridCol w:w="3515"/>
        <w:gridCol w:w="34"/>
        <w:gridCol w:w="5807"/>
      </w:tblGrid>
      <w:tr>
        <w:tblPrEx/>
        <w:trPr/>
        <w:tc>
          <w:tcPr>
            <w:gridSpan w:val="4"/>
            <w:tcW w:w="99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-Условия открытия и обслуживания счетов физических лиц в АО «Россельхозбанк» (далее - Условия);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Заявление на открытие счета (далее - Договор);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-Условия открытия, обслуживания и закрытия счетов физических лиц в АО «Россельхозбанк» с использованием системы «Интернет-банк» и «Мобильный банк»;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Тарифы комиссионного вознаграждения на услуги АО «Россельхозбанк» физическим лицам (далее - Тарифы).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Указанные документы размещены на официальном сайте Банка в сети Интернет по адресу </w:t>
            </w:r>
            <w:hyperlink r:id="rId14" w:tooltip="https://www.rshb.ru/natural/deposits#docs" w:anchor="docs" w:history="1">
              <w:r>
                <w:rPr>
                  <w:rStyle w:val="923"/>
                  <w:rFonts w:ascii="Times New Roman" w:hAnsi="Times New Roman" w:cs="Times New Roman"/>
                  <w:sz w:val="20"/>
                  <w:szCs w:val="20"/>
                </w:rPr>
                <w:t xml:space="preserve">https://www.rshb.ru/natural/deposits#docs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«Документы и Тарифы».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ЧТО ТАКОЕ НАКОПИТЕЛЬНЫЙ СЧЕТ?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Это банковский счет физических лиц, открытый Банком Клиенту на основании Договора, предназначенный для совершения расчетных, кассовых и иных операций, установленных действующим законодательством Российской Федерации, не связанных с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существлением предпринимательской деятельности, а также деятельности лица, занимающегося в установленном законодательством Российской Федерации порядке частной практикой, с возможностью получения процентов на остаток денежных средств, находящихся на счете.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УСЛОВИЯ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584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Без ограничений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Валюта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584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Рубли РФ, китайские юани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счета (если применимо)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584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Б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ессрочно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дистанционного обслуживания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584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Возможно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 w:type="page" w:clear="all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ПРОЦЕНТЫ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СЧЕТУ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гарантированная процентная 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минимальная сумма процентов, которые будут выплачены клиенту за год на минимально возможную сумму для размещения без учета дополнительных условий)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0,01%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возможная процентная 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19%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в рублях РФ.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Процентная ставка в рублях РФ указана с учетом применения «Приветственной надбавки»*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1% - в китайских юанях.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Дополнительные условия, влияющие на процентную ставку (если применимо)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Приветственная надбавка» предоставляется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 физическ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ому лицу, не имеющему действующих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накопительных счетов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br/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АО «Россельхозбанк» в течение 30 дней до обращения в Банк (включая дату обращения) с целью открытия накопительного счета в рамках тарифного плана "Мой счет"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color w:val="1c1c1c"/>
                <w:sz w:val="20"/>
                <w:szCs w:val="20"/>
                <w:shd w:val="clear" w:color="auto" w:fill="ffffff"/>
              </w:rPr>
              <w:t xml:space="preserve">в рублях РФ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  <w:t xml:space="preserve">Надбавка начисляется на фактический остаток денежных средств на Счете не более 3 млн рублей.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10"/>
                <w:szCs w:val="10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10"/>
                <w:szCs w:val="10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10"/>
                <w:szCs w:val="10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  <w:t xml:space="preserve">Акция «Выгодные траты с накопительным счетом «Мой счет» предполагает при 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  <w:t xml:space="preserve">аличии у клиента открытого накопительного счета «Мой счет»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color w:val="1c1c1c"/>
                <w:sz w:val="20"/>
                <w:szCs w:val="20"/>
                <w:highlight w:val="none"/>
                <w:shd w:val="clear" w:color="auto" w:fill="ffffff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/>
                <w:iCs/>
                <w:color w:val="1c1c1c"/>
                <w:sz w:val="20"/>
                <w:szCs w:val="20"/>
                <w:highlight w:val="none"/>
                <w:shd w:val="clear" w:color="auto" w:fill="ffffff"/>
              </w:rPr>
              <w:t xml:space="preserve"> рубля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1c1c1c"/>
                <w:sz w:val="20"/>
                <w:szCs w:val="20"/>
                <w:highlight w:val="none"/>
                <w:shd w:val="clear" w:color="auto" w:fill="ffffff"/>
              </w:rPr>
              <w:t xml:space="preserve">х РФ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  <w:t xml:space="preserve">и достижения оборотов по картам «СВОЯ карта»/«СВОЯ карта Плюс» и/или «СВОЯ кредитная карта» начисление надбавки к базо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  <w:t xml:space="preserve">вой ставке от 5% до 7% годовых.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none"/>
              </w:rPr>
              <w:t xml:space="preserve">Надбавка начисляется на остаток денежных средств на накопительных счетах (совокупно не более 3 млн рублей).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начисления и получения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Начисление процентов осуществляется на фактический остаток денежных средств на Счете на начало операционного дня по процентной ставке, установленной Банком для тарифного плана «Мой счет»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Проц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енты выплачиваются ежемесячно в последний рабочий день месяца путем зачисления суммы причитающихся процентов на Счет. При закрытии Счета проценты выплачиваются наличным способом или по реквизитам, предоставляемым Клиентом. Ранее начисленные и выплаченные п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роценты не пересчитываются.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ОПЕРАЦИИ ПО СЧЕТУ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пополнения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рублях РФ – без ограничений;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китайских юанях: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Пополнение Счета, открытого с 22.03.2023, осуществляется в соответствии с Условиями: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в наличном порядке с использованием текущего счета с последующим безналичным перечислением на Счет;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в безналичном порядке – без ограничений.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Пополнение Счета, открытого до 22.03.2023, осуществляется в соответствии с условиями договора банковского счета, заключенного с клиентом (без ограничений).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Расходные операции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рублях РФ – без ограничений;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китайских юанях: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Выдача со Счета, открытого с 22.03.2023, осуществляется: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наличными денежными средствами в рублях РФ в сумме, эквивалентной размеру денежных средств в китайских юанях по курсу Банка России на день проведения операции;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в безналичном порядке – без ограничений.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Выдача со Счета, открытого до 22.03.2023, осуществляется в соответствии с условиями договора банковского счета, заключенного с клиентом (без ограничений).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ПОРЯДОК 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КРЫТИЯ СЧЕТА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657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инициативе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 отсутствии в течение двух лет денежных средств на счете Клиента и операций по этому счету, Банк вправе отказаться от исполнения Договора, предупредив об этом Клиента в письменной форме (за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казным письмом с уведомлением 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вручении, п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утем непосредственного вручения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соотв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етствующего письма под роспись Клиенту или иным способом). Договор считается расторгнутым по истечении двух месяцев со дня направления Клиенту такого предупреждения, если на соответствующий счет Клиента в течение этого срока не поступили денежные средства.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5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инициативе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Договор может быть расторгнут в любое время по инициативе и по первому требованию Клиента на основании письменного заявления о расторжении Договора в соответствии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 заявлением установленного образца, в котором Клиент подтверждает текущий остаток денежных средств на счете и указывает способ, которым ему должен быть возвращен остаток на счете после урегулирования имеющихся задолженностей. При выборе способа возврата д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енежных средств путем осуществления безналичного перечисления, Клиент должен указать реквизиты для перечисления в заявлении о расторжении Договора. Договор считается расторгнутым со дня принятия Банком к исполнению заявления Клиента о расторжении Договора.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gridSpan w:val="4"/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РАСХОДЫ ПОТРЕБИТЕЛЯ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совершение операций по счету Банком взимается плата в соответствии с Тарифами.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СТРАХОВАНИЕ ДЕНЕЖН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ЫХ СРЕДСТВ, РАЗМЕЩЕННЫХ НА НАКОПИТЕЛЬНЫХ СЧЕТАХ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gridSpan w:val="4"/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СПОСОБЫ НАПРАВЛЕНИЯ ОБРАЩЕНИЯ В БАНК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gridSpan w:val="4"/>
            <w:shd w:val="clear" w:color="000000" w:fill="ffffff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Направить обращения в Банк возможно одним из следующих способов: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обратиться в подразделение Банка (головной офис/филиал);                                                                                                                              - позвонить по телефонам справочной службы Банка: 8-800-100-01-00 (дл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звонков по России), 7787 (Абонентам МТС, Мегафон, Билайн и Tele2), +7 (495) 787-77-87 (для звонков из-за границы);                                                                                                                                         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обращение на официальном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сайт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Банка в сети Интернет по адресу: www.rshb.ru.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lfaen">
    <w:panose1 w:val="010A05020503060303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24404272"/>
      <w:docPartObj>
        <w:docPartGallery w:val="Page Numbers (Top of Page)"/>
        <w:docPartUnique w:val="true"/>
      </w:docPartObj>
      <w:rPr/>
    </w:sdtPr>
    <w:sdtContent>
      <w:p>
        <w:pPr>
          <w:pStyle w:val="92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>
      <w:tblPrEx/>
      <w:trPr>
        <w:trHeight w:val="720"/>
      </w:trPr>
      <w:tc>
        <w:tcPr>
          <w:tcW w:w="1667" w:type="pct"/>
          <w:textDirection w:val="lrTb"/>
          <w:noWrap w:val="false"/>
        </w:tcPr>
        <w:p>
          <w:pPr>
            <w:pStyle w:val="929"/>
            <w:tabs>
              <w:tab w:val="clear" w:pos="4677" w:leader="none"/>
              <w:tab w:val="clear" w:pos="9355" w:leader="none"/>
            </w:tabs>
            <w:rPr>
              <w:color w:val="5b9bd5" w:themeColor="accent1"/>
            </w:rPr>
          </w:pPr>
          <w:r>
            <w:rPr>
              <w:color w:val="5b9bd5" w:themeColor="accent1"/>
            </w:rPr>
          </w:r>
          <w:r>
            <w:rPr>
              <w:color w:val="5b9bd5" w:themeColor="accent1"/>
            </w:rPr>
          </w:r>
          <w:r>
            <w:rPr>
              <w:color w:val="5b9bd5" w:themeColor="accent1"/>
            </w:rPr>
          </w:r>
        </w:p>
      </w:tc>
      <w:tc>
        <w:tcPr>
          <w:tcW w:w="1667" w:type="pct"/>
          <w:textDirection w:val="lrTb"/>
          <w:noWrap w:val="false"/>
        </w:tcPr>
        <w:p>
          <w:pPr>
            <w:pStyle w:val="929"/>
            <w:jc w:val="center"/>
            <w:tabs>
              <w:tab w:val="clear" w:pos="4677" w:leader="none"/>
              <w:tab w:val="clear" w:pos="9355" w:leader="none"/>
            </w:tabs>
            <w:rPr>
              <w:color w:val="5b9bd5" w:themeColor="accent1"/>
            </w:rPr>
          </w:pPr>
          <w:r>
            <w:rPr>
              <w:color w:val="5b9bd5" w:themeColor="accent1"/>
            </w:rPr>
          </w:r>
          <w:r>
            <w:rPr>
              <w:color w:val="5b9bd5" w:themeColor="accent1"/>
            </w:rPr>
          </w:r>
          <w:r>
            <w:rPr>
              <w:color w:val="5b9bd5" w:themeColor="accent1"/>
            </w:rPr>
          </w:r>
        </w:p>
      </w:tc>
      <w:tc>
        <w:tcPr>
          <w:tcW w:w="1666" w:type="pct"/>
          <w:textDirection w:val="lrTb"/>
          <w:noWrap w:val="false"/>
        </w:tcPr>
        <w:p>
          <w:pPr>
            <w:pStyle w:val="929"/>
            <w:jc w:val="right"/>
            <w:tabs>
              <w:tab w:val="clear" w:pos="4677" w:leader="none"/>
              <w:tab w:val="clear" w:pos="9355" w:leader="none"/>
            </w:tabs>
            <w:rPr>
              <w:i/>
            </w:rPr>
          </w:pPr>
          <w:r>
            <w:rPr>
              <w:i/>
              <w:sz w:val="24"/>
              <w:szCs w:val="24"/>
            </w:rPr>
            <w:t xml:space="preserve">Действует с </w:t>
          </w:r>
          <w:r>
            <w:rPr>
              <w:i/>
              <w:sz w:val="24"/>
              <w:szCs w:val="24"/>
            </w:rPr>
            <w:t xml:space="preserve">20.06</w:t>
          </w:r>
          <w:r>
            <w:rPr>
              <w:i/>
              <w:sz w:val="24"/>
              <w:szCs w:val="24"/>
            </w:rPr>
            <w:t xml:space="preserve">.2025</w:t>
          </w:r>
          <w:r>
            <w:rPr>
              <w:i/>
            </w:rPr>
          </w:r>
          <w:r>
            <w:rPr>
              <w:i/>
            </w:rPr>
          </w:r>
        </w:p>
      </w:tc>
    </w:tr>
  </w:tbl>
  <w:p>
    <w:pPr>
      <w:pStyle w:val="9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3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hint="default" w:ascii="Sylfaen" w:hAnsi="Sylfaen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ambria" w:hAnsi="Cambria" w:cs="Cambria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Courier New" w:hAnsi="Courier New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lfaen" w:hAnsi="Sylfaen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ambria" w:hAnsi="Cambria" w:cs="Cambria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Courier New" w:hAnsi="Courier New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lfaen" w:hAnsi="Sylfaen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ambria" w:hAnsi="Cambria" w:cs="Cambria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Courier New" w:hAnsi="Courier New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5.%2."/>
      <w:lvlJc w:val="left"/>
      <w:pPr>
        <w:ind w:left="1440" w:hanging="360"/>
        <w:tabs>
          <w:tab w:val="num" w:pos="0" w:leader="none"/>
        </w:tabs>
      </w:pPr>
      <w:rPr>
        <w:rFonts w:hint="default"/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0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15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6">
    <w:name w:val="Heading 1"/>
    <w:basedOn w:val="917"/>
    <w:next w:val="917"/>
    <w:link w:val="7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7">
    <w:name w:val="Heading 1 Char"/>
    <w:basedOn w:val="918"/>
    <w:link w:val="746"/>
    <w:uiPriority w:val="9"/>
    <w:rPr>
      <w:rFonts w:ascii="Arial" w:hAnsi="Arial" w:eastAsia="Arial" w:cs="Arial"/>
      <w:sz w:val="40"/>
      <w:szCs w:val="40"/>
    </w:rPr>
  </w:style>
  <w:style w:type="paragraph" w:styleId="748">
    <w:name w:val="Heading 2"/>
    <w:basedOn w:val="917"/>
    <w:next w:val="917"/>
    <w:link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9">
    <w:name w:val="Heading 2 Char"/>
    <w:basedOn w:val="918"/>
    <w:link w:val="748"/>
    <w:uiPriority w:val="9"/>
    <w:rPr>
      <w:rFonts w:ascii="Arial" w:hAnsi="Arial" w:eastAsia="Arial" w:cs="Arial"/>
      <w:sz w:val="34"/>
    </w:rPr>
  </w:style>
  <w:style w:type="paragraph" w:styleId="750">
    <w:name w:val="Heading 3"/>
    <w:basedOn w:val="917"/>
    <w:next w:val="917"/>
    <w:link w:val="7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1">
    <w:name w:val="Heading 3 Char"/>
    <w:basedOn w:val="918"/>
    <w:link w:val="750"/>
    <w:uiPriority w:val="9"/>
    <w:rPr>
      <w:rFonts w:ascii="Arial" w:hAnsi="Arial" w:eastAsia="Arial" w:cs="Arial"/>
      <w:sz w:val="30"/>
      <w:szCs w:val="30"/>
    </w:rPr>
  </w:style>
  <w:style w:type="paragraph" w:styleId="752">
    <w:name w:val="Heading 4"/>
    <w:basedOn w:val="917"/>
    <w:next w:val="917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3">
    <w:name w:val="Heading 4 Char"/>
    <w:basedOn w:val="918"/>
    <w:link w:val="752"/>
    <w:uiPriority w:val="9"/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917"/>
    <w:next w:val="917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5">
    <w:name w:val="Heading 5 Char"/>
    <w:basedOn w:val="918"/>
    <w:link w:val="754"/>
    <w:uiPriority w:val="9"/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917"/>
    <w:next w:val="917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7">
    <w:name w:val="Heading 6 Char"/>
    <w:basedOn w:val="918"/>
    <w:link w:val="756"/>
    <w:uiPriority w:val="9"/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917"/>
    <w:next w:val="917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>
    <w:name w:val="Heading 7 Char"/>
    <w:basedOn w:val="918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917"/>
    <w:next w:val="917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1">
    <w:name w:val="Heading 8 Char"/>
    <w:basedOn w:val="918"/>
    <w:link w:val="760"/>
    <w:uiPriority w:val="9"/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917"/>
    <w:next w:val="917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>
    <w:name w:val="Heading 9 Char"/>
    <w:basedOn w:val="918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No Spacing"/>
    <w:uiPriority w:val="1"/>
    <w:qFormat/>
    <w:pPr>
      <w:spacing w:before="0" w:after="0" w:line="240" w:lineRule="auto"/>
    </w:pPr>
  </w:style>
  <w:style w:type="paragraph" w:styleId="765">
    <w:name w:val="Title"/>
    <w:basedOn w:val="917"/>
    <w:next w:val="917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>
    <w:name w:val="Title Char"/>
    <w:basedOn w:val="918"/>
    <w:link w:val="765"/>
    <w:uiPriority w:val="10"/>
    <w:rPr>
      <w:sz w:val="48"/>
      <w:szCs w:val="48"/>
    </w:rPr>
  </w:style>
  <w:style w:type="paragraph" w:styleId="767">
    <w:name w:val="Subtitle"/>
    <w:basedOn w:val="917"/>
    <w:next w:val="917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>
    <w:name w:val="Subtitle Char"/>
    <w:basedOn w:val="918"/>
    <w:link w:val="767"/>
    <w:uiPriority w:val="11"/>
    <w:rPr>
      <w:sz w:val="24"/>
      <w:szCs w:val="24"/>
    </w:rPr>
  </w:style>
  <w:style w:type="paragraph" w:styleId="769">
    <w:name w:val="Quote"/>
    <w:basedOn w:val="917"/>
    <w:next w:val="917"/>
    <w:link w:val="770"/>
    <w:uiPriority w:val="29"/>
    <w:qFormat/>
    <w:pPr>
      <w:ind w:left="720" w:right="720"/>
    </w:pPr>
    <w:rPr>
      <w:i/>
    </w:rPr>
  </w:style>
  <w:style w:type="character" w:styleId="770">
    <w:name w:val="Quote Char"/>
    <w:link w:val="769"/>
    <w:uiPriority w:val="29"/>
    <w:rPr>
      <w:i/>
    </w:rPr>
  </w:style>
  <w:style w:type="paragraph" w:styleId="771">
    <w:name w:val="Intense Quote"/>
    <w:basedOn w:val="917"/>
    <w:next w:val="917"/>
    <w:link w:val="7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>
    <w:name w:val="Intense Quote Char"/>
    <w:link w:val="771"/>
    <w:uiPriority w:val="30"/>
    <w:rPr>
      <w:i/>
    </w:rPr>
  </w:style>
  <w:style w:type="character" w:styleId="773">
    <w:name w:val="Header Char"/>
    <w:basedOn w:val="918"/>
    <w:link w:val="929"/>
    <w:uiPriority w:val="99"/>
  </w:style>
  <w:style w:type="character" w:styleId="774">
    <w:name w:val="Footer Char"/>
    <w:basedOn w:val="918"/>
    <w:link w:val="931"/>
    <w:uiPriority w:val="99"/>
  </w:style>
  <w:style w:type="paragraph" w:styleId="775">
    <w:name w:val="Caption"/>
    <w:basedOn w:val="917"/>
    <w:next w:val="917"/>
    <w:link w:val="7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>
    <w:name w:val="Caption Char"/>
    <w:basedOn w:val="775"/>
    <w:link w:val="931"/>
    <w:uiPriority w:val="99"/>
  </w:style>
  <w:style w:type="table" w:styleId="777">
    <w:name w:val="Table Grid Light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>
    <w:name w:val="Grid Table 4 - Accent 1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6">
    <w:name w:val="Grid Table 4 - Accent 2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Grid Table 4 - Accent 3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8">
    <w:name w:val="Grid Table 4 - Accent 4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Grid Table 4 - Accent 5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0">
    <w:name w:val="Grid Table 4 - Accent 6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1">
    <w:name w:val="Grid Table 5 Dark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8">
    <w:name w:val="Grid Table 6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9">
    <w:name w:val="Grid Table 6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0">
    <w:name w:val="Grid Table 6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1">
    <w:name w:val="Grid Table 6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2">
    <w:name w:val="Grid Table 6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3">
    <w:name w:val="Grid Table 6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6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7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0">
    <w:name w:val="List Table 2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1">
    <w:name w:val="List Table 2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2">
    <w:name w:val="List Table 2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3">
    <w:name w:val="List Table 2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4">
    <w:name w:val="List Table 2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5">
    <w:name w:val="List Table 2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6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8">
    <w:name w:val="List Table 6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9">
    <w:name w:val="List Table 6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0">
    <w:name w:val="List Table 6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1">
    <w:name w:val="List Table 6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2">
    <w:name w:val="List Table 6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3">
    <w:name w:val="List Table 6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4">
    <w:name w:val="List Table 7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5">
    <w:name w:val="List Table 7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6">
    <w:name w:val="List Table 7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7">
    <w:name w:val="List Table 7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8">
    <w:name w:val="List Table 7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9">
    <w:name w:val="List Table 7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0">
    <w:name w:val="List Table 7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1">
    <w:name w:val="Lined - Accent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Lined - Accent 1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3">
    <w:name w:val="Lined - Accent 2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4">
    <w:name w:val="Lined - Accent 3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5">
    <w:name w:val="Lined - Accent 4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6">
    <w:name w:val="Lined - Accent 5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7">
    <w:name w:val="Lined - Accent 6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8">
    <w:name w:val="Bordered &amp; Lined - Accent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9">
    <w:name w:val="Bordered &amp; Lined - Accent 1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0">
    <w:name w:val="Bordered &amp; Lined - Accent 2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1">
    <w:name w:val="Bordered &amp; Lined - Accent 3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2">
    <w:name w:val="Bordered &amp; Lined - Accent 4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3">
    <w:name w:val="Bordered &amp; Lined - Accent 5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4">
    <w:name w:val="Bordered &amp; Lined - Accent 6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5">
    <w:name w:val="Bordered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6">
    <w:name w:val="Bordered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7">
    <w:name w:val="Bordered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8">
    <w:name w:val="Bordered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9">
    <w:name w:val="Bordered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0">
    <w:name w:val="Bordered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1">
    <w:name w:val="Bordered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2">
    <w:name w:val="Footnote Text Char"/>
    <w:link w:val="939"/>
    <w:uiPriority w:val="99"/>
    <w:rPr>
      <w:sz w:val="18"/>
    </w:rPr>
  </w:style>
  <w:style w:type="paragraph" w:styleId="903">
    <w:name w:val="endnote text"/>
    <w:basedOn w:val="917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>
    <w:name w:val="Endnote Text Char"/>
    <w:link w:val="903"/>
    <w:uiPriority w:val="99"/>
    <w:rPr>
      <w:sz w:val="20"/>
    </w:rPr>
  </w:style>
  <w:style w:type="character" w:styleId="905">
    <w:name w:val="endnote reference"/>
    <w:basedOn w:val="918"/>
    <w:uiPriority w:val="99"/>
    <w:semiHidden/>
    <w:unhideWhenUsed/>
    <w:rPr>
      <w:vertAlign w:val="superscript"/>
    </w:rPr>
  </w:style>
  <w:style w:type="paragraph" w:styleId="906">
    <w:name w:val="toc 1"/>
    <w:basedOn w:val="917"/>
    <w:next w:val="917"/>
    <w:uiPriority w:val="39"/>
    <w:unhideWhenUsed/>
    <w:pPr>
      <w:ind w:left="0" w:right="0" w:firstLine="0"/>
      <w:spacing w:after="57"/>
    </w:pPr>
  </w:style>
  <w:style w:type="paragraph" w:styleId="907">
    <w:name w:val="toc 2"/>
    <w:basedOn w:val="917"/>
    <w:next w:val="917"/>
    <w:uiPriority w:val="39"/>
    <w:unhideWhenUsed/>
    <w:pPr>
      <w:ind w:left="283" w:right="0" w:firstLine="0"/>
      <w:spacing w:after="57"/>
    </w:pPr>
  </w:style>
  <w:style w:type="paragraph" w:styleId="908">
    <w:name w:val="toc 3"/>
    <w:basedOn w:val="917"/>
    <w:next w:val="917"/>
    <w:uiPriority w:val="39"/>
    <w:unhideWhenUsed/>
    <w:pPr>
      <w:ind w:left="567" w:right="0" w:firstLine="0"/>
      <w:spacing w:after="57"/>
    </w:pPr>
  </w:style>
  <w:style w:type="paragraph" w:styleId="909">
    <w:name w:val="toc 4"/>
    <w:basedOn w:val="917"/>
    <w:next w:val="917"/>
    <w:uiPriority w:val="39"/>
    <w:unhideWhenUsed/>
    <w:pPr>
      <w:ind w:left="850" w:right="0" w:firstLine="0"/>
      <w:spacing w:after="57"/>
    </w:pPr>
  </w:style>
  <w:style w:type="paragraph" w:styleId="910">
    <w:name w:val="toc 5"/>
    <w:basedOn w:val="917"/>
    <w:next w:val="917"/>
    <w:uiPriority w:val="39"/>
    <w:unhideWhenUsed/>
    <w:pPr>
      <w:ind w:left="1134" w:right="0" w:firstLine="0"/>
      <w:spacing w:after="57"/>
    </w:pPr>
  </w:style>
  <w:style w:type="paragraph" w:styleId="911">
    <w:name w:val="toc 6"/>
    <w:basedOn w:val="917"/>
    <w:next w:val="917"/>
    <w:uiPriority w:val="39"/>
    <w:unhideWhenUsed/>
    <w:pPr>
      <w:ind w:left="1417" w:right="0" w:firstLine="0"/>
      <w:spacing w:after="57"/>
    </w:pPr>
  </w:style>
  <w:style w:type="paragraph" w:styleId="912">
    <w:name w:val="toc 7"/>
    <w:basedOn w:val="917"/>
    <w:next w:val="917"/>
    <w:uiPriority w:val="39"/>
    <w:unhideWhenUsed/>
    <w:pPr>
      <w:ind w:left="1701" w:right="0" w:firstLine="0"/>
      <w:spacing w:after="57"/>
    </w:pPr>
  </w:style>
  <w:style w:type="paragraph" w:styleId="913">
    <w:name w:val="toc 8"/>
    <w:basedOn w:val="917"/>
    <w:next w:val="917"/>
    <w:uiPriority w:val="39"/>
    <w:unhideWhenUsed/>
    <w:pPr>
      <w:ind w:left="1984" w:right="0" w:firstLine="0"/>
      <w:spacing w:after="57"/>
    </w:pPr>
  </w:style>
  <w:style w:type="paragraph" w:styleId="914">
    <w:name w:val="toc 9"/>
    <w:basedOn w:val="917"/>
    <w:next w:val="917"/>
    <w:uiPriority w:val="39"/>
    <w:unhideWhenUsed/>
    <w:pPr>
      <w:ind w:left="2268" w:right="0" w:firstLine="0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917"/>
    <w:next w:val="917"/>
    <w:uiPriority w:val="99"/>
    <w:unhideWhenUsed/>
    <w:pPr>
      <w:spacing w:after="0" w:afterAutospacing="0"/>
    </w:pPr>
  </w:style>
  <w:style w:type="paragraph" w:styleId="917" w:default="1">
    <w:name w:val="Normal"/>
    <w:qFormat/>
  </w:style>
  <w:style w:type="character" w:styleId="918" w:default="1">
    <w:name w:val="Default Paragraph Font"/>
    <w:uiPriority w:val="1"/>
    <w:semiHidden/>
    <w:unhideWhenUsed/>
  </w:style>
  <w:style w:type="table" w:styleId="9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0" w:default="1">
    <w:name w:val="No List"/>
    <w:uiPriority w:val="99"/>
    <w:semiHidden/>
    <w:unhideWhenUsed/>
  </w:style>
  <w:style w:type="table" w:styleId="921">
    <w:name w:val="Table Grid"/>
    <w:basedOn w:val="9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2">
    <w:name w:val="List Paragraph"/>
    <w:basedOn w:val="917"/>
    <w:link w:val="926"/>
    <w:uiPriority w:val="34"/>
    <w:qFormat/>
    <w:pPr>
      <w:contextualSpacing/>
      <w:ind w:left="720"/>
    </w:pPr>
  </w:style>
  <w:style w:type="character" w:styleId="923">
    <w:name w:val="Hyperlink"/>
    <w:basedOn w:val="918"/>
    <w:uiPriority w:val="99"/>
    <w:unhideWhenUsed/>
    <w:rPr>
      <w:color w:val="0563c1" w:themeColor="hyperlink"/>
      <w:u w:val="single"/>
    </w:rPr>
  </w:style>
  <w:style w:type="paragraph" w:styleId="924">
    <w:name w:val="Balloon Text"/>
    <w:basedOn w:val="917"/>
    <w:link w:val="92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5" w:customStyle="1">
    <w:name w:val="Текст выноски Знак"/>
    <w:basedOn w:val="918"/>
    <w:link w:val="924"/>
    <w:uiPriority w:val="99"/>
    <w:semiHidden/>
    <w:rPr>
      <w:rFonts w:ascii="Segoe UI" w:hAnsi="Segoe UI" w:cs="Segoe UI"/>
      <w:sz w:val="18"/>
      <w:szCs w:val="18"/>
    </w:rPr>
  </w:style>
  <w:style w:type="character" w:styleId="926" w:customStyle="1">
    <w:name w:val="Абзац списка Знак"/>
    <w:link w:val="922"/>
    <w:uiPriority w:val="34"/>
  </w:style>
  <w:style w:type="paragraph" w:styleId="927">
    <w:name w:val="Body Text"/>
    <w:basedOn w:val="917"/>
    <w:link w:val="928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Основной текст Знак"/>
    <w:basedOn w:val="918"/>
    <w:link w:val="92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9">
    <w:name w:val="Header"/>
    <w:basedOn w:val="917"/>
    <w:link w:val="93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0" w:customStyle="1">
    <w:name w:val="Верхний колонтитул Знак"/>
    <w:basedOn w:val="918"/>
    <w:link w:val="929"/>
    <w:uiPriority w:val="99"/>
  </w:style>
  <w:style w:type="paragraph" w:styleId="931">
    <w:name w:val="Footer"/>
    <w:basedOn w:val="917"/>
    <w:link w:val="93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basedOn w:val="918"/>
    <w:link w:val="931"/>
    <w:uiPriority w:val="99"/>
  </w:style>
  <w:style w:type="character" w:styleId="933">
    <w:name w:val="annotation reference"/>
    <w:basedOn w:val="918"/>
    <w:uiPriority w:val="99"/>
    <w:semiHidden/>
    <w:unhideWhenUsed/>
    <w:rPr>
      <w:sz w:val="16"/>
      <w:szCs w:val="16"/>
    </w:rPr>
  </w:style>
  <w:style w:type="paragraph" w:styleId="934">
    <w:name w:val="annotation text"/>
    <w:basedOn w:val="917"/>
    <w:link w:val="93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35" w:customStyle="1">
    <w:name w:val="Текст примечания Знак"/>
    <w:basedOn w:val="918"/>
    <w:link w:val="934"/>
    <w:uiPriority w:val="99"/>
    <w:semiHidden/>
    <w:rPr>
      <w:sz w:val="20"/>
      <w:szCs w:val="20"/>
    </w:rPr>
  </w:style>
  <w:style w:type="paragraph" w:styleId="936">
    <w:name w:val="annotation subject"/>
    <w:basedOn w:val="934"/>
    <w:next w:val="934"/>
    <w:link w:val="937"/>
    <w:uiPriority w:val="99"/>
    <w:semiHidden/>
    <w:unhideWhenUsed/>
    <w:rPr>
      <w:b/>
      <w:bCs/>
    </w:rPr>
  </w:style>
  <w:style w:type="character" w:styleId="937" w:customStyle="1">
    <w:name w:val="Тема примечания Знак"/>
    <w:basedOn w:val="935"/>
    <w:link w:val="936"/>
    <w:uiPriority w:val="99"/>
    <w:semiHidden/>
    <w:rPr>
      <w:b/>
      <w:bCs/>
      <w:sz w:val="20"/>
      <w:szCs w:val="20"/>
    </w:rPr>
  </w:style>
  <w:style w:type="paragraph" w:styleId="938">
    <w:name w:val="Revision"/>
    <w:hidden/>
    <w:uiPriority w:val="99"/>
    <w:semiHidden/>
    <w:pPr>
      <w:spacing w:after="0" w:line="240" w:lineRule="auto"/>
    </w:pPr>
  </w:style>
  <w:style w:type="paragraph" w:styleId="939">
    <w:name w:val="footnote text"/>
    <w:basedOn w:val="917"/>
    <w:link w:val="940"/>
    <w:qFormat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</w:style>
  <w:style w:type="character" w:styleId="940" w:customStyle="1">
    <w:name w:val="Текст сноски Знак"/>
    <w:basedOn w:val="918"/>
    <w:link w:val="939"/>
    <w:rPr>
      <w:rFonts w:ascii="Calibri" w:hAnsi="Calibri" w:eastAsia="Calibri" w:cs="Times New Roman"/>
      <w:sz w:val="20"/>
      <w:szCs w:val="20"/>
      <w:lang w:eastAsia="ru-RU"/>
    </w:rPr>
  </w:style>
  <w:style w:type="character" w:styleId="941">
    <w:name w:val="footnote reference"/>
    <w:qFormat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oleObject" Target="embeddings/oleObject1.bin"/><Relationship Id="rId14" Type="http://schemas.openxmlformats.org/officeDocument/2006/relationships/hyperlink" Target="https://www.rshb.ru/natural/deposit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9CF72-43FC-45B0-B5A0-21F29758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Харабрина Юлия Юрьевна</dc:creator>
  <cp:keywords/>
  <dc:description/>
  <cp:revision>14</cp:revision>
  <dcterms:created xsi:type="dcterms:W3CDTF">2024-06-11T09:53:00Z</dcterms:created>
  <dcterms:modified xsi:type="dcterms:W3CDTF">2025-06-18T15:09:33Z</dcterms:modified>
</cp:coreProperties>
</file>