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01</w:t>
            </w:r>
            <w:r>
              <w:rPr>
                <w:bCs/>
                <w:sz w:val="32"/>
                <w:szCs w:val="32"/>
              </w:rPr>
              <w:t xml:space="preserve">.10</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r>
            <w:r>
              <w:rPr>
                <w:color w:val="000000"/>
              </w:rPr>
              <w:t xml:space="preserve">Департамент транзакционного бизнеса (ДТБ)</w:t>
            </w:r>
            <w:r>
              <w:rPr>
                <w:color w:val="000000"/>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ind w:left="0" w:right="119" w:firstLine="0"/>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Fonts w:ascii="Calibri" w:hAnsi="Calibri"/>
          <w:szCs w:val="22"/>
        </w:rPr>
        <w:t xml:space="preserve">53</w:t>
      </w:r>
      <w:r>
        <w:rPr>
          <w:rFonts w:ascii="Calibri" w:hAnsi="Calibri"/>
          <w:szCs w:val="22"/>
        </w:rPr>
      </w:r>
      <w:r>
        <w:rPr>
          <w:rFonts w:ascii="Calibri" w:hAnsi="Calibri"/>
          <w:szCs w:val="22"/>
        </w:rPr>
      </w:r>
    </w:p>
    <w:p>
      <w:pPr>
        <w:pStyle w:val="1105"/>
        <w:ind w:left="0" w:right="119" w:firstLine="0"/>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53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54</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Fonts w:ascii="Calibri" w:hAnsi="Calibri"/>
          <w:szCs w:val="22"/>
        </w:rPr>
        <w:t xml:space="preserve">5</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Fonts w:ascii="Calibri" w:hAnsi="Calibri"/>
          <w:szCs w:val="22"/>
        </w:rPr>
        <w:t xml:space="preserve">6</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Fonts w:ascii="Calibri" w:hAnsi="Calibri"/>
          <w:szCs w:val="22"/>
        </w:rPr>
        <w:t xml:space="preserve">7</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Fonts w:ascii="Calibri" w:hAnsi="Calibri"/>
          <w:szCs w:val="22"/>
        </w:rPr>
        <w:t xml:space="preserve">9</w:t>
      </w:r>
      <w:r>
        <w:rPr>
          <w:rFonts w:ascii="Calibri" w:hAnsi="Calibri"/>
          <w:szCs w:val="22"/>
        </w:rPr>
      </w:r>
      <w:r>
        <w:rPr>
          <w:rFonts w:ascii="Calibri" w:hAnsi="Calibri"/>
          <w:szCs w:val="22"/>
        </w:rPr>
      </w:r>
    </w:p>
    <w:p>
      <w:pPr>
        <w:pStyle w:val="1105"/>
        <w:ind w:left="0" w:right="119" w:firstLine="0"/>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74</w:t>
      </w:r>
      <w:r>
        <w:rPr>
          <w:rStyle w:val="1106"/>
          <w:color w:val="000000"/>
          <w:szCs w:val="22"/>
          <w:u w:val="none"/>
        </w:rPr>
      </w:r>
      <w:r>
        <w:rPr>
          <w:rStyle w:val="1106"/>
          <w:color w:val="000000"/>
          <w:szCs w:val="22"/>
          <w:u w:val="none"/>
        </w:rPr>
      </w:r>
    </w:p>
    <w:p>
      <w:pPr>
        <w:pStyle w:val="1089"/>
        <w:ind w:left="0" w:right="-306" w:firstLine="0"/>
        <w:spacing w:line="360" w:lineRule="auto"/>
        <w:rPr>
          <w:sz w:val="22"/>
          <w:szCs w:val="22"/>
        </w:rPr>
      </w:pPr>
      <w:r>
        <w:rPr>
          <w:sz w:val="22"/>
          <w:szCs w:val="22"/>
        </w:rPr>
        <w:t xml:space="preserve">16. Операции с драгоценными металлами…………………………………………………………...................</w:t>
      </w:r>
      <w:r>
        <w:rPr>
          <w:sz w:val="22"/>
          <w:szCs w:val="22"/>
        </w:rPr>
        <w:t xml:space="preserve">.74</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5</w:t>
      </w:r>
      <w:r>
        <w:rPr>
          <w:sz w:val="22"/>
          <w:szCs w:val="22"/>
        </w:rPr>
      </w:r>
      <w:r>
        <w:rPr>
          <w:sz w:val="22"/>
          <w:szCs w:val="22"/>
        </w:rPr>
      </w:r>
    </w:p>
    <w:p>
      <w:pPr>
        <w:pStyle w:val="1089"/>
        <w:ind w:right="-166"/>
        <w:spacing w:line="360" w:lineRule="auto"/>
        <w:rPr>
          <w:sz w:val="22"/>
          <w:szCs w:val="22"/>
          <w:highlight w:val="none"/>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highlight w:val="none"/>
        </w:rPr>
        <w:t xml:space="preserve">7</w:t>
      </w:r>
      <w:r>
        <w:rPr>
          <w:sz w:val="22"/>
          <w:szCs w:val="22"/>
          <w:highlight w:val="none"/>
        </w:rPr>
      </w:r>
      <w:r>
        <w:rPr>
          <w:sz w:val="22"/>
          <w:szCs w:val="22"/>
          <w:highlight w:val="none"/>
        </w:rPr>
      </w:r>
    </w:p>
    <w:p>
      <w:pPr>
        <w:pStyle w:val="1089"/>
        <w:ind w:right="-166"/>
        <w:spacing w:line="360" w:lineRule="auto"/>
        <w:rPr>
          <w:sz w:val="22"/>
          <w:szCs w:val="22"/>
        </w:rPr>
      </w:pPr>
      <w:r>
        <w:rPr>
          <w:sz w:val="22"/>
          <w:szCs w:val="22"/>
        </w:rPr>
        <w:t xml:space="preserve">19. </w:t>
      </w:r>
      <w:r>
        <w:rPr>
          <w:sz w:val="22"/>
          <w:szCs w:val="22"/>
        </w:rPr>
        <w:t xml:space="preserve">Тарифы комиссионного вознаграждения на услугу "Торговый эквайринг"</w:t>
      </w:r>
      <w:r>
        <w:rPr>
          <w:sz w:val="22"/>
          <w:szCs w:val="22"/>
        </w:rPr>
        <w:t xml:space="preserve">..............................................78</w:t>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after="40"/>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3"/>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p>
            <w:pPr>
              <w:jc w:val="both"/>
              <w:spacing w:before="12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rPr>
          <w:trHeight w:val="676"/>
        </w:trPr>
        <w:tc>
          <w:tcPr>
            <w:tcW w:w="12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88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203"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676"/>
        </w:trPr>
        <w:tc>
          <w:tcPr>
            <w:tcW w:w="12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88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203"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pStyle w:val="1103"/>
        <w:jc w:val="both"/>
        <w:rPr>
          <w:bCs/>
          <w:i/>
          <w:sz w:val="16"/>
          <w:szCs w:val="16"/>
          <w14:ligatures w14:val="none"/>
        </w:rPr>
      </w:pPr>
      <w:r>
        <w:rPr>
          <w:i/>
          <w:sz w:val="16"/>
          <w:szCs w:val="16"/>
          <w:highlight w:val="none"/>
        </w:rPr>
      </w:r>
      <w:r>
        <w:rPr>
          <w:rFonts w:eastAsia="Calibri"/>
          <w:color w:val="000000"/>
          <w:sz w:val="20"/>
          <w:szCs w:val="20"/>
          <w:highlight w:val="none"/>
          <w:lang w:eastAsia="en-US"/>
        </w:rPr>
        <w:t xml:space="preserve">** </w:t>
      </w:r>
      <w:r>
        <w:rPr>
          <w:i/>
          <w:iCs/>
          <w:sz w:val="16"/>
          <w:szCs w:val="16"/>
          <w:lang w:eastAsia="ru-RU"/>
        </w:rPr>
        <w:t xml:space="preserve">Комиссия не взимается в случае если Контролирующая организация является специализированным депозитарием</w:t>
      </w:r>
      <w:r>
        <w:rPr>
          <w:i/>
          <w:iCs/>
          <w:sz w:val="16"/>
          <w:szCs w:val="16"/>
          <w:lang w:eastAsia="ru-RU"/>
        </w:rPr>
        <w:t xml:space="preserve">, осуществляющим контроль</w:t>
      </w:r>
      <w:r>
        <w:rPr>
          <w:i/>
          <w:iCs/>
          <w:sz w:val="16"/>
          <w:szCs w:val="16"/>
          <w:lang w:eastAsia="ru-RU"/>
        </w:rPr>
        <w:t xml:space="preserve"> </w:t>
      </w:r>
      <w:r>
        <w:rPr>
          <w:i/>
          <w:iCs/>
          <w:sz w:val="16"/>
          <w:szCs w:val="16"/>
          <w:lang w:eastAsia="ru-RU"/>
        </w:rPr>
        <w:t xml:space="preserve">за платежами </w:t>
      </w:r>
      <w:r>
        <w:rPr>
          <w:i/>
          <w:iCs/>
          <w:sz w:val="16"/>
          <w:szCs w:val="16"/>
          <w:lang w:eastAsia="ru-RU"/>
        </w:rPr>
        <w:t xml:space="preserve">в соответствии с Федеральным законом от 29.11.2001 № 156-ФЗ </w:t>
      </w:r>
      <w:r>
        <w:rPr>
          <w:i/>
          <w:iCs/>
          <w:sz w:val="16"/>
          <w:szCs w:val="16"/>
          <w:lang w:eastAsia="ru-RU"/>
        </w:rPr>
        <w:t xml:space="preserve">«Об инвестиционных фондах»</w:t>
      </w:r>
      <w:r>
        <w:rPr>
          <w:i/>
          <w:iCs/>
          <w:sz w:val="16"/>
          <w:szCs w:val="16"/>
          <w:lang w:eastAsia="en-US"/>
        </w:rPr>
        <w:t xml:space="preserve"> или </w:t>
      </w:r>
      <w:r>
        <w:rPr>
          <w:i/>
          <w:iCs/>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i/>
          <w:iCs/>
          <w:sz w:val="16"/>
          <w:szCs w:val="16"/>
          <w:lang w:eastAsia="en-US"/>
        </w:rPr>
        <w:t xml:space="preserve"> </w:t>
      </w:r>
      <w:r>
        <w:rPr>
          <w:i/>
          <w:iCs/>
          <w:sz w:val="16"/>
          <w:szCs w:val="16"/>
          <w:lang w:eastAsia="en-US"/>
        </w:rPr>
        <w:t xml:space="preserve">либо иным лицом, осуществляющим контроль за платежами в силу требований законодательства Российской Федерации</w:t>
      </w:r>
      <w:r>
        <w:rPr>
          <w:i/>
          <w:iCs/>
          <w:sz w:val="16"/>
          <w:szCs w:val="16"/>
          <w:lang w:eastAsia="en-US"/>
        </w:rPr>
        <w:t xml:space="preserve">.</w:t>
      </w:r>
      <w:r>
        <w:rPr>
          <w:i/>
          <w:iCs/>
          <w:sz w:val="16"/>
          <w:szCs w:val="16"/>
        </w:rPr>
      </w:r>
      <w:r>
        <w:rPr>
          <w:bCs/>
          <w:i/>
          <w:sz w:val="16"/>
          <w:szCs w:val="16"/>
          <w14:ligatures w14:val="none"/>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 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  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sz w:val="16"/>
          <w:szCs w:val="16"/>
          <w:highlight w:val="none"/>
        </w:rPr>
      </w:r>
      <w:r>
        <w:rPr>
          <w:bCs/>
          <w:i/>
          <w:sz w:val="16"/>
          <w:szCs w:val="16"/>
          <w:highlight w:val="none"/>
        </w:rPr>
      </w:r>
    </w:p>
    <w:p>
      <w:pPr>
        <w:jc w:val="both"/>
        <w:rPr>
          <w:i/>
          <w:iCs/>
          <w:sz w:val="16"/>
          <w:szCs w:val="16"/>
          <w14:ligatures w14:val="none"/>
        </w:rPr>
      </w:pPr>
      <w:r>
        <w:rPr>
          <w:i/>
          <w:iCs/>
          <w:sz w:val="16"/>
          <w:szCs w:val="16"/>
        </w:rPr>
      </w:r>
      <w:r>
        <w:rPr>
          <w:i/>
          <w:iCs/>
          <w:sz w:val="16"/>
          <w:szCs w:val="16"/>
          <w:lang w:eastAsia="en-US"/>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w:t>
      </w:r>
      <w:r>
        <w:rPr>
          <w:i/>
          <w:iCs/>
          <w:sz w:val="16"/>
          <w:szCs w:val="16"/>
          <w:lang w:eastAsia="en-US"/>
        </w:rPr>
        <w:t xml:space="preserve">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14:ligatures w14:val="none"/>
        </w:rPr>
      </w:r>
      <w:r>
        <w:rPr>
          <w:i/>
          <w:iCs/>
          <w:sz w:val="16"/>
          <w:szCs w:val="16"/>
          <w14:ligatures w14:val="none"/>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ind w:left="-51" w:firstLine="51"/>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10.</w:t>
            </w:r>
            <w:r>
              <w:rPr>
                <w:rFonts w:ascii="Times New Roman" w:hAnsi="Times New Roman"/>
                <w:bCs/>
                <w:sz w:val="20"/>
                <w:szCs w:val="20"/>
                <w:highlight w:val="none"/>
                <w:lang w:val="en-US"/>
              </w:rPr>
              <w:t xml:space="preserve">1</w:t>
            </w:r>
            <w:r>
              <w:rPr>
                <w:rFonts w:ascii="Times New Roman" w:hAnsi="Times New Roman"/>
                <w:bCs/>
                <w:sz w:val="20"/>
                <w:szCs w:val="20"/>
                <w:highlight w:val="none"/>
              </w:rPr>
              <w:t xml:space="preserve">.</w:t>
            </w:r>
            <w:r>
              <w:rPr>
                <w:rFonts w:ascii="Times New Roman" w:hAnsi="Times New Roman"/>
                <w:bCs/>
                <w:sz w:val="20"/>
                <w:szCs w:val="20"/>
                <w:highlight w:val="none"/>
                <w:lang w:val="en-US"/>
              </w:rPr>
              <w:t xml:space="preserve">1</w:t>
            </w:r>
            <w:r>
              <w:rPr>
                <w:rFonts w:ascii="Times New Roman" w:hAnsi="Times New Roman"/>
                <w:bCs/>
                <w:sz w:val="20"/>
                <w:szCs w:val="20"/>
                <w:highlight w:val="none"/>
              </w:rPr>
              <w:t xml:space="preserve">.</w:t>
            </w:r>
            <w:r>
              <w:rPr>
                <w:rFonts w:ascii="Times New Roman" w:hAnsi="Times New Roman"/>
                <w:bCs/>
                <w:sz w:val="20"/>
                <w:szCs w:val="20"/>
                <w:highlight w:val="none"/>
              </w:rPr>
            </w:r>
            <w:r>
              <w:rPr>
                <w:rFonts w:ascii="Times New Roman" w:hAnsi="Times New Roman"/>
                <w:bCs/>
                <w:sz w:val="20"/>
                <w:szCs w:val="20"/>
                <w:highlight w:val="non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ind w:left="-51" w:firstLine="51"/>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highlight w:val="none"/>
              </w:rPr>
            </w:r>
            <w:r>
              <w:rPr>
                <w:rFonts w:ascii="Times New Roman" w:hAnsi="Times New Roman"/>
                <w:bCs/>
                <w:sz w:val="20"/>
                <w:szCs w:val="20"/>
                <w:highlight w:val="none"/>
              </w:rPr>
            </w:r>
          </w:p>
          <w:p>
            <w:pPr>
              <w:ind w:left="176"/>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 с доставкой в подразделение Банка*;</w:t>
            </w:r>
            <w:r>
              <w:rPr>
                <w:rFonts w:ascii="Times New Roman" w:hAnsi="Times New Roman"/>
                <w:bCs/>
                <w:sz w:val="20"/>
                <w:szCs w:val="20"/>
                <w:highlight w:val="none"/>
              </w:rPr>
            </w:r>
            <w:r>
              <w:rPr>
                <w:rFonts w:ascii="Times New Roman" w:hAnsi="Times New Roman"/>
                <w:bCs/>
                <w:sz w:val="20"/>
                <w:szCs w:val="20"/>
                <w:highlight w:val="none"/>
              </w:rPr>
            </w:r>
          </w:p>
          <w:p>
            <w:pPr>
              <w:ind w:left="34" w:hanging="34"/>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 с доставкой в другую кредитную организацию</w:t>
            </w:r>
            <w:r>
              <w:rPr>
                <w:rFonts w:ascii="Times New Roman" w:hAnsi="Times New Roman"/>
                <w:bCs/>
                <w:sz w:val="20"/>
                <w:szCs w:val="20"/>
                <w:highlight w:val="none"/>
              </w:rPr>
            </w:r>
            <w:r>
              <w:rPr>
                <w:rFonts w:ascii="Times New Roman" w:hAnsi="Times New Roman"/>
                <w:bCs/>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 0,15%  </w:t>
            </w:r>
            <w:r>
              <w:rPr>
                <w:rFonts w:ascii="Times New Roman" w:hAnsi="Times New Roman"/>
                <w:sz w:val="20"/>
                <w:szCs w:val="20"/>
                <w:highlight w:val="none"/>
              </w:rPr>
              <w:t xml:space="preserve">от суммы </w:t>
            </w:r>
            <w:r>
              <w:rPr>
                <w:rFonts w:ascii="Times New Roman" w:hAnsi="Times New Roman"/>
                <w:sz w:val="20"/>
                <w:szCs w:val="20"/>
                <w:highlight w:val="none"/>
              </w:rPr>
            </w:r>
            <w:r>
              <w:rPr>
                <w:rFonts w:ascii="Times New Roman" w:hAnsi="Times New Roman"/>
                <w:sz w:val="20"/>
                <w:szCs w:val="20"/>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до 600 000,00** руб. (включительно),</w:t>
            </w:r>
            <w:r>
              <w:rPr>
                <w:rFonts w:ascii="Times New Roman" w:hAnsi="Times New Roman"/>
                <w:sz w:val="20"/>
                <w:szCs w:val="20"/>
                <w:highlight w:val="none"/>
              </w:rPr>
            </w:r>
            <w:r>
              <w:rPr>
                <w:rFonts w:ascii="Times New Roman" w:hAnsi="Times New Roman"/>
                <w:sz w:val="20"/>
                <w:szCs w:val="20"/>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минимум </w:t>
            </w:r>
            <w:r>
              <w:rPr>
                <w:rFonts w:ascii="Times New Roman" w:hAnsi="Times New Roman"/>
                <w:b/>
                <w:bCs/>
                <w:sz w:val="20"/>
                <w:szCs w:val="20"/>
                <w:highlight w:val="none"/>
              </w:rPr>
              <w:t xml:space="preserve">550 </w:t>
            </w:r>
            <w:r>
              <w:rPr>
                <w:rFonts w:ascii="Times New Roman" w:hAnsi="Times New Roman"/>
                <w:sz w:val="20"/>
                <w:szCs w:val="20"/>
                <w:highlight w:val="none"/>
              </w:rPr>
              <w:t xml:space="preserve">руб.;</w:t>
            </w:r>
            <w:r>
              <w:rPr>
                <w:rFonts w:ascii="Times New Roman" w:hAnsi="Times New Roman"/>
                <w:sz w:val="20"/>
                <w:szCs w:val="20"/>
                <w:highlight w:val="none"/>
              </w:rPr>
            </w:r>
            <w:r>
              <w:rPr>
                <w:rFonts w:ascii="Times New Roman" w:hAnsi="Times New Roman"/>
                <w:sz w:val="20"/>
                <w:szCs w:val="20"/>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 0,10%  </w:t>
            </w:r>
            <w:r>
              <w:rPr>
                <w:rFonts w:ascii="Times New Roman" w:hAnsi="Times New Roman"/>
                <w:sz w:val="20"/>
                <w:szCs w:val="20"/>
                <w:highlight w:val="none"/>
              </w:rPr>
              <w:t xml:space="preserve">от суммы </w:t>
            </w:r>
            <w:r>
              <w:rPr>
                <w:rFonts w:ascii="Times New Roman" w:hAnsi="Times New Roman"/>
                <w:sz w:val="20"/>
                <w:szCs w:val="20"/>
                <w:highlight w:val="none"/>
              </w:rPr>
              <w:br/>
              <w:t xml:space="preserve">с 600 000,01** руб. до 5 000 000,00* руб. (включительно); </w:t>
            </w:r>
            <w:r>
              <w:rPr>
                <w:rFonts w:ascii="Times New Roman" w:hAnsi="Times New Roman"/>
                <w:sz w:val="20"/>
                <w:szCs w:val="20"/>
                <w:highlight w:val="none"/>
              </w:rPr>
            </w:r>
            <w:r>
              <w:rPr>
                <w:rFonts w:ascii="Times New Roman" w:hAnsi="Times New Roman"/>
                <w:sz w:val="20"/>
                <w:szCs w:val="20"/>
                <w:highlight w:val="none"/>
              </w:rPr>
            </w:r>
          </w:p>
          <w:p>
            <w:pPr>
              <w:ind w:left="-51" w:firstLine="51"/>
              <w:jc w:val="center"/>
              <w:spacing w:after="0" w:line="240" w:lineRule="auto"/>
              <w:rPr>
                <w:rFonts w:ascii="Times New Roman" w:hAnsi="Times New Roman"/>
                <w:bCs/>
                <w:highlight w:val="none"/>
              </w:rPr>
            </w:pPr>
            <w:r>
              <w:rPr>
                <w:rFonts w:ascii="Times New Roman" w:hAnsi="Times New Roman"/>
                <w:sz w:val="20"/>
                <w:szCs w:val="20"/>
                <w:highlight w:val="none"/>
              </w:rPr>
              <w:t xml:space="preserve"> 0,05%  </w:t>
            </w:r>
            <w:r>
              <w:rPr>
                <w:rFonts w:ascii="Times New Roman" w:hAnsi="Times New Roman"/>
                <w:sz w:val="20"/>
                <w:szCs w:val="20"/>
                <w:highlight w:val="none"/>
              </w:rPr>
              <w:t xml:space="preserve">от суммы с 5 000 000,01** руб. и выше»</w:t>
            </w:r>
            <w:r>
              <w:rPr>
                <w:rFonts w:ascii="Times New Roman" w:hAnsi="Times New Roman"/>
                <w:bCs/>
                <w:sz w:val="20"/>
                <w:szCs w:val="20"/>
                <w:highlight w:val="none"/>
              </w:rPr>
            </w:r>
            <w:r>
              <w:rPr>
                <w:rFonts w:ascii="Times New Roman" w:hAnsi="Times New Roman"/>
                <w:bCs/>
                <w:sz w:val="20"/>
                <w:szCs w:val="20"/>
                <w:highlight w:val="none"/>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jc w:val="both"/>
              <w:spacing w:before="40" w:line="240" w:lineRule="auto"/>
              <w:tabs>
                <w:tab w:val="left" w:pos="2551" w:leader="none"/>
              </w:tabs>
              <w:rPr>
                <w:rFonts w:ascii="Times New Roman" w:hAnsi="Times New Roman"/>
                <w:bCs/>
                <w:sz w:val="24"/>
                <w:szCs w:val="24"/>
                <w:highlight w:val="none"/>
              </w:rPr>
            </w:pPr>
            <w:r>
              <w:rPr>
                <w:rFonts w:ascii="Times New Roman" w:hAnsi="Times New Roman"/>
                <w:bCs/>
                <w:sz w:val="20"/>
                <w:szCs w:val="20"/>
                <w:highlight w:val="none"/>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highlight w:val="none"/>
              </w:rPr>
            </w:r>
            <w:r>
              <w:rPr>
                <w:rFonts w:ascii="Times New Roman" w:hAnsi="Times New Roman"/>
                <w:bCs/>
                <w:sz w:val="20"/>
                <w:szCs w:val="20"/>
                <w:highlight w:val="none"/>
              </w:rPr>
            </w:r>
          </w:p>
          <w:p>
            <w:pPr>
              <w:jc w:val="both"/>
              <w:spacing w:before="40" w:line="240" w:lineRule="auto"/>
              <w:rPr>
                <w:rFonts w:ascii="Times New Roman" w:hAnsi="Times New Roman"/>
                <w:bCs/>
                <w:highlight w:val="none"/>
              </w:rPr>
            </w:pPr>
            <w:r>
              <w:rPr>
                <w:rFonts w:ascii="Times New Roman" w:hAnsi="Times New Roman"/>
                <w:bCs/>
                <w:sz w:val="20"/>
                <w:szCs w:val="20"/>
                <w:highlight w:val="none"/>
              </w:rPr>
              <w:t xml:space="preserve">Комиссия включает НДС.</w:t>
            </w:r>
            <w:r>
              <w:rPr>
                <w:rFonts w:ascii="Times New Roman" w:hAnsi="Times New Roman"/>
                <w:bCs/>
                <w:sz w:val="20"/>
                <w:szCs w:val="20"/>
                <w:highlight w:val="none"/>
              </w:rPr>
            </w:r>
            <w:r>
              <w:rPr>
                <w:rFonts w:ascii="Times New Roman" w:hAnsi="Times New Roman"/>
                <w:bCs/>
                <w:sz w:val="20"/>
                <w:szCs w:val="20"/>
                <w:highlight w:val="none"/>
              </w:rPr>
            </w:r>
          </w:p>
          <w:p>
            <w:pPr>
              <w:ind w:left="-52"/>
              <w:jc w:val="both"/>
              <w:spacing w:before="40" w:line="240" w:lineRule="auto"/>
              <w:rPr>
                <w:rFonts w:ascii="Times New Roman" w:hAnsi="Times New Roman"/>
                <w:bCs/>
                <w:sz w:val="24"/>
                <w:szCs w:val="24"/>
                <w:highlight w:val="none"/>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b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ind w:left="-51" w:firstLine="51"/>
              <w:jc w:val="center"/>
              <w:spacing w:before="40" w:after="40"/>
              <w:rPr>
                <w:bCs/>
                <w:sz w:val="28"/>
                <w:szCs w:val="28"/>
                <w:highlight w:val="none"/>
              </w:rPr>
            </w:pPr>
            <w:r>
              <w:rPr>
                <w:bCs/>
                <w:sz w:val="20"/>
                <w:szCs w:val="20"/>
                <w:highlight w:val="none"/>
              </w:rPr>
              <w:t xml:space="preserve">10.1.2.</w:t>
            </w:r>
            <w:r>
              <w:rPr>
                <w:bCs/>
                <w:sz w:val="20"/>
                <w:szCs w:val="20"/>
                <w:highlight w:val="none"/>
              </w:rPr>
            </w:r>
            <w:r>
              <w:rPr>
                <w:bCs/>
                <w:sz w:val="20"/>
                <w:szCs w:val="20"/>
                <w:highlight w:val="non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ind w:left="-51" w:firstLine="51"/>
              <w:spacing w:before="40" w:after="40"/>
              <w:rPr>
                <w:bCs/>
                <w:sz w:val="28"/>
                <w:szCs w:val="28"/>
                <w:highlight w:val="none"/>
              </w:rPr>
            </w:pPr>
            <w:r>
              <w:rPr>
                <w:bCs/>
                <w:sz w:val="20"/>
                <w:szCs w:val="20"/>
                <w:highlight w:val="none"/>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r>
              <w:rPr>
                <w:bCs/>
                <w:sz w:val="20"/>
                <w:szCs w:val="20"/>
                <w:highlight w:val="none"/>
              </w:rPr>
              <w:t xml:space="preserve">Россельхозбанк</w:t>
            </w:r>
            <w:r>
              <w:rPr>
                <w:bCs/>
                <w:sz w:val="20"/>
                <w:szCs w:val="20"/>
                <w:highlight w:val="none"/>
              </w:rPr>
              <w:t xml:space="preserve">», с переводом денежных средств на счет клиента, открытый в другой кредитной организации</w:t>
            </w:r>
            <w:r>
              <w:rPr>
                <w:bCs/>
                <w:sz w:val="20"/>
                <w:szCs w:val="20"/>
                <w:highlight w:val="none"/>
              </w:rPr>
            </w:r>
            <w:r>
              <w:rPr>
                <w:bCs/>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ind w:left="-51" w:firstLine="51"/>
              <w:jc w:val="center"/>
              <w:spacing w:before="40" w:after="40"/>
              <w:rPr>
                <w:sz w:val="28"/>
                <w:szCs w:val="28"/>
                <w:highlight w:val="none"/>
              </w:rPr>
            </w:pPr>
            <w:r>
              <w:rPr>
                <w:sz w:val="20"/>
                <w:szCs w:val="20"/>
                <w:highlight w:val="none"/>
              </w:rPr>
              <w:t xml:space="preserve">0,2% от суммы,</w:t>
            </w:r>
            <w:r>
              <w:rPr>
                <w:sz w:val="20"/>
                <w:szCs w:val="20"/>
                <w:highlight w:val="none"/>
              </w:rPr>
            </w:r>
            <w:r>
              <w:rPr>
                <w:sz w:val="20"/>
                <w:szCs w:val="20"/>
                <w:highlight w:val="none"/>
              </w:rPr>
            </w:r>
          </w:p>
          <w:p>
            <w:pPr>
              <w:ind w:left="-51" w:firstLine="51"/>
              <w:jc w:val="center"/>
              <w:spacing w:before="40" w:after="40"/>
              <w:rPr>
                <w:sz w:val="28"/>
                <w:szCs w:val="28"/>
                <w:highlight w:val="none"/>
              </w:rPr>
            </w:pPr>
            <w:r>
              <w:rPr>
                <w:sz w:val="20"/>
                <w:szCs w:val="20"/>
                <w:highlight w:val="none"/>
              </w:rPr>
              <w:t xml:space="preserve">минимум </w:t>
            </w:r>
            <w:r>
              <w:rPr>
                <w:sz w:val="20"/>
                <w:szCs w:val="20"/>
                <w:highlight w:val="none"/>
              </w:rPr>
            </w:r>
            <w:r>
              <w:rPr>
                <w:sz w:val="20"/>
                <w:szCs w:val="20"/>
                <w:highlight w:val="none"/>
              </w:rPr>
            </w:r>
          </w:p>
          <w:p>
            <w:pPr>
              <w:ind w:left="-51" w:firstLine="51"/>
              <w:jc w:val="center"/>
              <w:spacing w:before="40" w:after="40"/>
              <w:rPr>
                <w:sz w:val="28"/>
                <w:szCs w:val="28"/>
                <w:highlight w:val="none"/>
              </w:rPr>
            </w:pPr>
            <w:r>
              <w:rPr>
                <w:sz w:val="20"/>
                <w:szCs w:val="20"/>
                <w:highlight w:val="none"/>
              </w:rPr>
              <w:t xml:space="preserve">300 руб.</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ind w:left="-52" w:firstLine="52"/>
              <w:jc w:val="both"/>
              <w:spacing w:before="40" w:after="40"/>
              <w:rPr>
                <w:bCs/>
                <w:sz w:val="28"/>
                <w:szCs w:val="28"/>
                <w:highlight w:val="none"/>
              </w:rPr>
            </w:pPr>
            <w:r>
              <w:rPr>
                <w:bCs/>
                <w:sz w:val="20"/>
                <w:szCs w:val="20"/>
                <w:highlight w:val="none"/>
              </w:rPr>
              <w:t xml:space="preserve">Комиссия взимается                от суммы денежной наличности, поступившей по одному сопроводительному документу</w:t>
            </w:r>
            <w:r>
              <w:rPr>
                <w:bCs/>
                <w:sz w:val="20"/>
                <w:szCs w:val="20"/>
                <w:highlight w:val="none"/>
              </w:rPr>
            </w:r>
            <w:r>
              <w:rPr>
                <w:b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t xml:space="preserve">№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white"/>
        </w:rPr>
        <w:outlineLvl w:val="5"/>
      </w:pPr>
      <w:r>
        <w:rPr>
          <w:sz w:val="20"/>
          <w:szCs w:val="20"/>
          <w:highlight w:val="white"/>
        </w:rPr>
      </w:r>
      <w:r>
        <w:rPr>
          <w:sz w:val="20"/>
          <w:szCs w:val="20"/>
          <w:highlight w:val="white"/>
        </w:rPr>
        <w:t xml:space="preserve">-</w:t>
      </w:r>
      <w:r>
        <w:rPr>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sz w:val="20"/>
          <w:szCs w:val="20"/>
          <w:highlight w:val="white"/>
        </w:rPr>
        <w:t xml:space="preserve">ры в форме льготного кредитования» (далее – Решение № 2070-Р), принятого в соответствии с ППРФ от 25.10.2023 № 1780</w:t>
      </w:r>
      <w:r>
        <w:rPr>
          <w:sz w:val="20"/>
          <w:szCs w:val="20"/>
          <w:highlight w:val="white"/>
        </w:rPr>
      </w:r>
      <w:r>
        <w:rPr>
          <w:sz w:val="20"/>
          <w:szCs w:val="20"/>
          <w:highlight w:val="whit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p>
        </w:tc>
      </w:tr>
      <w:tr>
        <w:tblPrEx/>
        <w:trPr>
          <w:trHeight w:val="583"/>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iCs/>
                <w:sz w:val="20"/>
                <w:szCs w:val="20"/>
                <w:highlight w:val="none"/>
              </w:rPr>
            </w:r>
            <w:r>
              <w:rPr>
                <w:iCs/>
                <w:sz w:val="20"/>
                <w:szCs w:val="20"/>
                <w:highlight w:val="none"/>
              </w:rPr>
            </w:r>
          </w:p>
        </w:tc>
      </w:tr>
      <w:tr>
        <w:tblPrEx/>
        <w:trPr>
          <w:trHeight w:val="217"/>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17</w:t>
            </w:r>
            <w:r>
              <w:rPr>
                <w:bCs/>
                <w:iCs/>
                <w:sz w:val="18"/>
                <w:szCs w:val="18"/>
              </w:rPr>
            </w:r>
            <w:r>
              <w:rPr>
                <w:bCs/>
                <w:iCs/>
                <w:sz w:val="18"/>
                <w:szCs w:val="18"/>
              </w:rPr>
            </w:r>
          </w:p>
        </w:tc>
        <w:tc>
          <w:tcPr>
            <w:tcW w:w="4570"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67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rPr>
                <w:bCs/>
                <w:iCs/>
                <w:sz w:val="20"/>
                <w:szCs w:val="20"/>
                <w:highlight w:val="white"/>
              </w:rPr>
              <w:outlineLvl w:val="5"/>
            </w:pPr>
            <w:r>
              <w:rPr>
                <w:bCs/>
                <w:iCs/>
                <w:sz w:val="20"/>
                <w:szCs w:val="20"/>
                <w:highlight w:val="white"/>
              </w:rPr>
            </w:r>
            <w:r>
              <w:rPr>
                <w:bCs/>
                <w:iCs/>
                <w:sz w:val="20"/>
                <w:szCs w:val="20"/>
                <w:highlight w:val="white"/>
              </w:rPr>
            </w:r>
            <w:r>
              <w:rPr>
                <w:bCs/>
                <w:iCs/>
                <w:sz w:val="20"/>
                <w:szCs w:val="20"/>
                <w:highlight w:val="whit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highlight w:val="none"/>
        </w:rPr>
      </w:pPr>
      <w:r>
        <w:rPr>
          <w:sz w:val="20"/>
          <w:szCs w:val="20"/>
        </w:rPr>
        <w:t xml:space="preserve">* Срок действия – до 31.12.2025 (включительно).</w:t>
      </w:r>
      <w:r>
        <w:rPr>
          <w:sz w:val="20"/>
          <w:szCs w:val="20"/>
          <w:highlight w:val="none"/>
        </w:rPr>
      </w:r>
      <w:r>
        <w:rPr>
          <w:sz w:val="20"/>
          <w:szCs w:val="20"/>
          <w:highlight w:val="none"/>
        </w:rPr>
      </w:r>
    </w:p>
    <w:p>
      <w:pPr>
        <w:jc w:val="both"/>
        <w:tabs>
          <w:tab w:val="left" w:pos="284" w:leader="none"/>
          <w:tab w:val="left" w:pos="993" w:leader="none"/>
        </w:tabs>
        <w:rPr>
          <w:sz w:val="20"/>
          <w:szCs w:val="20"/>
        </w:rPr>
      </w:pPr>
      <w:r>
        <w:rPr>
          <w:sz w:val="20"/>
          <w:szCs w:val="20"/>
        </w:rPr>
      </w:r>
      <w:r>
        <w:rPr>
          <w:sz w:val="20"/>
          <w:szCs w:val="20"/>
        </w:rPr>
      </w:r>
      <w:r>
        <w:rPr>
          <w:sz w:val="20"/>
          <w:szCs w:val="20"/>
        </w:rPr>
      </w:r>
    </w:p>
    <w:p>
      <w:pPr>
        <w:jc w:val="both"/>
        <w:tabs>
          <w:tab w:val="left" w:pos="284" w:leader="none"/>
          <w:tab w:val="left" w:pos="993" w:leader="none"/>
        </w:tabs>
        <w:rPr>
          <w:sz w:val="20"/>
          <w:szCs w:val="20"/>
          <w:highlight w:val="none"/>
        </w:rPr>
        <w:sectPr>
          <w:headerReference w:type="default" r:id="rId9"/>
          <w:headerReference w:type="first" r:id="rId10"/>
          <w:footnotePr/>
          <w:endnotePr/>
          <w:type w:val="nextPage"/>
          <w:pgSz w:w="11906" w:h="16838" w:orient="portrait"/>
          <w:pgMar w:top="720" w:right="720" w:bottom="1276" w:left="1287" w:header="709" w:footer="709" w:gutter="0"/>
          <w:cols w:num="1" w:sep="0" w:space="708" w:equalWidth="1"/>
          <w:docGrid w:linePitch="360"/>
          <w:titlePg/>
        </w:sectPr>
      </w:pPr>
      <w:r>
        <w:rPr>
          <w:sz w:val="20"/>
          <w:szCs w:val="20"/>
          <w:highlight w:val="none"/>
        </w:rPr>
      </w:r>
      <w:r>
        <w:rPr>
          <w:sz w:val="20"/>
          <w:szCs w:val="20"/>
          <w:highlight w:val="none"/>
        </w:rPr>
      </w:r>
      <w:r>
        <w:rPr>
          <w:sz w:val="20"/>
          <w:szCs w:val="20"/>
          <w:highlight w:val="none"/>
        </w:rPr>
      </w:r>
    </w:p>
    <w:tbl>
      <w:tblPr>
        <w:tblStyle w:val="945"/>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276"/>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321"/>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r>
            <w:r/>
          </w:p>
        </w:tc>
      </w:tr>
      <w:tr>
        <w:tblPrEx/>
        <w:trPr>
          <w:trHeight w:val="709"/>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0"/>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Calibri" w:hAnsi="Calibri" w:eastAsia="Calibri" w:cs="Calibri"/>
                <w:b w:val="0"/>
                <w:i w:val="0"/>
                <w:strike w:val="0"/>
                <w:color w:val="000000"/>
                <w:sz w:val="22"/>
                <w:u w:val="none"/>
                <w:vertAlign w:val="baseline"/>
              </w:rP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rPr>
                <w:sz w:val="22"/>
                <w:szCs w:val="22"/>
              </w:rPr>
            </w:pPr>
            <w:r>
              <w:rPr>
                <w:rFonts w:ascii="Times New Roman" w:hAnsi="Times New Roman" w:eastAsia="Times New Roman" w:cs="Times New Roman"/>
                <w:b/>
                <w:i w:val="0"/>
                <w:strike w:val="0"/>
                <w:color w:val="000000"/>
                <w:sz w:val="18"/>
                <w:szCs w:val="22"/>
                <w:u w:val="none"/>
                <w:vertAlign w:val="baseline"/>
              </w:rPr>
              <w:t xml:space="preserve">Наименование профиля деятельности Клиента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Государственные и коммунальные услуги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Фаст фуд</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Супермаркет</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АЗС</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Медицина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Аптеки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Образование</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Прочие</w:t>
            </w:r>
            <w:r>
              <w:rPr>
                <w:sz w:val="22"/>
                <w:szCs w:val="22"/>
              </w:rPr>
            </w:r>
            <w:r>
              <w:rPr>
                <w:sz w:val="22"/>
                <w:szCs w:val="22"/>
              </w:rPr>
            </w:r>
          </w:p>
        </w:tc>
      </w:tr>
      <w:tr>
        <w:tblPrEx/>
        <w:trPr>
          <w:trHeight w:val="1463"/>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МСС-код, соответствующий профилю деятельности клиента</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4900, 9399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5814</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5411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5541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4119, 5047, 5975, 5976, 8011, 8021, 8031, 8041, 8042, 8043, 8049, 8050, 8062,  8071, 8099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5912</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8211, 8220, 8241, 8244, 8249, 8299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кроме 4900, 9399, 5814, 5411, 5541, 4119, 5047, 5975, 5976, 8011, 8021, 8031, 8041, 8042, 8043, 8049, 8050, 8062,  8071, 8099, 5912, 8211, 8220, 8241, 8244, 8249, 8299</w:t>
            </w:r>
            <w:r>
              <w:rPr>
                <w:sz w:val="22"/>
                <w:szCs w:val="22"/>
              </w:rPr>
            </w:r>
            <w:r>
              <w:rPr>
                <w:sz w:val="22"/>
                <w:szCs w:val="22"/>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14</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17</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20</w:t>
            </w:r>
            <w:r>
              <w:rPr>
                <w:sz w:val="22"/>
                <w:szCs w:val="22"/>
              </w:rPr>
            </w:r>
            <w:r>
              <w:rPr>
                <w:sz w:val="22"/>
                <w:szCs w:val="22"/>
              </w:rPr>
            </w:r>
          </w:p>
        </w:tc>
      </w:tr>
      <w:tr>
        <w:tblPrEx/>
        <w:trPr>
          <w:trHeight w:val="975"/>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Размер финансового оборота (в месяц на один электронный терминал, 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до 100 000 вкл.</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1 330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2,20%</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2,35%</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100 001- 300 000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300 001- 500 000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600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500 001- 1000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1 000 001 и более</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0,89%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0,99%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2,09%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4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2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Р</w:t>
            </w:r>
            <w:r>
              <w:rPr>
                <w:rFonts w:ascii="Times New Roman" w:hAnsi="Times New Roman" w:eastAsia="Times New Roman" w:cs="Times New Roman"/>
                <w:b w:val="0"/>
                <w:i w:val="0"/>
                <w:strike w:val="0"/>
                <w:color w:val="000000"/>
                <w:sz w:val="20"/>
                <w:highlight w:val="none"/>
                <w:u w:val="none"/>
              </w:rPr>
              <w:t xml:space="preserve">а</w:t>
            </w:r>
            <w:r>
              <w:rPr>
                <w:rFonts w:ascii="Times New Roman" w:hAnsi="Times New Roman" w:eastAsia="Times New Roman" w:cs="Times New Roman"/>
                <w:b w:val="0"/>
                <w:i w:val="0"/>
                <w:strike w:val="0"/>
                <w:color w:val="000000"/>
                <w:sz w:val="20"/>
                <w:highlight w:val="none"/>
                <w:u w:val="none"/>
              </w:rPr>
              <w:t xml:space="preserve">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w:t>
            </w:r>
            <w:r>
              <w:rPr>
                <w:rFonts w:ascii="Times New Roman" w:hAnsi="Times New Roman" w:eastAsia="Times New Roman" w:cs="Times New Roman"/>
                <w:b w:val="0"/>
                <w:i w:val="0"/>
                <w:strike w:val="0"/>
                <w:color w:val="000000"/>
                <w:sz w:val="20"/>
                <w:highlight w:val="none"/>
                <w:u w:val="none"/>
              </w:rPr>
              <w:t xml:space="preserve">е, приходящегося на один электронный терминал/сервис «SoftPOS решение»</w:t>
            </w:r>
            <w:r>
              <w:rPr>
                <w:rFonts w:ascii="Times New Roman" w:hAnsi="Times New Roman" w:eastAsia="Times New Roman" w:cs="Times New Roman"/>
                <w:b w:val="0"/>
                <w:i w:val="0"/>
                <w:strike w:val="0"/>
                <w:color w:val="000000"/>
                <w:sz w:val="20"/>
                <w:highlight w:val="none"/>
                <w:u w:val="none"/>
              </w:rPr>
              <w:t xml:space="preserve">.</w:t>
            </w:r>
            <w:r>
              <w:rPr>
                <w:highlight w:val="none"/>
              </w:rPr>
            </w:r>
            <w:r>
              <w:rPr>
                <w:highlight w:val="none"/>
              </w:rPr>
            </w:r>
          </w:p>
        </w:tc>
      </w:tr>
      <w:tr>
        <w:tblPrEx/>
        <w:trPr>
          <w:trHeight w:val="90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w:t>
            </w:r>
            <w:r>
              <w:rPr>
                <w:rFonts w:ascii="Times New Roman" w:hAnsi="Times New Roman" w:eastAsia="Times New Roman" w:cs="Times New Roman"/>
                <w:b w:val="0"/>
                <w:i w:val="0"/>
                <w:strike w:val="0"/>
                <w:color w:val="000000"/>
                <w:sz w:val="20"/>
                <w:highlight w:val="none"/>
                <w:u w:val="none"/>
              </w:rPr>
              <w:t xml:space="preserve">. </w:t>
            </w:r>
            <w:r>
              <w:rPr>
                <w:highlight w:val="none"/>
              </w:rPr>
            </w:r>
            <w:r>
              <w:rPr>
                <w:highlight w:val="none"/>
              </w:rPr>
            </w:r>
          </w:p>
        </w:tc>
      </w:tr>
    </w:tbl>
    <w:p>
      <w:pPr>
        <w:jc w:val="both"/>
        <w:tabs>
          <w:tab w:val="left" w:pos="284" w:leader="none"/>
          <w:tab w:val="left" w:pos="993" w:leader="none"/>
        </w:tabs>
        <w:rPr>
          <w:sz w:val="20"/>
          <w:szCs w:val="20"/>
        </w:rPr>
      </w:pPr>
      <w:r>
        <w:rPr>
          <w:sz w:val="20"/>
          <w:szCs w:val="20"/>
          <w:highlight w:val="none"/>
        </w:rPr>
      </w:r>
      <w:r>
        <w:rPr>
          <w:sz w:val="20"/>
          <w:szCs w:val="20"/>
        </w:rPr>
      </w:r>
      <w:r>
        <w:rPr>
          <w:sz w:val="20"/>
          <w:szCs w:val="20"/>
        </w:rPr>
      </w:r>
    </w:p>
    <w:sectPr>
      <w:footnotePr/>
      <w:endnotePr/>
      <w:type w:val="nextPage"/>
      <w:pgSz w:w="16838" w:h="11906" w:orient="landscape"/>
      <w:pgMar w:top="1287" w:right="720" w:bottom="720" w:left="1276"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link w:val="944"/>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kolbyshev-sn</cp:lastModifiedBy>
  <cp:revision>15</cp:revision>
  <dcterms:created xsi:type="dcterms:W3CDTF">2024-12-19T11:08:00Z</dcterms:created>
  <dcterms:modified xsi:type="dcterms:W3CDTF">2025-09-15T11:39:38Z</dcterms:modified>
  <cp:version>1048576</cp:version>
</cp:coreProperties>
</file>