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6379"/>
        <w:spacing w:line="276" w:lineRule="auto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Приложение 2</w:t>
      </w:r>
      <w:r>
        <w:rPr>
          <w:rFonts w:eastAsia="Calibri"/>
          <w:color w:val="000000"/>
          <w:sz w:val="20"/>
          <w:szCs w:val="20"/>
          <w:lang w:eastAsia="en-US"/>
        </w:rPr>
      </w:r>
      <w:r>
        <w:rPr>
          <w:rFonts w:eastAsia="Calibri"/>
          <w:color w:val="000000"/>
          <w:sz w:val="20"/>
          <w:szCs w:val="20"/>
          <w:lang w:eastAsia="en-US"/>
        </w:rPr>
      </w:r>
    </w:p>
    <w:p>
      <w:pPr>
        <w:contextualSpacing/>
        <w:ind w:left="6379"/>
        <w:spacing w:line="276" w:lineRule="auto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к приказу Чеченского РФ                </w:t>
      </w:r>
      <w:r>
        <w:rPr>
          <w:rFonts w:eastAsia="Calibri"/>
          <w:color w:val="000000"/>
          <w:sz w:val="20"/>
          <w:szCs w:val="20"/>
          <w:lang w:eastAsia="en-US"/>
        </w:rPr>
        <w:br w:type="textWrapping" w:clear="all"/>
      </w:r>
      <w:r>
        <w:rPr>
          <w:rFonts w:eastAsia="Calibri"/>
          <w:color w:val="000000"/>
          <w:sz w:val="20"/>
          <w:szCs w:val="20"/>
          <w:lang w:eastAsia="en-US"/>
        </w:rPr>
        <w:t xml:space="preserve">АО «Россельхозбанк»</w:t>
      </w:r>
      <w:r>
        <w:rPr>
          <w:rFonts w:eastAsia="Calibri"/>
          <w:color w:val="000000"/>
          <w:sz w:val="20"/>
          <w:szCs w:val="20"/>
          <w:lang w:eastAsia="en-US"/>
        </w:rPr>
      </w:r>
      <w:r>
        <w:rPr>
          <w:rFonts w:eastAsia="Calibri"/>
          <w:color w:val="000000"/>
          <w:sz w:val="20"/>
          <w:szCs w:val="20"/>
          <w:lang w:eastAsia="en-US"/>
        </w:rPr>
      </w:r>
    </w:p>
    <w:p>
      <w:pPr>
        <w:ind w:left="6379"/>
        <w:spacing w:after="200" w:line="276" w:lineRule="auto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от 13.08.2025 № 034-29-01/ххх</w:t>
      </w:r>
      <w:r>
        <w:rPr>
          <w:rFonts w:eastAsia="Calibri"/>
          <w:color w:val="000000"/>
          <w:sz w:val="20"/>
          <w:szCs w:val="20"/>
          <w:lang w:val="en-US" w:eastAsia="en-US"/>
        </w:rPr>
        <w:t xml:space="preserve">-</w:t>
      </w:r>
      <w:r>
        <w:rPr>
          <w:rFonts w:eastAsia="Calibri"/>
          <w:color w:val="000000"/>
          <w:sz w:val="20"/>
          <w:szCs w:val="20"/>
          <w:lang w:eastAsia="en-US"/>
        </w:rPr>
        <w:t xml:space="preserve">ОД</w:t>
      </w:r>
      <w:r>
        <w:rPr>
          <w:rFonts w:eastAsia="Calibri"/>
          <w:color w:val="000000"/>
          <w:sz w:val="20"/>
          <w:szCs w:val="20"/>
          <w:lang w:eastAsia="en-US"/>
        </w:rPr>
      </w:r>
      <w:r>
        <w:rPr>
          <w:rFonts w:eastAsia="Calibri"/>
          <w:color w:val="000000"/>
          <w:sz w:val="20"/>
          <w:szCs w:val="20"/>
          <w:lang w:eastAsia="en-US"/>
        </w:rPr>
      </w:r>
    </w:p>
    <w:p>
      <w:r/>
      <w:r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15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</w:r>
            <w:r>
              <w:rPr>
                <w:b/>
                <w:caps/>
                <w:sz w:val="28"/>
                <w:szCs w:val="28"/>
                <w:lang w:eastAsia="en-US"/>
              </w:rPr>
            </w:r>
            <w:r>
              <w:rPr>
                <w:b/>
                <w:caps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 xml:space="preserve">чеченский РЕГИОНАЛЬНЫЙ ФИЛИАЛ</w:t>
            </w:r>
            <w:r>
              <w:rPr>
                <w:b/>
                <w:caps/>
                <w:sz w:val="28"/>
                <w:szCs w:val="28"/>
                <w:lang w:eastAsia="en-US"/>
              </w:rPr>
            </w:r>
            <w:r>
              <w:rPr>
                <w:b/>
                <w:caps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 xml:space="preserve">АО «РОССЕЛЬХОЗБАНК»</w:t>
            </w:r>
            <w:r>
              <w:rPr>
                <w:b/>
                <w:caps/>
                <w:sz w:val="28"/>
                <w:szCs w:val="28"/>
                <w:lang w:eastAsia="en-US"/>
              </w:rPr>
            </w:r>
            <w:r>
              <w:rPr>
                <w:b/>
                <w:caps/>
                <w:sz w:val="28"/>
                <w:szCs w:val="28"/>
                <w:lang w:eastAsia="en-US"/>
              </w:rPr>
            </w:r>
          </w:p>
          <w:p>
            <w:pPr>
              <w:ind w:right="12"/>
              <w:rPr>
                <w:i/>
                <w:caps/>
                <w:sz w:val="20"/>
                <w:szCs w:val="20"/>
              </w:rPr>
            </w:pPr>
            <w:r>
              <w:rPr>
                <w:i/>
                <w:caps/>
                <w:sz w:val="20"/>
                <w:szCs w:val="20"/>
              </w:rPr>
            </w:r>
            <w:r>
              <w:rPr>
                <w:i/>
                <w:caps/>
                <w:sz w:val="20"/>
                <w:szCs w:val="20"/>
              </w:rPr>
            </w:r>
            <w:r>
              <w:rPr>
                <w:i/>
                <w:caps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5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</w:r>
            <w:r>
              <w:rPr>
                <w:rFonts w:ascii="Times New Roman" w:hAnsi="Times New Roman"/>
                <w:b/>
                <w:sz w:val="32"/>
                <w:szCs w:val="32"/>
              </w:rPr>
            </w:r>
            <w:r>
              <w:rPr>
                <w:rFonts w:ascii="Times New Roman" w:hAnsi="Times New Roman"/>
                <w:b/>
                <w:sz w:val="32"/>
                <w:szCs w:val="32"/>
              </w:rPr>
            </w:r>
          </w:p>
          <w:p>
            <w:pPr>
              <w:pStyle w:val="95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ТАРИФЫ </w:t>
            </w:r>
            <w:r>
              <w:rPr>
                <w:rFonts w:ascii="Times New Roman" w:hAnsi="Times New Roman"/>
                <w:b/>
                <w:sz w:val="32"/>
                <w:szCs w:val="32"/>
              </w:rPr>
            </w:r>
            <w:r>
              <w:rPr>
                <w:rFonts w:ascii="Times New Roman" w:hAnsi="Times New Roman"/>
                <w:b/>
                <w:sz w:val="32"/>
                <w:szCs w:val="32"/>
              </w:rPr>
            </w:r>
          </w:p>
          <w:p>
            <w:pPr>
              <w:pStyle w:val="95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КОМИССИОННОГО ВОЗНАГРАЖДЕНИЯ НА УСЛУГИ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95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ЮРИДИЧЕСКИМ ЛИЦАМ, СУБЪЕКТАМ РОССИЙСКОЙ ФЕДЕРАЦИИ, МУНИЦИПАЛЬНЫМ ОБРАЗОВАНИЯМ, ИНДИВИДУАЛЬНЫМ ПРЕДПРИНИМАТЕЛЯМ И ФИЗИЧЕСКИМ ЛИЦАМ, ЗАНИМАЮЩИМСЯ В УСТАНОВЛЕННОМ ЗАКОНОДАТЕЛЬСТВОМ  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959"/>
              <w:jc w:val="center"/>
              <w:rPr>
                <w:rFonts w:ascii="Cambria" w:hAnsi="Cambria" w:cs="Cambria"/>
                <w:sz w:val="80"/>
                <w:szCs w:val="80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РОССИЙСКОЙ  ФЕДЕРАЦИИ ПОРЯДКЕ ЧАСТНОЙ ПРАКТИКОЙ</w:t>
            </w:r>
            <w:r>
              <w:rPr>
                <w:rFonts w:ascii="Cambria" w:hAnsi="Cambria" w:cs="Cambria"/>
                <w:sz w:val="80"/>
                <w:szCs w:val="80"/>
              </w:rPr>
            </w:r>
            <w:r>
              <w:rPr>
                <w:rFonts w:ascii="Cambria" w:hAnsi="Cambria" w:cs="Cambria"/>
                <w:sz w:val="80"/>
                <w:szCs w:val="8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59"/>
              <w:jc w:val="center"/>
            </w:pPr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59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59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действуют с 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</w:r>
          </w:p>
          <w:p>
            <w:pPr>
              <w:pStyle w:val="959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13</w:t>
            </w:r>
            <w:bookmarkStart w:id="0" w:name="_GoBack"/>
            <w:r/>
            <w:bookmarkEnd w:id="0"/>
            <w:r>
              <w:rPr>
                <w:rFonts w:ascii="Times New Roman" w:hAnsi="Times New Roman"/>
                <w:sz w:val="32"/>
                <w:szCs w:val="32"/>
              </w:rPr>
              <w:t xml:space="preserve">.08.2025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tbl>
      <w:tblPr>
        <w:tblpPr w:horzAnchor="margin" w:tblpXSpec="center" w:vertAnchor="text" w:tblpY="56" w:leftFromText="180" w:topFromText="0" w:rightFromText="180" w:bottomFromText="0"/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186"/>
        <w:gridCol w:w="5929"/>
      </w:tblGrid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ССП-владелец НД: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Чеченский РФ АО «Россельхозбанк»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Код и наименование процесса(ов):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Код нормативного документа: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1-13/04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Номер версии: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01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Область применения: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РФ/ВСП РФ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</w:tbl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b/>
          <w:caps/>
          <w:sz w:val="22"/>
          <w:szCs w:val="2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533525" cy="1038225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5335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0.75pt;height:81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</w:p>
    <w:p>
      <w:pPr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</w:p>
    <w:p>
      <w:pPr>
        <w:rPr>
          <w:b/>
          <w:caps/>
          <w:sz w:val="22"/>
          <w:szCs w:val="22"/>
        </w:rPr>
        <w:outlineLvl w:val="0"/>
      </w:pPr>
      <w:r/>
      <w:bookmarkStart w:id="1" w:name="_Toc3391100"/>
      <w:r/>
      <w:bookmarkStart w:id="2" w:name="_Toc3391770"/>
      <w:r/>
      <w:bookmarkStart w:id="3" w:name="_Toc3391832"/>
      <w:r>
        <w:rPr>
          <w:b/>
          <w:caps/>
          <w:sz w:val="22"/>
          <w:szCs w:val="22"/>
        </w:rPr>
        <w:t xml:space="preserve">Содержание:</w:t>
      </w:r>
      <w:bookmarkEnd w:id="1"/>
      <w:r/>
      <w:bookmarkEnd w:id="2"/>
      <w:r/>
      <w:bookmarkEnd w:id="3"/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</w:p>
    <w:p>
      <w:r/>
      <w:r/>
    </w:p>
    <w:p>
      <w:r>
        <w:t xml:space="preserve">1. Открытие и ведение счетов</w:t>
      </w:r>
      <w:r>
        <w:tab/>
        <w:t xml:space="preserve">……………………………………………………………. 3</w:t>
      </w:r>
      <w:r/>
    </w:p>
    <w:p>
      <w:r>
        <w:t xml:space="preserve">2. Кассовые операции</w:t>
      </w:r>
      <w:r>
        <w:tab/>
        <w:t xml:space="preserve"> …………………………………………………………………...22</w:t>
      </w:r>
      <w:r/>
    </w:p>
    <w:p>
      <w:r>
        <w:t xml:space="preserve">3. Выполнение функций агента валютного контроля</w:t>
      </w:r>
      <w:r>
        <w:tab/>
        <w:t xml:space="preserve">…………………………………… 26</w:t>
      </w:r>
      <w:r/>
    </w:p>
    <w:p>
      <w:r>
        <w:t xml:space="preserve">4. Операции с ценными бумагами</w:t>
      </w:r>
      <w:r>
        <w:tab/>
      </w:r>
      <w:r>
        <w:t xml:space="preserve">……………………………………………………………30</w:t>
      </w:r>
      <w:r/>
    </w:p>
    <w:p>
      <w:r>
        <w:t xml:space="preserve">5. Документарные операции</w:t>
      </w:r>
      <w:r>
        <w:tab/>
        <w:t xml:space="preserve">……………………………………………………………31</w:t>
      </w:r>
      <w:r/>
    </w:p>
    <w:p>
      <w:r>
        <w:t xml:space="preserve">6. Гарантийные операции</w:t>
      </w:r>
      <w:r>
        <w:tab/>
        <w:t xml:space="preserve">……………………………………………………………………37</w:t>
      </w:r>
      <w:r/>
    </w:p>
    <w:p>
      <w:r>
        <w:t xml:space="preserve">7. Дистанционное банковское обслуживание (ДБО)</w:t>
      </w:r>
      <w:r>
        <w:tab/>
        <w:t xml:space="preserve">…………………………………… 40</w:t>
      </w:r>
      <w:r/>
    </w:p>
    <w:p>
      <w:r>
        <w:t xml:space="preserve">8. Хранение ценностей клиентов в хранилище ценностей Банка</w:t>
      </w:r>
      <w:r>
        <w:tab/>
      </w:r>
      <w:r>
        <w:t xml:space="preserve">…………………… 45</w:t>
      </w:r>
      <w:r/>
    </w:p>
    <w:p>
      <w:r>
        <w:t xml:space="preserve">9. Операции по предоставлению клиентам в аренду индивидуальных сейфовых ячеек… 46</w:t>
      </w:r>
      <w:r/>
    </w:p>
    <w:p>
      <w:r>
        <w:t xml:space="preserve">10. Услуги инкассации по отдельному договору с Российским объединением </w:t>
      </w:r>
      <w:r/>
    </w:p>
    <w:p>
      <w:r>
        <w:t xml:space="preserve">       инкассации Банка России………………………………………………………………… 47</w:t>
      </w:r>
      <w:r/>
    </w:p>
    <w:p>
      <w:r>
        <w:t xml:space="preserve">11. Операции по покупкепродаже </w:t>
      </w:r>
      <w:r>
        <w:t xml:space="preserve">иностранной валюты</w:t>
      </w:r>
      <w:r>
        <w:tab/>
        <w:t xml:space="preserve">……………………………. 48</w:t>
      </w:r>
      <w:r/>
    </w:p>
    <w:p>
      <w:r>
        <w:t xml:space="preserve">12. Кредитные операции</w:t>
      </w:r>
      <w:r>
        <w:tab/>
        <w:t xml:space="preserve">……………………………………………………………………49</w:t>
      </w:r>
      <w:r/>
    </w:p>
    <w:p>
      <w:r>
        <w:t xml:space="preserve">13. Обслуживание торговосервисных предприятий, принимающих к оплате </w:t>
      </w:r>
      <w:r/>
    </w:p>
    <w:p>
      <w:r>
        <w:t xml:space="preserve">      платежные карты</w:t>
      </w:r>
      <w:r>
        <w:tab/>
        <w:t xml:space="preserve">……………………………………………………………………60</w:t>
      </w:r>
      <w:r/>
    </w:p>
    <w:p>
      <w:r>
        <w:t xml:space="preserve">14. Депозитарные услуги</w:t>
      </w:r>
      <w:r>
        <w:tab/>
        <w:t xml:space="preserve">…………………………………………………………………</w:t>
      </w:r>
      <w:r>
        <w:t xml:space="preserve">…62</w:t>
      </w:r>
      <w:r/>
    </w:p>
    <w:p>
      <w:r>
        <w:t xml:space="preserve">15. Операции с монетами из драгоценных металлов</w:t>
      </w:r>
      <w:r>
        <w:tab/>
        <w:t xml:space="preserve">…………………………………… 67</w:t>
      </w:r>
      <w:r/>
    </w:p>
    <w:p>
      <w:r>
        <w:t xml:space="preserve">16. Операции с драгоценными металлами …………………………………………………...67</w:t>
      </w:r>
      <w:r/>
    </w:p>
    <w:p>
      <w:r>
        <w:t xml:space="preserve">17.Обслуживание с использованием Торговой системы РСХБДилинг </w:t>
      </w:r>
      <w:r/>
    </w:p>
    <w:p>
      <w:r>
        <w:t xml:space="preserve">       АО «Россельхозбан</w:t>
      </w:r>
      <w:bookmarkStart w:id="4" w:name="_Toc421185893"/>
      <w:r>
        <w:t xml:space="preserve">к» ……………………………………………………………………. 68</w:t>
      </w:r>
      <w:r/>
    </w:p>
    <w:p>
      <w:r>
        <w:t xml:space="preserve">18.</w:t>
      </w:r>
      <w:r>
        <w:t xml:space="preserve"> Операции с использованием цифрового рубля………………………………………….. 70</w:t>
      </w:r>
      <w:r/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br w:type="page" w:clear="all"/>
      </w:r>
      <w:r>
        <w:rPr>
          <w:b/>
          <w:sz w:val="22"/>
          <w:szCs w:val="22"/>
        </w:rPr>
        <w:t xml:space="preserve">1. Открытие и ведение счетов</w:t>
      </w:r>
      <w:bookmarkEnd w:id="4"/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r/>
      <w:r/>
    </w:p>
    <w:tbl>
      <w:tblPr>
        <w:tblW w:w="507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18"/>
        <w:gridCol w:w="3614"/>
        <w:gridCol w:w="2281"/>
        <w:gridCol w:w="3460"/>
      </w:tblGrid>
      <w:tr>
        <w:tblPrEx/>
        <w:trPr>
          <w:tblHeader/>
        </w:trPr>
        <w:tc>
          <w:tcPr>
            <w:shd w:val="clear" w:color="auto" w:fill="fff2cc"/>
            <w:tcW w:w="447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1759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111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1684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/>
            <w:bookmarkStart w:id="5" w:name="_Toc3391101"/>
            <w:r/>
            <w:bookmarkStart w:id="6" w:name="_Toc3391771"/>
            <w:r>
              <w:rPr>
                <w:b/>
                <w:sz w:val="20"/>
                <w:szCs w:val="20"/>
              </w:rPr>
              <w:t xml:space="preserve">1.1. Открытие и ведение счетов в рублях РФ</w:t>
            </w:r>
            <w:bookmarkEnd w:id="5"/>
            <w:r/>
            <w:bookmarkEnd w:id="6"/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переходе на обслуживание из другого подразделения Банка и предъявлении клиентом Уведомления о закрытии счета в подразделении Банка, выд</w:t>
            </w:r>
            <w:r>
              <w:rPr>
                <w:sz w:val="20"/>
                <w:szCs w:val="20"/>
              </w:rPr>
              <w:t xml:space="preserve">анного в течение 3х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накопительного счета, счета с особым режимом,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«О несостоятельности (банкротстве)» или находящихся в процессе ликвидации.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 21.07.2007 № 185ФЗ «О Фонде содействия реформировани</w:t>
            </w:r>
            <w:r>
              <w:rPr>
                <w:sz w:val="20"/>
                <w:szCs w:val="20"/>
              </w:rPr>
              <w:t xml:space="preserve">ю жилищнокоммунального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клиентам, заключившим договор специального банковского счета для формирования фонда капитального ремонта в рамках требований Жилищного кодекса РФ от 29.12.2004 № 188ФЗ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на счета физических лиц взимается в соответствии с п. 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</w:t>
            </w:r>
            <w:r>
              <w:rPr>
                <w:sz w:val="20"/>
                <w:szCs w:val="20"/>
              </w:rPr>
              <w:t xml:space="preserve">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клиентам</w:t>
            </w:r>
            <w:r>
              <w:rPr>
                <w:sz w:val="20"/>
                <w:szCs w:val="20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 29.07.2017 №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217ФЗ 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</w:t>
            </w:r>
            <w:r>
              <w:rPr>
                <w:sz w:val="20"/>
                <w:szCs w:val="20"/>
              </w:rPr>
              <w:t xml:space="preserve"> соответствии с Федеральным законом от 15.04.1998 № 66ФЗ «О садоводческих, огороднических и дачных некоммерческих объединениях граждан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  не вз</w:t>
            </w:r>
            <w:r>
              <w:rPr>
                <w:sz w:val="20"/>
                <w:szCs w:val="20"/>
                <w:lang w:eastAsia="en-US"/>
              </w:rPr>
              <w:t xml:space="preserve">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 xml:space="preserve">с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58"/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958"/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Подписание с клиентом договора эквайринга 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</w:t>
            </w:r>
            <w:r>
              <w:rPr>
                <w:color w:val="000000"/>
                <w:sz w:val="20"/>
                <w:szCs w:val="20"/>
              </w:rPr>
              <w:t xml:space="preserve">амках договора эквайринга, заключенного с </w:t>
            </w:r>
            <w:r>
              <w:rPr>
                <w:color w:val="000000"/>
                <w:sz w:val="20"/>
                <w:szCs w:val="20"/>
              </w:rPr>
              <w:br/>
              <w:t xml:space="preserve">АО «Россельхозбанк», сделанной сотрудником регионального филиала Банка.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Если бизнес-карты обслуживается в рамках тарифного пла</w:t>
            </w:r>
            <w:r>
              <w:rPr>
                <w:color w:val="000000"/>
                <w:sz w:val="20"/>
                <w:szCs w:val="20"/>
              </w:rPr>
              <w:t xml:space="preserve">на «Корпоративный» комиссия взимается в стандартном размере.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по кредитным сделкам в полном объеме</w:t>
            </w:r>
            <w:r>
              <w:rPr>
                <w:bCs/>
                <w:sz w:val="20"/>
                <w:szCs w:val="20"/>
              </w:rPr>
              <w:t xml:space="preserve">, комиссия взимается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</w:t>
            </w:r>
            <w:r>
              <w:rPr>
                <w:sz w:val="20"/>
                <w:szCs w:val="20"/>
              </w:rPr>
              <w:t xml:space="preserve">тствии с Федеральным законом от 21.07.2007 № 185ФЗ «О Фонде содействия реформированию жилищнокоммунального хозяйства» в рамках заключенных договоров специального банковского счета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использовании клиентом системы дистанционного банков</w:t>
            </w:r>
            <w:r>
              <w:rPr>
                <w:sz w:val="20"/>
                <w:szCs w:val="20"/>
              </w:rPr>
              <w:t xml:space="preserve">ского </w:t>
            </w:r>
            <w:r>
              <w:rPr>
                <w:sz w:val="20"/>
                <w:szCs w:val="20"/>
              </w:rPr>
              <w:t xml:space="preserve">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ind w:left="35"/>
              <w:jc w:val="both"/>
              <w:spacing w:before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Кроме месяца, в котором установлена система </w:t>
            </w:r>
            <w:r>
              <w:rPr>
                <w:sz w:val="20"/>
                <w:szCs w:val="20"/>
                <w:lang w:eastAsia="en-US"/>
              </w:rPr>
              <w:t xml:space="preserve">дистанционного банковского обслуживания.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ind w:left="35"/>
              <w:jc w:val="both"/>
              <w:spacing w:before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</w:t>
            </w:r>
            <w:r>
              <w:rPr>
                <w:sz w:val="20"/>
                <w:szCs w:val="20"/>
                <w:lang w:eastAsia="en-US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  <w:lang w:eastAsia="en-US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ind w:left="35"/>
              <w:jc w:val="both"/>
              <w:spacing w:before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</w:t>
            </w:r>
            <w:r>
              <w:rPr>
                <w:sz w:val="20"/>
                <w:szCs w:val="20"/>
                <w:lang w:eastAsia="en-US"/>
              </w:rPr>
              <w:t xml:space="preserve">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</w:t>
            </w:r>
            <w:r>
              <w:rPr>
                <w:sz w:val="20"/>
                <w:szCs w:val="20"/>
              </w:rPr>
              <w:t xml:space="preserve"> 26.10.2002 № 127-ФЗ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  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5000 руб. в месяц без использования клиентом системы дистанционн</w:t>
            </w:r>
            <w:r>
              <w:rPr>
                <w:sz w:val="20"/>
                <w:szCs w:val="20"/>
                <w:lang w:eastAsia="en-US"/>
              </w:rPr>
              <w:t xml:space="preserve">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клиентам, заключившим договор специального банковского счета для формирования фонда капитального ремонта в рамках требований Жилищного кодекса РФ от 29.12.2004 № 188ФЗ,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клиентам, являющимся садоводческими или огородническими </w:t>
            </w:r>
            <w:r>
              <w:rPr>
                <w:bCs/>
                <w:sz w:val="20"/>
                <w:szCs w:val="20"/>
              </w:rPr>
              <w:t xml:space="preserve">некоммерческими товариществами в соответствии с Федеральным законом от 29.07.2017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№ 217ФЗ 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</w:t>
            </w:r>
            <w:r>
              <w:rPr>
                <w:bCs/>
                <w:sz w:val="20"/>
                <w:szCs w:val="20"/>
              </w:rPr>
              <w:t xml:space="preserve"> в соответствии с Федеральным законом от 15.04.1998 № 66ФЗ 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</w:t>
            </w:r>
            <w:r>
              <w:rPr>
                <w:sz w:val="20"/>
                <w:szCs w:val="20"/>
                <w:lang w:eastAsia="en-US"/>
              </w:rPr>
              <w:t xml:space="preserve">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причисление процентов к счету;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взимание комиссий Банка;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</w:t>
            </w:r>
            <w:r>
              <w:rPr>
                <w:sz w:val="20"/>
                <w:szCs w:val="20"/>
                <w:lang w:eastAsia="en-US"/>
              </w:rPr>
              <w:t xml:space="preserve">нных Банком денежных средств.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1.1.3, но не более остатка на счете при условии отсутствия </w:t>
            </w:r>
            <w:r>
              <w:rPr>
                <w:sz w:val="20"/>
                <w:szCs w:val="20"/>
                <w:lang w:eastAsia="en-US"/>
              </w:rPr>
              <w:br/>
              <w:t xml:space="preserve">в Банке на дату взимания комиссии предусмотренных законодательс</w:t>
            </w:r>
            <w:r>
              <w:rPr>
                <w:sz w:val="20"/>
                <w:szCs w:val="20"/>
                <w:lang w:eastAsia="en-US"/>
              </w:rPr>
              <w:t xml:space="preserve">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  <w:lang w:eastAsia="en-US"/>
              </w:rPr>
              <w:br/>
              <w:t xml:space="preserve">об ограничении прав клиента </w:t>
            </w:r>
            <w:r>
              <w:rPr>
                <w:sz w:val="20"/>
                <w:szCs w:val="20"/>
                <w:lang w:eastAsia="en-US"/>
              </w:rPr>
              <w:br/>
              <w:t xml:space="preserve">на распоряжение денежными средствами по счету.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  не взимае</w:t>
            </w:r>
            <w:r>
              <w:rPr>
                <w:sz w:val="20"/>
                <w:szCs w:val="20"/>
                <w:lang w:eastAsia="en-US"/>
              </w:rPr>
              <w:t xml:space="preserve">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 xml:space="preserve">с АО «Россельхозбанк», при использовании клиентом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58"/>
              <w:numPr>
                <w:ilvl w:val="0"/>
                <w:numId w:val="22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Наличие у клиента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Банке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pStyle w:val="958"/>
              <w:numPr>
                <w:ilvl w:val="0"/>
                <w:numId w:val="22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Наличие у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клиента действующего договора эквайринга, заключенного 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Банком.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pStyle w:val="958"/>
              <w:numPr>
                <w:ilvl w:val="0"/>
                <w:numId w:val="22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бизнес-карта обслужива</w:t>
            </w:r>
            <w:r>
              <w:rPr>
                <w:bCs/>
                <w:sz w:val="20"/>
                <w:szCs w:val="20"/>
              </w:rPr>
              <w:t xml:space="preserve">ется в рамках тарифного плана «Корпоративный»,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по кредитным сделкам в полном объеме</w:t>
            </w:r>
            <w:r>
              <w:rPr>
                <w:bCs/>
                <w:sz w:val="20"/>
                <w:szCs w:val="20"/>
              </w:rPr>
              <w:t xml:space="preserve">, комиссия взимается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</w:t>
            </w:r>
            <w:r>
              <w:rPr>
                <w:sz w:val="20"/>
                <w:szCs w:val="20"/>
              </w:rPr>
              <w:t xml:space="preserve">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установленном законодательством Российской Федерации порядке частной практикой,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</w:t>
            </w:r>
            <w:r>
              <w:rPr>
                <w:sz w:val="20"/>
                <w:szCs w:val="20"/>
              </w:rPr>
              <w:t xml:space="preserve">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соответствии с п.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при исполнени</w:t>
            </w:r>
            <w:r>
              <w:rPr>
                <w:sz w:val="20"/>
                <w:szCs w:val="20"/>
                <w:lang w:eastAsia="en-US"/>
              </w:rPr>
              <w:t xml:space="preserve">и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расчетных документов по оплате страховых взносов на счета Фонда пенсионного 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 - расчетных документов по счетам клиентов, </w:t>
            </w:r>
            <w:r>
              <w:rPr>
                <w:sz w:val="20"/>
                <w:szCs w:val="20"/>
              </w:rPr>
              <w:t xml:space="preserve">им</w:t>
            </w:r>
            <w:r>
              <w:rPr>
                <w:sz w:val="20"/>
                <w:szCs w:val="20"/>
              </w:rPr>
              <w:t xml:space="preserve">еющих обязательства перед АО «Россельхозбанк» по кредитным сделкам***, в отношении которых введена любая </w:t>
            </w:r>
            <w:r>
              <w:rPr>
                <w:sz w:val="20"/>
                <w:szCs w:val="20"/>
              </w:rPr>
              <w:br/>
              <w:t xml:space="preserve">из процедур, применяемых в деле 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 127-ФЗ «О несостоятельности (банкротстве)» или нах</w:t>
            </w:r>
            <w:r>
              <w:rPr>
                <w:sz w:val="20"/>
                <w:szCs w:val="20"/>
              </w:rPr>
              <w:t xml:space="preserve">одящихся в процессе ликвидации;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платежа, ранее отправленного по системе дистанционного банковского обслуживания и пом</w:t>
            </w:r>
            <w:r>
              <w:rPr>
                <w:sz w:val="20"/>
                <w:szCs w:val="20"/>
              </w:rPr>
              <w:t xml:space="preserve">ещенного в </w:t>
            </w:r>
            <w:r>
              <w:rPr>
                <w:sz w:val="20"/>
                <w:szCs w:val="20"/>
              </w:rPr>
              <w:t xml:space="preserve">картотеку изза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 как если бы докум</w:t>
            </w:r>
            <w:r>
              <w:rPr>
                <w:sz w:val="20"/>
                <w:szCs w:val="20"/>
              </w:rPr>
              <w:t xml:space="preserve">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Банк в электронном виде, взимается, как если бы документ был отправлен по системе дистанционного банковского обслуживания (при налич</w:t>
            </w:r>
            <w:r>
              <w:rPr>
                <w:bCs/>
                <w:sz w:val="20"/>
                <w:szCs w:val="20"/>
              </w:rPr>
              <w:t xml:space="preserve">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sz w:val="20"/>
                <w:szCs w:val="20"/>
                <w:lang w:eastAsia="en-US"/>
              </w:rPr>
              <w:t xml:space="preserve">из-за отсутствия денежных средств на счете или приостановления операций по счету налоговым органом/таможенным органом, частично п</w:t>
            </w:r>
            <w:r>
              <w:rPr>
                <w:sz w:val="20"/>
                <w:szCs w:val="20"/>
                <w:lang w:eastAsia="en-US"/>
              </w:rPr>
              <w:t xml:space="preserve">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</w:t>
            </w:r>
            <w:r>
              <w:rPr>
                <w:color w:val="000000"/>
                <w:sz w:val="20"/>
                <w:szCs w:val="20"/>
              </w:rPr>
              <w:t xml:space="preserve">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</w:t>
            </w:r>
            <w:r>
              <w:rPr>
                <w:color w:val="000000"/>
                <w:sz w:val="20"/>
                <w:szCs w:val="20"/>
              </w:rPr>
              <w:t xml:space="preserve">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</w:t>
            </w:r>
            <w:r>
              <w:rPr>
                <w:color w:val="000000"/>
                <w:sz w:val="20"/>
                <w:szCs w:val="20"/>
              </w:rPr>
              <w:t xml:space="preserve">в и сумм налоговых платежей, платежных требований и инкассовых поручений)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1.1.5.1.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Открытые в АО «Россельхозбанк»: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на основании расчетного документа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отправленный клиентом по системе дистанционного банковского обслуживания</w:t>
            </w:r>
            <w:r>
              <w:rPr>
                <w:rFonts w:eastAsia="Calibri"/>
                <w:sz w:val="10"/>
                <w:szCs w:val="10"/>
                <w:lang w:eastAsia="en-US"/>
              </w:rPr>
            </w:r>
            <w:r>
              <w:rPr>
                <w:rFonts w:eastAsia="Calibri"/>
                <w:sz w:val="10"/>
                <w:szCs w:val="1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550 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8 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1.1.5.2.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на основании расчетного документа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550 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если сумма платежа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100 млн руб. (включительно).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200 руб.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если сумма платежа свыше 100 млн.руб.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 отправленный клиентом, включенным в региональную адресную программу по проведению капитального ремонта мног</w:t>
            </w:r>
            <w:r>
              <w:rPr>
                <w:bCs/>
                <w:sz w:val="20"/>
                <w:szCs w:val="20"/>
              </w:rPr>
              <w:t xml:space="preserve">оквартирных домов, переселения граждан из аварийного жилищного фонда в соответствии с Федеральным законом от 21.07.2007 № 185ФЗ «О Фонде содействия реформированию жилищнокоммунального хозяйства» в рамках заключенных договоров специального банковского счета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отправленный клиентом, заключившим договор номинального </w:t>
            </w:r>
            <w:r>
              <w:rPr>
                <w:sz w:val="20"/>
                <w:szCs w:val="20"/>
              </w:rPr>
              <w:t xml:space="preserve">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Перевод денежных средств со </w:t>
            </w:r>
            <w:r>
              <w:rPr>
                <w:rFonts w:eastAsia="Calibri"/>
                <w:sz w:val="20"/>
                <w:szCs w:val="20"/>
              </w:rPr>
              <w:t xml:space="preserve">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 руб. 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</w:t>
            </w:r>
            <w:r>
              <w:rPr>
                <w:sz w:val="20"/>
                <w:szCs w:val="20"/>
              </w:rPr>
              <w:t xml:space="preserve">ествляется при условии заключения  дополнительного соглашения к договору банковского счета, состоящего из Условий проведения в АО «Россельхозбанк» операций по срочному переводу платежей клиентов Банка, являющихся юридическими лицами, индивидуальными предпр</w:t>
            </w:r>
            <w:r>
              <w:rPr>
                <w:sz w:val="20"/>
                <w:szCs w:val="20"/>
              </w:rPr>
              <w:t xml:space="preserve">инимателями и физическими лицами, занимающимися в установленном законодательством Российской Федерации порядке </w:t>
            </w:r>
            <w:r>
              <w:rPr>
                <w:sz w:val="20"/>
                <w:szCs w:val="20"/>
              </w:rPr>
              <w:t xml:space="preserve">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</w:t>
            </w:r>
            <w:r>
              <w:rPr>
                <w:sz w:val="20"/>
                <w:szCs w:val="20"/>
              </w:rPr>
              <w:t xml:space="preserve">ежных средств в бюджеты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 27.0</w:t>
            </w:r>
            <w:r>
              <w:rPr>
                <w:sz w:val="20"/>
                <w:szCs w:val="20"/>
              </w:rPr>
              <w:t xml:space="preserve">7.2010 № 210ФЗ). </w:t>
            </w:r>
            <w:r>
              <w:rPr>
                <w:rFonts w:eastAsia="Calibri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 п. 1.1.5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кредитных денежных средств на счета заемщиков Банка- юридических лиц, субъектов Российской Федерации, муниципальных образований, индивидуальн</w:t>
            </w:r>
            <w:r>
              <w:rPr>
                <w:sz w:val="20"/>
                <w:szCs w:val="20"/>
              </w:rPr>
              <w:t xml:space="preserve">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150 000,01 руб. до 300 000,00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2 000 000,00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2 000 000,01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5 000 000,00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свыше 5 000 000,00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с использованием карт;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 кредитных организаций </w:t>
            </w:r>
            <w:r>
              <w:rPr>
                <w:sz w:val="20"/>
                <w:szCs w:val="20"/>
              </w:rPr>
              <w:t xml:space="preserve">с балансовой позицией 30102, 30109, 30111, 30232, 30301, 30302, 47422 для последующего зачисления денежных средств на счета физических лиц.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</w:t>
            </w:r>
            <w:r>
              <w:rPr>
                <w:sz w:val="20"/>
                <w:szCs w:val="20"/>
              </w:rPr>
              <w:t xml:space="preserve">счетов страховых и управляющих компаний;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 расчетного счета застройщика;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</w:t>
            </w:r>
            <w:r>
              <w:rPr>
                <w:sz w:val="20"/>
                <w:szCs w:val="20"/>
              </w:rPr>
              <w:t xml:space="preserve">нных клиентами с АО «Россельхозбанк»);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дохода лицам, занимающимся частной практикой;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</w:t>
            </w:r>
            <w:r>
              <w:rPr>
                <w:sz w:val="20"/>
                <w:szCs w:val="20"/>
              </w:rPr>
              <w:t xml:space="preserve">орых являются средства фондов </w:t>
            </w:r>
            <w:r>
              <w:rPr>
                <w:sz w:val="20"/>
                <w:szCs w:val="20"/>
              </w:rPr>
              <w:t xml:space="preserve">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</w:t>
            </w:r>
            <w:r>
              <w:rPr>
                <w:sz w:val="20"/>
                <w:szCs w:val="20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</w:t>
            </w:r>
            <w:r>
              <w:rPr>
                <w:sz w:val="20"/>
                <w:szCs w:val="20"/>
              </w:rPr>
              <w:t xml:space="preserve">иям, перечисленным в п. 2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</w:t>
            </w:r>
            <w:r>
              <w:rPr>
                <w:sz w:val="20"/>
                <w:szCs w:val="20"/>
              </w:rPr>
              <w:t xml:space="preserve">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благотворительных целях (при наличии решения АО «Россельхозбанк» о приеме 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sz w:val="20"/>
                <w:szCs w:val="20"/>
              </w:rPr>
              <w:t xml:space="preserve">со счетов клиентов, имеющи</w:t>
            </w:r>
            <w:r>
              <w:rPr>
                <w:sz w:val="20"/>
                <w:szCs w:val="20"/>
              </w:rPr>
              <w:t xml:space="preserve">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в отношении которых введена любая из процедур, применяемых </w:t>
            </w:r>
            <w:r>
              <w:rPr>
                <w:sz w:val="20"/>
                <w:szCs w:val="20"/>
              </w:rPr>
              <w:br/>
              <w:t xml:space="preserve">в деле о банкротстве в соответствии с Федеральным законом 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</w:t>
            </w:r>
            <w:r>
              <w:rPr>
                <w:sz w:val="20"/>
                <w:szCs w:val="20"/>
              </w:rPr>
              <w:t xml:space="preserve">щихся в процессе ликвидации.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</w:t>
            </w:r>
            <w:r>
              <w:rPr>
                <w:sz w:val="20"/>
                <w:szCs w:val="20"/>
              </w:rPr>
              <w:t xml:space="preserve">ьхозбанк», комиссионное вознаграждение взимается в соответствии с п.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</w:t>
            </w:r>
            <w:r>
              <w:rPr>
                <w:sz w:val="20"/>
                <w:szCs w:val="20"/>
              </w:rPr>
              <w:t xml:space="preserve">ндарном месяце и размера перевода денежных средств, по которому рассчитывается комиссия.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</w:t>
            </w:r>
            <w:r>
              <w:rPr>
                <w:sz w:val="20"/>
                <w:szCs w:val="20"/>
              </w:rPr>
              <w:t xml:space="preserve">елении тарифа в расчет принимаются переводы денежных средств, совершенные по одному счету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не учитываются операции, указанные в пунктах 2, 3, 4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</w:t>
            </w:r>
            <w:r>
              <w:rPr>
                <w:sz w:val="20"/>
                <w:szCs w:val="20"/>
              </w:rPr>
              <w:t xml:space="preserve">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</w:t>
            </w:r>
            <w:r>
              <w:rPr>
                <w:color w:val="000000"/>
                <w:sz w:val="20"/>
                <w:szCs w:val="20"/>
              </w:rPr>
              <w:t xml:space="preserve">ов, отнесенных к 1-4 очередности платежа в соответствии со статьей 855 ГК РФ,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vAlign w:val="center"/>
            <w:vMerge w:val="continue"/>
            <w:textDirection w:val="lrTb"/>
            <w:noWrap w:val="false"/>
          </w:tcPr>
          <w:p>
            <w:pPr>
              <w:spacing w:before="24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 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руб. за один расчетный документ»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(за исключением </w:t>
            </w:r>
            <w:r>
              <w:rPr>
                <w:bCs/>
                <w:sz w:val="20"/>
                <w:szCs w:val="20"/>
              </w:rPr>
              <w:t xml:space="preserve">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300 руб.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по каждому платежу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 АО «Россельхозбанк» производится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</w:t>
            </w:r>
            <w:r>
              <w:rPr>
                <w:bCs/>
                <w:sz w:val="20"/>
                <w:szCs w:val="20"/>
              </w:rPr>
              <w:t xml:space="preserve">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en-US"/>
              </w:rPr>
              <w:t xml:space="preserve">500 руб.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по каждому платежу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</w:t>
            </w:r>
            <w:r>
              <w:rPr>
                <w:bCs/>
                <w:sz w:val="20"/>
                <w:szCs w:val="20"/>
              </w:rPr>
              <w:t xml:space="preserve">Российской Федерации на счет, открытый в банке-нерезиденте)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30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</w:t>
            </w:r>
            <w:r>
              <w:rPr>
                <w:sz w:val="20"/>
                <w:szCs w:val="20"/>
              </w:rPr>
              <w:t xml:space="preserve">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t xml:space="preserve">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  <w:lang w:val="en-US"/>
              </w:rPr>
              <w:t xml:space="preserve">0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 к договору банковского счета).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</w:t>
            </w:r>
            <w:r>
              <w:rPr>
                <w:sz w:val="20"/>
                <w:szCs w:val="20"/>
              </w:rPr>
              <w:t xml:space="preserve">жных средств дополнительно к указанному тарифу взимается комиссионное вознаграждение, указанное в пунктах 1.1.5 или 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</w:t>
            </w:r>
            <w:r>
              <w:rPr>
                <w:sz w:val="20"/>
                <w:szCs w:val="20"/>
              </w:rPr>
              <w:t xml:space="preserve">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1.1.12.1.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АО «Россельхозбанк» (ООО «Мое дело» ИНН 7701889831, ООО «Юридические решения» ИНН 9718083320)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</w:t>
            </w:r>
            <w:r>
              <w:rPr>
                <w:sz w:val="20"/>
                <w:szCs w:val="20"/>
              </w:rPr>
              <w:t xml:space="preserve">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</w:t>
            </w:r>
            <w:r>
              <w:rPr>
                <w:sz w:val="20"/>
                <w:szCs w:val="20"/>
              </w:rPr>
              <w:t xml:space="preserve">вления Правительства Российской Федерации от 20.09.2014     № 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заключивших Договор банковского сопровождения и обслуживания отдельного сче</w:t>
            </w:r>
            <w:r>
              <w:rPr>
                <w:sz w:val="20"/>
                <w:szCs w:val="20"/>
              </w:rPr>
              <w:t xml:space="preserve">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денежных средств в валюте Российской Федерации со с</w:t>
            </w:r>
            <w:r>
              <w:rPr>
                <w:bCs/>
                <w:sz w:val="20"/>
                <w:szCs w:val="20"/>
              </w:rPr>
              <w:t xml:space="preserve">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проведении операции в случае недостаточности денежных ср</w:t>
            </w:r>
            <w:r>
              <w:rPr>
                <w:sz w:val="20"/>
                <w:szCs w:val="20"/>
              </w:rPr>
              <w:t xml:space="preserve">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</w:t>
            </w:r>
            <w:r>
              <w:rPr>
                <w:sz w:val="20"/>
                <w:szCs w:val="20"/>
              </w:rPr>
              <w:t xml:space="preserve">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</w:t>
            </w:r>
            <w:r>
              <w:rPr>
                <w:bCs/>
                <w:sz w:val="20"/>
                <w:szCs w:val="20"/>
              </w:rPr>
              <w:t xml:space="preserve">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1.2. Открытие и ведение счетов в иностранной валюте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</w:t>
            </w:r>
            <w:r>
              <w:rPr>
                <w:sz w:val="20"/>
                <w:szCs w:val="20"/>
              </w:rPr>
              <w:t xml:space="preserve"> подразделении Банка, выданного в течение 3-х месяцев с даты закрытия счета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Ведение счета</w:t>
            </w:r>
            <w:r>
              <w:rPr>
                <w:sz w:val="20"/>
                <w:szCs w:val="20"/>
              </w:rPr>
              <w:t xml:space="preserve">, кроме счета в евро, долларах США, а также отдельных иностранных валютах, предусмотренных в п.1.2.3.3: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</w:t>
            </w:r>
            <w:r>
              <w:rPr>
                <w:sz w:val="20"/>
                <w:szCs w:val="20"/>
              </w:rPr>
              <w:t xml:space="preserve">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использовании клиентом 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</w:t>
            </w:r>
            <w:r>
              <w:rPr>
                <w:sz w:val="20"/>
                <w:szCs w:val="20"/>
                <w:lang w:eastAsia="en-US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</w:t>
            </w:r>
            <w:r>
              <w:rPr>
                <w:sz w:val="20"/>
                <w:szCs w:val="20"/>
                <w:lang w:eastAsia="en-US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</w:t>
            </w:r>
            <w:r>
              <w:rPr>
                <w:sz w:val="20"/>
                <w:szCs w:val="20"/>
                <w:lang w:eastAsia="en-US"/>
              </w:rPr>
              <w:t xml:space="preserve">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ind w:left="74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</w:t>
            </w:r>
            <w:r>
              <w:rPr>
                <w:sz w:val="20"/>
                <w:szCs w:val="20"/>
                <w:lang w:eastAsia="en-US"/>
              </w:rPr>
              <w:t xml:space="preserve">ошибочно зачисленных Банком денежных средств.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1.2.3, но не более остатка н</w:t>
            </w:r>
            <w:r>
              <w:rPr>
                <w:sz w:val="20"/>
                <w:szCs w:val="20"/>
                <w:lang w:eastAsia="en-US"/>
              </w:rPr>
              <w:t xml:space="preserve">а счете при условии отсутствия </w:t>
            </w:r>
            <w:r>
              <w:rPr>
                <w:sz w:val="20"/>
                <w:szCs w:val="20"/>
                <w:lang w:eastAsia="en-US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  <w:lang w:eastAsia="en-US"/>
              </w:rPr>
              <w:br/>
              <w:t xml:space="preserve">об ограничении прав клиента </w:t>
            </w:r>
            <w:r>
              <w:rPr>
                <w:sz w:val="20"/>
                <w:szCs w:val="20"/>
                <w:lang w:eastAsia="en-US"/>
              </w:rPr>
              <w:br/>
              <w:t xml:space="preserve">на распоряжение денежными средствами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1.2.3.1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Веден</w:t>
            </w:r>
            <w:r>
              <w:rPr>
                <w:sz w:val="20"/>
                <w:szCs w:val="20"/>
              </w:rPr>
              <w:t xml:space="preserve">ие счета в евро</w:t>
            </w:r>
            <w:r>
              <w:rPr>
                <w:sz w:val="20"/>
                <w:szCs w:val="20"/>
                <w:lang w:eastAsia="en-US"/>
              </w:rPr>
              <w:t xml:space="preserve">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8981"/>
        </w:trPr>
        <w:tc>
          <w:tcPr>
            <w:tcBorders>
              <w:bottom w:val="single" w:color="000000" w:sz="4" w:space="0"/>
            </w:tcBorders>
            <w:tcW w:w="447" w:type="pct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до 100 000 евро (включительно)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2750 руб. в месяц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евро остатка, достаточног</w:t>
            </w:r>
            <w:r>
              <w:rPr>
                <w:sz w:val="20"/>
                <w:szCs w:val="20"/>
              </w:rPr>
              <w:t xml:space="preserve">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При расчете совокупного среднедневн</w:t>
            </w:r>
            <w:r>
              <w:rPr>
                <w:sz w:val="20"/>
                <w:szCs w:val="20"/>
                <w:lang w:eastAsia="en-US"/>
              </w:rPr>
              <w:t xml:space="preserve">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left" w:pos="1810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</w:t>
            </w:r>
            <w:r>
              <w:rPr>
                <w:sz w:val="20"/>
                <w:szCs w:val="20"/>
                <w:lang w:eastAsia="en-US"/>
              </w:rPr>
              <w:t xml:space="preserve">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</w:t>
            </w:r>
            <w:r>
              <w:rPr>
                <w:sz w:val="20"/>
                <w:szCs w:val="20"/>
                <w:lang w:eastAsia="en-US"/>
              </w:rPr>
              <w:t xml:space="preserve">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</w:t>
            </w:r>
            <w:r>
              <w:rPr>
                <w:sz w:val="20"/>
                <w:szCs w:val="20"/>
                <w:lang w:eastAsia="en-US"/>
              </w:rPr>
              <w:t xml:space="preserve">рый производится расчет </w:t>
            </w:r>
            <w:r>
              <w:rPr>
                <w:sz w:val="20"/>
                <w:szCs w:val="20"/>
                <w:lang w:eastAsia="en-US"/>
              </w:rPr>
              <w:t xml:space="preserve">совокупного среднедневного остатка.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</w:t>
            </w: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случае</w:t>
            </w:r>
            <w:r>
              <w:rPr>
                <w:sz w:val="20"/>
                <w:szCs w:val="20"/>
                <w:lang w:eastAsia="en-US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</w:t>
            </w:r>
            <w:r>
              <w:rPr>
                <w:sz w:val="20"/>
                <w:szCs w:val="20"/>
                <w:lang w:eastAsia="en-US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предусмотренном при исп</w:t>
            </w:r>
            <w:r>
              <w:rPr>
                <w:sz w:val="20"/>
                <w:szCs w:val="20"/>
                <w:lang w:eastAsia="en-US"/>
              </w:rPr>
              <w:t xml:space="preserve">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до 100 000 евро (включительно) и при условии использования клиентом системы дистанционного б</w:t>
            </w:r>
            <w:r>
              <w:rPr>
                <w:sz w:val="20"/>
                <w:szCs w:val="20"/>
                <w:lang w:eastAsia="en-US"/>
              </w:rPr>
              <w:t xml:space="preserve">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более 100 000 евро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0,25% от совокупного среднедневного остатка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759" w:type="pct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vMerge w:val="restar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</w:t>
            </w:r>
            <w:r>
              <w:rPr>
                <w:sz w:val="20"/>
                <w:szCs w:val="20"/>
                <w:lang w:eastAsia="en-US"/>
              </w:rPr>
              <w:t xml:space="preserve">ибочно зачисленных Банком денежных средств.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</w:t>
            </w:r>
            <w:r>
              <w:rPr>
                <w:sz w:val="20"/>
                <w:szCs w:val="20"/>
                <w:lang w:eastAsia="en-US"/>
              </w:rPr>
              <w:t xml:space="preserve">ере согласно п. 1.2.3.1 Тарифов,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</w:t>
            </w:r>
            <w:r>
              <w:rPr>
                <w:sz w:val="20"/>
                <w:szCs w:val="20"/>
                <w:lang w:eastAsia="en-US"/>
              </w:rPr>
              <w:t xml:space="preserve">яжение денежными средствами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1.2.3.2.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Ведение счета в долларах США</w:t>
            </w:r>
            <w:r>
              <w:rPr>
                <w:sz w:val="20"/>
                <w:szCs w:val="20"/>
                <w:lang w:eastAsia="en-US"/>
              </w:rPr>
              <w:t xml:space="preserve">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2750 руб. в месяц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закрытия счета, включая месяц, в кот</w:t>
            </w:r>
            <w:r>
              <w:rPr>
                <w:sz w:val="20"/>
                <w:szCs w:val="20"/>
                <w:lang w:eastAsia="en-US"/>
              </w:rPr>
              <w:t xml:space="preserve">ором открыт счет.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</w:t>
            </w:r>
            <w:r>
              <w:rPr>
                <w:sz w:val="20"/>
                <w:szCs w:val="20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Совокупный среднедневной остаток рассчитывается как отношение суммы остатков денежных средств на </w:t>
            </w:r>
            <w:r>
              <w:rPr>
                <w:sz w:val="20"/>
                <w:szCs w:val="20"/>
                <w:lang w:eastAsia="en-US"/>
              </w:rPr>
              <w:t xml:space="preserve">расчетном и транз</w:t>
            </w:r>
            <w:r>
              <w:rPr>
                <w:sz w:val="20"/>
                <w:szCs w:val="20"/>
                <w:lang w:eastAsia="en-US"/>
              </w:rPr>
              <w:t xml:space="preserve">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</w:t>
            </w:r>
            <w:r>
              <w:rPr>
                <w:sz w:val="20"/>
                <w:szCs w:val="20"/>
                <w:lang w:eastAsia="en-US"/>
              </w:rPr>
              <w:t xml:space="preserve">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</w:t>
            </w:r>
            <w:r>
              <w:rPr>
                <w:sz w:val="20"/>
                <w:szCs w:val="20"/>
                <w:lang w:eastAsia="en-US"/>
              </w:rPr>
              <w:t xml:space="preserve">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</w:t>
            </w: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</w:t>
            </w:r>
            <w:r>
              <w:rPr>
                <w:sz w:val="20"/>
                <w:szCs w:val="20"/>
                <w:lang w:eastAsia="en-US"/>
              </w:rPr>
              <w:t xml:space="preserve">онное вознаграждение за ведение счета взимается в соответствии с п. 1.2.3.2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</w:t>
            </w:r>
            <w:r>
              <w:rPr>
                <w:sz w:val="20"/>
                <w:szCs w:val="20"/>
                <w:lang w:eastAsia="en-US"/>
              </w:rPr>
              <w:t xml:space="preserve">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</w:t>
            </w:r>
            <w:r>
              <w:rPr>
                <w:sz w:val="20"/>
                <w:szCs w:val="20"/>
                <w:lang w:eastAsia="en-US"/>
              </w:rPr>
              <w:t xml:space="preserve">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</w:t>
            </w:r>
            <w:r>
              <w:rPr>
                <w:sz w:val="20"/>
                <w:szCs w:val="20"/>
                <w:lang w:eastAsia="en-US"/>
              </w:rPr>
              <w:t xml:space="preserve">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900 руб.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в месяц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более 100 000 долларов США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0,6% от совокупного среднедневного остатка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vMerge w:val="restar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</w:t>
            </w:r>
            <w:r>
              <w:rPr>
                <w:sz w:val="20"/>
                <w:szCs w:val="20"/>
                <w:lang w:eastAsia="en-US"/>
              </w:rPr>
              <w:t xml:space="preserve">ибочно зачисленных Банком денежных средств.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</w:t>
            </w:r>
            <w:r>
              <w:rPr>
                <w:sz w:val="20"/>
                <w:szCs w:val="20"/>
                <w:lang w:eastAsia="en-US"/>
              </w:rPr>
              <w:t xml:space="preserve">ере согласно п. 1.2.3.2 Тарифов,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</w:t>
            </w:r>
            <w:r>
              <w:rPr>
                <w:sz w:val="20"/>
                <w:szCs w:val="20"/>
                <w:lang w:eastAsia="en-US"/>
              </w:rPr>
              <w:t xml:space="preserve">яжение денежными средствами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1.2.3.3.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0,25% от совокупного среднедневного остатка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если совокупный среднедневной ост</w:t>
            </w:r>
            <w:r>
              <w:rPr>
                <w:sz w:val="20"/>
                <w:szCs w:val="20"/>
                <w:lang w:eastAsia="en-US"/>
              </w:rPr>
              <w:t xml:space="preserve">аток равен нулю.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</w:t>
            </w:r>
            <w:r>
              <w:rPr>
                <w:sz w:val="20"/>
                <w:szCs w:val="20"/>
              </w:rPr>
              <w:t xml:space="preserve">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Совокупный среднедневной остаток рассчитывается как </w:t>
            </w:r>
            <w:r>
              <w:rPr>
                <w:sz w:val="20"/>
                <w:szCs w:val="20"/>
                <w:lang w:eastAsia="en-US"/>
              </w:rPr>
              <w:t xml:space="preserve">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</w:t>
            </w:r>
            <w:r>
              <w:rPr>
                <w:sz w:val="20"/>
                <w:szCs w:val="20"/>
                <w:lang w:eastAsia="en-US"/>
              </w:rPr>
              <w:t xml:space="preserve">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</w:t>
            </w:r>
            <w:r>
              <w:rPr>
                <w:sz w:val="20"/>
                <w:szCs w:val="20"/>
                <w:lang w:eastAsia="en-US"/>
              </w:rPr>
              <w:t xml:space="preserve">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</w:t>
            </w:r>
            <w:r>
              <w:rPr>
                <w:sz w:val="20"/>
                <w:szCs w:val="20"/>
                <w:lang w:eastAsia="en-US"/>
              </w:rPr>
              <w:t xml:space="preserve">ибочно зачисленных Банком денежных средств.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</w:t>
            </w:r>
            <w:r>
              <w:rPr>
                <w:sz w:val="20"/>
                <w:szCs w:val="20"/>
                <w:lang w:eastAsia="en-US"/>
              </w:rPr>
              <w:t xml:space="preserve">ере согласно п. 1.2.3.3 Тарифов, но 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</w:t>
            </w:r>
            <w:r>
              <w:rPr>
                <w:sz w:val="20"/>
                <w:szCs w:val="20"/>
                <w:lang w:eastAsia="en-US"/>
              </w:rPr>
              <w:t xml:space="preserve">яжение денежными средствами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1025"/>
        </w:trPr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Начисление процентов на остатки средств по текущему счету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 долл. США,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оказывается при налич</w:t>
            </w:r>
            <w:r>
              <w:rPr>
                <w:bCs/>
                <w:sz w:val="20"/>
                <w:szCs w:val="20"/>
              </w:rPr>
              <w:t xml:space="preserve">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759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20 долл. США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684" w:type="pct"/>
            <w:vAlign w:val="center"/>
            <w:textDirection w:val="lrTb"/>
            <w:noWrap w:val="false"/>
          </w:tcPr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</w:t>
            </w:r>
            <w:r>
              <w:rPr>
                <w:sz w:val="20"/>
                <w:szCs w:val="20"/>
              </w:rPr>
              <w:t xml:space="preserve">а – доллары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</w:t>
            </w:r>
            <w:r>
              <w:rPr>
                <w:bCs/>
                <w:sz w:val="20"/>
                <w:szCs w:val="20"/>
              </w:rPr>
              <w:t xml:space="preserve">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счета, открытые в АО «Россельхозбанк»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 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 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возврат перевода по письменному заявлению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</w:t>
            </w:r>
            <w:r>
              <w:rPr>
                <w:sz w:val="20"/>
                <w:szCs w:val="20"/>
              </w:rPr>
              <w:t xml:space="preserve">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1.3. Предоставление дополнительных услуг по счетам, открытым в Банке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vAlign w:val="center"/>
            <w:textDirection w:val="lrTb"/>
            <w:noWrap w:val="false"/>
          </w:tcPr>
          <w:p>
            <w:pPr>
              <w:ind w:left="-3" w:firstLine="3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vAlign w:val="center"/>
            <w:textDirection w:val="lrTb"/>
            <w:noWrap w:val="false"/>
          </w:tcPr>
          <w:p>
            <w:pPr>
              <w:ind w:left="-3" w:firstLine="3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 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за документ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t xml:space="preserve">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vAlign w:val="center"/>
            <w:textDirection w:val="lrTb"/>
            <w:noWrap w:val="false"/>
          </w:tcPr>
          <w:p>
            <w:pPr>
              <w:ind w:left="-6" w:firstLine="6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по счету </w:t>
            </w:r>
            <w:r>
              <w:rPr>
                <w:bCs/>
                <w:sz w:val="20"/>
                <w:szCs w:val="20"/>
              </w:rPr>
              <w:t xml:space="preserve">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vAlign w:val="center"/>
            <w:textDirection w:val="lrTb"/>
            <w:noWrap w:val="false"/>
          </w:tcPr>
          <w:p>
            <w:pPr>
              <w:ind w:left="-3" w:firstLine="3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3" w:firstLine="3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 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за документ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vAlign w:val="center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pct"/>
            <w:vAlign w:val="center"/>
            <w:textDirection w:val="lrTb"/>
            <w:noWrap w:val="false"/>
          </w:tcPr>
          <w:p>
            <w:pPr>
              <w:ind w:left="-3" w:firstLine="3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 за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</w:t>
            </w:r>
            <w:r>
              <w:rPr>
                <w:sz w:val="20"/>
                <w:szCs w:val="20"/>
              </w:rPr>
              <w:t xml:space="preserve">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 руб.                          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но не более 2000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vAlign w:val="center"/>
            <w:textDirection w:val="lrTb"/>
            <w:noWrap w:val="false"/>
          </w:tcPr>
          <w:p>
            <w:pPr>
              <w:ind w:left="-3" w:firstLine="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по счету крестьянского (фермерского) хозяйства</w:t>
            </w:r>
            <w:r>
              <w:rPr>
                <w:bCs/>
                <w:sz w:val="20"/>
                <w:szCs w:val="20"/>
              </w:rPr>
              <w:t xml:space="preserve"> (с целью оформления субсидии на возмещение затрат по уплате процентов по кредиту)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vAlign w:val="center"/>
            <w:textDirection w:val="lrTb"/>
            <w:noWrap w:val="false"/>
          </w:tcPr>
          <w:p>
            <w:pPr>
              <w:ind w:left="-3" w:firstLin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 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3" w:firstLin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но не более 500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 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заявлению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</w:t>
            </w:r>
            <w:r>
              <w:rPr>
                <w:sz w:val="20"/>
                <w:szCs w:val="20"/>
              </w:rPr>
              <w:t xml:space="preserve">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</w:t>
            </w:r>
            <w:r>
              <w:rPr>
                <w:bCs/>
                <w:sz w:val="20"/>
                <w:szCs w:val="20"/>
              </w:rPr>
              <w:t xml:space="preserve">елью оформления субсидии на возмещение затрат по уплате процентов по кредиту):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300 руб. за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</w:t>
            </w:r>
            <w:r>
              <w:rPr>
                <w:sz w:val="20"/>
                <w:szCs w:val="20"/>
              </w:rPr>
              <w:t xml:space="preserve">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давностью до трех месяцев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50 руб. за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давностью свыше трех месяцев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100 руб. за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720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 руб. 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государственным и бюджетным учреждениям, не имеющим расчетного счета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</w:t>
            </w:r>
            <w:r>
              <w:rPr>
                <w:sz w:val="20"/>
                <w:szCs w:val="20"/>
              </w:rPr>
              <w:t xml:space="preserve">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клиентов, включенных в региональную адресную программу по проведению капитального ремонта </w:t>
            </w:r>
            <w:r>
              <w:rPr>
                <w:sz w:val="20"/>
                <w:szCs w:val="20"/>
              </w:rPr>
              <w:t xml:space="preserve">мног</w:t>
            </w:r>
            <w:r>
              <w:rPr>
                <w:sz w:val="20"/>
                <w:szCs w:val="20"/>
              </w:rPr>
              <w:t xml:space="preserve">оквартирных домов, переселения граждан из аварийного жилищного фонда в соответствии с Федеральным законом от 21.07.2007 № 185ФЗ «О Фонде содействия реформированию жилищнокоммунального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</w:t>
            </w:r>
            <w:r>
              <w:rPr>
                <w:sz w:val="20"/>
                <w:szCs w:val="20"/>
              </w:rPr>
              <w:t xml:space="preserve">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 руб.                              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</w:t>
            </w:r>
            <w:r>
              <w:rPr>
                <w:sz w:val="20"/>
                <w:szCs w:val="20"/>
              </w:rPr>
              <w:t xml:space="preserve">ние документов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руб.  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</w:t>
            </w:r>
            <w:r>
              <w:rPr>
                <w:sz w:val="20"/>
                <w:szCs w:val="20"/>
              </w:rPr>
              <w:t xml:space="preserve">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</w:t>
            </w:r>
            <w:r>
              <w:rPr>
                <w:sz w:val="20"/>
                <w:szCs w:val="20"/>
              </w:rPr>
              <w:t xml:space="preserve">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</w:t>
            </w:r>
            <w:r>
              <w:rPr>
                <w:sz w:val="20"/>
                <w:szCs w:val="20"/>
                <w:lang w:val="en-US" w:eastAsia="en-US"/>
              </w:rPr>
              <w:t xml:space="preserve">4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</w:t>
            </w:r>
            <w:r>
              <w:rPr>
                <w:color w:val="000000"/>
                <w:sz w:val="20"/>
                <w:szCs w:val="20"/>
              </w:rPr>
              <w:t xml:space="preserve">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соглашения, заключенного между Банк</w:t>
            </w:r>
            <w:r>
              <w:rPr>
                <w:sz w:val="20"/>
                <w:szCs w:val="20"/>
                <w:lang w:eastAsia="en-US"/>
              </w:rPr>
              <w:t xml:space="preserve">ом и Клиентом.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пп. 1.3.1-1.3.3, 1.3.5-1.3.13 Тарифов не взимается.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3082"/>
        </w:trPr>
        <w:tc>
          <w:tcPr>
            <w:tcW w:w="447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1.3.15.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Срок действия  до 31 декабря 2025 года  (включительно).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 Комисс</w:t>
      </w:r>
      <w:r>
        <w:rPr>
          <w:i/>
          <w:sz w:val="16"/>
          <w:szCs w:val="16"/>
        </w:rPr>
        <w:t xml:space="preserve">ия по п.1.2.3.3 взимается за ведение счетов в следующих иностранных валютах: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Австралийский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Багамский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Болгарский лев;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Венгерский форинт;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Вон Республики Корея;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Гонконгский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Датская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Исландская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Канадский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Албанский лек;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Македонский денар;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Новозеландский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Норвежская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Польский злотый;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Румынский 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Сингапурский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Украинская гривна;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Фунт стерлингов Соединенного королевства;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Хорватская куна;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Чешская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Шведская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Швейцарский франк;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- Японская йена.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Примечания: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 Без взимания комиссии в Банке открываются и обслуживаются: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бюджетные счета (счета, открываемые на балансовых позициях 401-404);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счета бюджетных у</w:t>
      </w:r>
      <w:r>
        <w:rPr>
          <w:bCs/>
          <w:i/>
          <w:sz w:val="16"/>
          <w:szCs w:val="16"/>
        </w:rPr>
        <w:t xml:space="preserve">чреждений/казенных учреждений/автономных учреждений;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депозитные счета нотариусов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головного исполнителя;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</w:t>
      </w:r>
      <w:r>
        <w:rPr>
          <w:bCs/>
          <w:i/>
          <w:sz w:val="16"/>
          <w:szCs w:val="16"/>
        </w:rPr>
        <w:t xml:space="preserve">ганизациями средств компенсационного фонда;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</w:t>
      </w:r>
      <w:r>
        <w:rPr>
          <w:bCs/>
          <w:i/>
          <w:sz w:val="16"/>
          <w:szCs w:val="16"/>
        </w:rPr>
        <w:t xml:space="preserve"> компенсационного фонда обеспечения договорных обязательств;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публичные депозитные счета;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счета эскроу для расчетов по договору участия в долевом строительстве.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Дополнительно к указанным Тарифам Банк может взимать без предварительного уведомления клиента суммы в возмещение фактических расходов, понесенных </w:t>
      </w:r>
      <w:r>
        <w:rPr>
          <w:i/>
          <w:sz w:val="16"/>
          <w:szCs w:val="16"/>
        </w:rPr>
        <w:t xml:space="preserve">Банком при совершении операции по счету клиента, в том числе уплаченных банкамкорреспондентам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 1.1.5, 1.1.8, 1.1.12,.</w:t>
      </w:r>
      <w:r>
        <w:rPr>
          <w:i/>
          <w:sz w:val="16"/>
          <w:szCs w:val="16"/>
        </w:rPr>
        <w:t xml:space="preserve">Тарифов).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Комиссии взимаются Банком в день оказания соответствующих услуг, если иной порядок не указан в примечании к Тарифу.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Сумма комиссионного вознаграждения в иностранной валюте, может быть выражена в рублевом эквиваленте, пересчитанном по курсу </w:t>
      </w:r>
      <w:r>
        <w:rPr>
          <w:i/>
          <w:sz w:val="16"/>
          <w:szCs w:val="16"/>
        </w:rPr>
        <w:t xml:space="preserve">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</w:t>
      </w:r>
      <w:r>
        <w:rPr>
          <w:i/>
          <w:sz w:val="16"/>
          <w:szCs w:val="16"/>
        </w:rPr>
        <w:t xml:space="preserve">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19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Под обязательствами перед АО «Россельхозбанк» по кредитным сделкам понимаются: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19"/>
        <w:ind w:firstLine="70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</w:t>
      </w:r>
      <w:r>
        <w:rPr>
          <w:i/>
          <w:sz w:val="16"/>
          <w:szCs w:val="16"/>
        </w:rPr>
        <w:t xml:space="preserve">зательства по договорам и соглашениям, заключенным в обеспечение обязательств перед АО «Россельхозбанк» по вышеуказанным договорам, в том числе </w:t>
      </w:r>
      <w:r>
        <w:rPr>
          <w:i/>
          <w:sz w:val="16"/>
          <w:szCs w:val="16"/>
        </w:rPr>
        <w:br w:type="textWrapping" w:clear="all"/>
      </w:r>
      <w:r>
        <w:rPr>
          <w:i/>
          <w:sz w:val="16"/>
          <w:szCs w:val="16"/>
        </w:rPr>
        <w:t xml:space="preserve">по договорам залога, договорам поручительства (в том числе прекратившим свое действие).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/>
      <w:bookmarkStart w:id="7" w:name="_Toc421185894"/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Кассовые опер</w:t>
      </w:r>
      <w:r>
        <w:rPr>
          <w:b/>
          <w:sz w:val="22"/>
          <w:szCs w:val="22"/>
        </w:rPr>
        <w:t xml:space="preserve">ации*</w:t>
      </w:r>
      <w:bookmarkEnd w:id="7"/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31"/>
        <w:gridCol w:w="140"/>
        <w:gridCol w:w="3741"/>
        <w:gridCol w:w="1940"/>
        <w:gridCol w:w="277"/>
        <w:gridCol w:w="3186"/>
      </w:tblGrid>
      <w:tr>
        <w:tblPrEx/>
        <w:trPr>
          <w:tblHeader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 листов  200руб.,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листов  300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2.2. 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2.2.1.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jc w:val="both"/>
              <w:keepNext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выплаты социального характера (кассовый си</w:t>
            </w:r>
            <w:r>
              <w:rPr>
                <w:bCs/>
                <w:sz w:val="20"/>
                <w:szCs w:val="20"/>
              </w:rPr>
              <w:t xml:space="preserve">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0,9% от суммы,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минимум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 0,3 процентных пункта.       Комиссионное вознаграждение за услугу по выдаче денежной наличности с банковского счета юридического лица в валюте Российской Федераци</w:t>
            </w:r>
            <w:r>
              <w:rPr>
                <w:sz w:val="20"/>
                <w:szCs w:val="20"/>
              </w:rPr>
              <w:t xml:space="preserve">и на заработную плату и выплаты социального характера (кассовый символ 40):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взимается в соответствии с пунктом 2.2.1 при наличии в Банке в момент совершения операции надлежащим образом оформленного платежного поручения клиента, подтверждающего перечислени</w:t>
            </w:r>
            <w:r>
              <w:rPr>
                <w:sz w:val="20"/>
                <w:szCs w:val="20"/>
              </w:rPr>
              <w:t xml:space="preserve">е в бюджет со счетов, открытых в Банке, соответствующих сумм налога на доходы физических лиц, удержанных из заработной платы работников, за отчетный период**** (в случае применения указанного условия/тарифа в первый календарный месяц с даты введения его в </w:t>
            </w:r>
            <w:r>
              <w:rPr>
                <w:sz w:val="20"/>
                <w:szCs w:val="20"/>
              </w:rPr>
              <w:t xml:space="preserve">действие или в первый календарный месяц обслуживания клиента в Банке платежное поручение предоставляется с отметкой обслуживающего банка (в том числе иного) об исполнении);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взимается в соответствии с пунктом 2.2.1.1. при отсутствии в Банке в момент соверш</w:t>
            </w:r>
            <w:r>
              <w:rPr>
                <w:sz w:val="20"/>
                <w:szCs w:val="20"/>
              </w:rPr>
              <w:t xml:space="preserve">ения операции указанного документа.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2.2.1.1.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 заработную плату и выплаты социально</w:t>
            </w:r>
            <w:r>
              <w:rPr>
                <w:sz w:val="20"/>
                <w:szCs w:val="20"/>
                <w:lang w:eastAsia="en-US"/>
              </w:rPr>
              <w:t xml:space="preserve">го характера (кассовый символ 40) по предварительной заявке**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3% от суммы до 5 000 000,00 руб. (включительно);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10% от суммы с 5 000 000,01 руб. и выше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 выдаче денежной наличности без предварительной заявки** указанный тариф увеличивается на 0,3 процентных пункта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 и индивидуальным предпринимателям на другие цели, за исключением целей, связанных с выдачей денежной наличности на </w:t>
            </w:r>
            <w:r>
              <w:rPr>
                <w:bCs/>
                <w:sz w:val="20"/>
                <w:szCs w:val="20"/>
              </w:rPr>
              <w:t xml:space="preserve">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2% от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300 000 руб. (включительно)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3,5% от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300 000,01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1 500 000,00 руб. (включительно)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6,5% от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1 500 000,01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4 000 000,00 руб. (включительно)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10% от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4 000 000,01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 выше в течение календарного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 СУММА денежных средств, равная совокупности размера уже выданных клиенту в текущем календарном месяце средств и размера вновь зая</w:t>
            </w:r>
            <w:r>
              <w:rPr>
                <w:sz w:val="20"/>
                <w:szCs w:val="20"/>
              </w:rPr>
              <w:t xml:space="preserve">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 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</w:t>
            </w:r>
            <w:r>
              <w:rPr>
                <w:sz w:val="20"/>
                <w:szCs w:val="20"/>
              </w:rPr>
              <w:t xml:space="preserve">ции соответствует ставке, указанной к суммовой градации, в интервал которой относится рассчитанная ОБЩАЯ 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 0,5 процентных пункта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</w:t>
            </w:r>
            <w:r>
              <w:rPr>
                <w:bCs/>
                <w:sz w:val="20"/>
                <w:szCs w:val="20"/>
              </w:rPr>
              <w:t xml:space="preserve">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1 000 000,00 руб.</w:t>
            </w:r>
            <w:r>
              <w:rPr>
                <w:sz w:val="20"/>
                <w:szCs w:val="20"/>
              </w:rPr>
              <w:t xml:space="preserve"> (включительно) 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 1 000 000,01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2 000 000,00 руб. (включительно) 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 2 000 000,01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5 000 000,00 руб. (включительно) 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 5</w:t>
            </w:r>
            <w:r>
              <w:rPr>
                <w:sz w:val="20"/>
                <w:szCs w:val="20"/>
              </w:rPr>
              <w:t xml:space="preserve"> 000 000,01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10 000 000,00 руб. (включительно) 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 10 000 000,01 руб. и выше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</w:t>
            </w:r>
            <w:r>
              <w:rPr>
                <w:bCs/>
                <w:sz w:val="20"/>
                <w:szCs w:val="20"/>
              </w:rPr>
              <w:t xml:space="preserve">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</w:t>
            </w:r>
            <w:r>
              <w:rPr>
                <w:bCs/>
                <w:sz w:val="20"/>
                <w:szCs w:val="20"/>
              </w:rPr>
              <w:t xml:space="preserve"> в интервал которой относится рассчитанная ОБЩАЯ СУММА денежных средств.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75" w:type="pct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денежной наличности, поступившей по о</w:t>
            </w:r>
            <w:r>
              <w:rPr>
                <w:bCs/>
                <w:sz w:val="20"/>
                <w:szCs w:val="20"/>
              </w:rPr>
              <w:t xml:space="preserve">дному сопроводительному документу.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</w:t>
            </w:r>
            <w:r>
              <w:rPr>
                <w:color w:val="000000"/>
                <w:sz w:val="20"/>
                <w:szCs w:val="20"/>
              </w:rPr>
              <w:t xml:space="preserve">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0,09% от суммы,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250 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7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250 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7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0,09% от суммы,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250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7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монет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7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направ</w:t>
            </w:r>
            <w:r>
              <w:rPr>
                <w:sz w:val="20"/>
                <w:szCs w:val="20"/>
              </w:rPr>
              <w:t xml:space="preserve">ления на экспертизу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2.9. Размен банкнот/монет Банка России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 250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12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</w:t>
            </w:r>
            <w:r>
              <w:rPr>
                <w:sz w:val="20"/>
                <w:szCs w:val="20"/>
              </w:rPr>
              <w:t xml:space="preserve">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 250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71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 250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71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 250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заявке** за 3 рабочих дня до получения разменной монеты.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</w:t>
            </w:r>
            <w:r>
              <w:rPr>
                <w:sz w:val="20"/>
                <w:szCs w:val="20"/>
              </w:rPr>
              <w:t xml:space="preserve">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300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3,5% от суммы,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минимум 200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</w:t>
            </w:r>
            <w:r>
              <w:rPr>
                <w:sz w:val="20"/>
                <w:szCs w:val="20"/>
              </w:rPr>
              <w:t xml:space="preserve">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Комиссионное вознаграждение взимается Банком в день получения </w:t>
            </w:r>
            <w:r>
              <w:rPr>
                <w:sz w:val="20"/>
                <w:szCs w:val="20"/>
                <w:lang w:eastAsia="en-US"/>
              </w:rPr>
              <w:t xml:space="preserve">наличных денежных средств, дополнительно к комиссии, указанной в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п.п. 2.2.1-2.2.3 Тарифов.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Подготовка денежных средств для выдачи по предварительной заявке (комиссия взимается в случае не</w:t>
            </w:r>
            <w:r>
              <w:rPr>
                <w:bCs/>
                <w:sz w:val="20"/>
                <w:szCs w:val="20"/>
              </w:rPr>
              <w:t xml:space="preserve">получения клиентом заказанных наличных денежных средств)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Операции по обслуживанию бюджетных счетов (счета, открываемые на балансовых позициях 401-404)</w:t>
      </w:r>
      <w:r>
        <w:rPr>
          <w:i/>
          <w:sz w:val="16"/>
          <w:szCs w:val="16"/>
        </w:rPr>
        <w:t xml:space="preserve">, </w:t>
      </w:r>
      <w:r>
        <w:rPr>
          <w:bCs/>
          <w:i/>
          <w:sz w:val="16"/>
          <w:szCs w:val="16"/>
        </w:rPr>
        <w:t xml:space="preserve">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</w:t>
      </w:r>
      <w:r>
        <w:rPr>
          <w:bCs/>
          <w:i/>
          <w:sz w:val="16"/>
          <w:szCs w:val="16"/>
        </w:rPr>
        <w:t xml:space="preserve">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</w:t>
      </w:r>
      <w:r>
        <w:rPr>
          <w:bCs/>
          <w:i/>
          <w:sz w:val="16"/>
          <w:szCs w:val="16"/>
        </w:rPr>
        <w:t xml:space="preserve"> операции» настоящих тарифов.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**) Предварительная заявка клиента – это письменное заявление клиента о намерении получить денежную наличн</w:t>
      </w:r>
      <w:r>
        <w:rPr>
          <w:i/>
          <w:sz w:val="16"/>
          <w:szCs w:val="16"/>
        </w:rPr>
        <w:t xml:space="preserve">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</w:t>
      </w:r>
      <w:r>
        <w:rPr>
          <w:i/>
          <w:sz w:val="16"/>
          <w:szCs w:val="16"/>
        </w:rPr>
        <w:t xml:space="preserve">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</w:t>
      </w:r>
      <w:r>
        <w:rPr>
          <w:i/>
          <w:sz w:val="16"/>
          <w:szCs w:val="16"/>
        </w:rPr>
        <w:t xml:space="preserve">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Под отчетным периодом понимается последний календарн</w:t>
      </w:r>
      <w:r>
        <w:rPr>
          <w:i/>
          <w:sz w:val="16"/>
          <w:szCs w:val="16"/>
        </w:rPr>
        <w:t xml:space="preserve">ый месяц, за который произведен окончательный расчет с работниками по заработной плате в порядке, предусмотренном законодательством Российской Федерации.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*****) Принадлежность Клиента к агропромышленному комплексу (АПК) определяется по видам экономической </w:t>
      </w:r>
      <w:r>
        <w:rPr>
          <w:i/>
          <w:sz w:val="16"/>
          <w:szCs w:val="16"/>
        </w:rPr>
        <w:t xml:space="preserve">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01 - Растениеводство и животноводство, охота и предоставление соответствующих услуг в этих областях (включая</w:t>
      </w:r>
      <w:r>
        <w:rPr>
          <w:i/>
          <w:sz w:val="16"/>
          <w:szCs w:val="16"/>
        </w:rPr>
        <w:t xml:space="preserve">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10 - Производство пищевых продуктов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12 - Производство табачных изделий (включая все под</w:t>
      </w:r>
      <w:r>
        <w:rPr>
          <w:i/>
          <w:sz w:val="16"/>
          <w:szCs w:val="16"/>
        </w:rPr>
        <w:t xml:space="preserve">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46.21.1 - Торговля оптовая зерном, семенами и кормами для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46.21.11 - Торговля оптовая зерном.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46.21.12 - Торговля оптовая семенами, кроме семян масличных культур.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46.21.14 - Торговля оптовая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46.21.19 - Торговля оптовая сельскохозяйственным сырьем, не включенным в другие группировки.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46.22 - Торговля оптовая цветами и растениями.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46.23 - Торговля оптовая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</w:t>
      </w:r>
      <w:r>
        <w:rPr>
          <w:i/>
          <w:sz w:val="16"/>
          <w:szCs w:val="16"/>
        </w:rPr>
        <w:t xml:space="preserve">.31 - Торговля оптовая фруктами 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46.31.1 - Торговля оптовая свежими овощами,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46.31.11 - Торговля оптовая свежим картофелем.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46.31.12 - Торговля оптовая прочими свежими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46.31.13 - Торговля оптовая свежими фруктами и ор</w:t>
      </w:r>
      <w:r>
        <w:rPr>
          <w:i/>
          <w:sz w:val="16"/>
          <w:szCs w:val="16"/>
        </w:rPr>
        <w:t xml:space="preserve">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46.32 - Торговля оптовая мясом и мясными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46.32.2 - Торговля оптовая продуктами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46.32.3 - Торговля оптовая консервами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46.33 -</w:t>
      </w:r>
      <w:r>
        <w:rPr>
          <w:i/>
          <w:sz w:val="16"/>
          <w:szCs w:val="16"/>
        </w:rPr>
        <w:t xml:space="preserve"> Торговля оптовая молочными продуктами, яйцами и пищевыми маслами,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46.33.1 - Торговля оптовая молочными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46.33.2 - Торговля оптовая яйцами.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46.33.3 - Торговля оптовая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47.21 - Торговля розничная фруктами и ово</w:t>
      </w:r>
      <w:r>
        <w:rPr>
          <w:i/>
          <w:sz w:val="16"/>
          <w:szCs w:val="16"/>
        </w:rPr>
        <w:t xml:space="preserve">щами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47.21.2 - Торговля розничная консервированными фруктами и овощами,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</w:t>
      </w:r>
      <w:r>
        <w:rPr>
          <w:i/>
          <w:sz w:val="16"/>
          <w:szCs w:val="16"/>
        </w:rPr>
        <w:t xml:space="preserve">7.22 - Торговля розничная мясом и мясными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47.22.2 - Торговля розничная продуктами из мяса и мяса птицы в специа</w:t>
      </w:r>
      <w:r>
        <w:rPr>
          <w:i/>
          <w:sz w:val="16"/>
          <w:szCs w:val="16"/>
        </w:rPr>
        <w:t xml:space="preserve">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47.29.1 - Торговля розничная молочными продуктами и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47.29.11 - Торговля розничная молочными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47.29.2 - Торговля розничная пищевыми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47.29.21 - Торгов</w:t>
      </w:r>
      <w:r>
        <w:rPr>
          <w:i/>
          <w:sz w:val="16"/>
          <w:szCs w:val="16"/>
        </w:rPr>
        <w:t xml:space="preserve">ля розничная животными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47.29.22 - Торговля розничная растительными маслами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*****) В соответствии с Федеральным законом от 10 июля 2023 года № 304-ФЗ </w:t>
      </w:r>
      <w:r>
        <w:rPr>
          <w:bCs/>
          <w:i/>
          <w:sz w:val="16"/>
          <w:szCs w:val="16"/>
        </w:rPr>
        <w:br/>
        <w:t xml:space="preserve">«О внесении изменения в с</w:t>
      </w:r>
      <w:r>
        <w:rPr>
          <w:bCs/>
          <w:i/>
          <w:sz w:val="16"/>
          <w:szCs w:val="16"/>
        </w:rPr>
        <w:t xml:space="preserve">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(или) черных металлов у физических лиц. При снятии</w:t>
      </w:r>
      <w:r>
        <w:rPr>
          <w:bCs/>
          <w:i/>
          <w:sz w:val="16"/>
          <w:szCs w:val="16"/>
        </w:rPr>
        <w:t xml:space="preserve">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******) Банк не принимает поврежденные банкнот</w:t>
      </w:r>
      <w:r>
        <w:rPr>
          <w:bCs/>
          <w:i/>
          <w:sz w:val="16"/>
          <w:szCs w:val="16"/>
        </w:rPr>
        <w:t xml:space="preserve">ы иностранных государств.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21"/>
        <w:jc w:val="center"/>
        <w:rPr>
          <w:sz w:val="24"/>
          <w:szCs w:val="24"/>
        </w:rPr>
      </w:pPr>
      <w:r/>
      <w:bookmarkStart w:id="8" w:name="_Toc3391772"/>
      <w:r/>
      <w:bookmarkStart w:id="9" w:name="_Toc3391833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jc w:val="center"/>
        <w:rPr>
          <w:bCs w:val="0"/>
          <w:sz w:val="22"/>
          <w:szCs w:val="22"/>
        </w:rPr>
      </w:pPr>
      <w:r>
        <w:rPr>
          <w:sz w:val="24"/>
          <w:szCs w:val="24"/>
        </w:rPr>
        <w:t xml:space="preserve">3</w:t>
      </w:r>
      <w:r>
        <w:rPr>
          <w:bCs w:val="0"/>
          <w:sz w:val="22"/>
          <w:szCs w:val="22"/>
        </w:rPr>
        <w:t xml:space="preserve">. Выполнение функций агента валютного контроля</w:t>
      </w:r>
      <w:bookmarkEnd w:id="8"/>
      <w:r/>
      <w:bookmarkEnd w:id="9"/>
      <w:r>
        <w:rPr>
          <w:bCs w:val="0"/>
          <w:sz w:val="22"/>
          <w:szCs w:val="22"/>
        </w:rPr>
      </w:r>
      <w:r>
        <w:rPr>
          <w:bCs w:val="0"/>
          <w:sz w:val="22"/>
          <w:szCs w:val="22"/>
        </w:rPr>
      </w:r>
    </w:p>
    <w:p>
      <w:pPr>
        <w:jc w:val="center"/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(размер тарифов указан без учета НДС)*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6"/>
        <w:gridCol w:w="2848"/>
        <w:gridCol w:w="2280"/>
        <w:gridCol w:w="4131"/>
      </w:tblGrid>
      <w:tr>
        <w:tblPrEx/>
        <w:trPr>
          <w:cantSplit/>
          <w:tblHeader/>
        </w:trPr>
        <w:tc>
          <w:tcPr>
            <w:shd w:val="clear" w:color="auto" w:fill="fff2cc"/>
            <w:tcW w:w="423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   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140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204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27" w:type="pct"/>
            <w:textDirection w:val="lrTb"/>
            <w:noWrap w:val="false"/>
          </w:tcPr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0,15 %          минимум 500 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голо</w:t>
            </w:r>
            <w:r>
              <w:rPr>
                <w:sz w:val="20"/>
                <w:szCs w:val="20"/>
              </w:rPr>
              <w:t xml:space="preserve">вного офиса (далее  ГО),  РФ АО «Россельхозбанк» - «Центр розничного и малого бизнеса» (далее – «ЦРМБ») и РФ АО «Россельхозбанк»  «ЦКБ» (далее  ЦКБ),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300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других региональных филиалов АО «Россельхозбанк» (далее  РФ Банка)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042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</w:t>
            </w:r>
            <w:r>
              <w:rPr>
                <w:sz w:val="20"/>
                <w:szCs w:val="20"/>
              </w:rPr>
              <w:t xml:space="preserve">тся в срок не позднее следующего 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right" w:pos="2761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перечислением денежных средств с транзитного валютного счета резидента для зачисления на расчетный </w:t>
            </w:r>
            <w:r>
              <w:rPr>
                <w:sz w:val="20"/>
                <w:szCs w:val="20"/>
              </w:rPr>
              <w:t xml:space="preserve">валютный счет этого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</w:t>
            </w:r>
            <w:r>
              <w:rPr>
                <w:sz w:val="20"/>
                <w:szCs w:val="20"/>
              </w:rPr>
              <w:t xml:space="preserve">связанным с зачислением денежных средств на расчетный и депозитный счет, открытый в Банке, перечисленных со своего счета, открытого в банкенерезиденте;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зачислением денежных средств на расчетные счета и идентифицированных резидент</w:t>
            </w:r>
            <w:r>
              <w:rPr>
                <w:sz w:val="20"/>
                <w:szCs w:val="20"/>
              </w:rPr>
              <w:t xml:space="preserve">ом как ошибочно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списании денежных средств, связанны</w:t>
            </w:r>
            <w:r>
              <w:rPr>
                <w:sz w:val="20"/>
                <w:szCs w:val="20"/>
              </w:rPr>
              <w:t xml:space="preserve">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</w:t>
            </w:r>
            <w:r>
              <w:rPr>
                <w:bCs/>
                <w:sz w:val="20"/>
                <w:szCs w:val="20"/>
              </w:rPr>
              <w:t xml:space="preserve">лицклиентов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042" w:type="pct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450 руб.                   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042" w:type="pct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700 руб.                    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042" w:type="pct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3.3. Постановка контракта (кредитного договора) на учет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27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extDirection w:val="lrTb"/>
            <w:noWrap w:val="false"/>
          </w:tcPr>
          <w:p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</w:t>
            </w:r>
            <w:r>
              <w:rPr>
                <w:bCs/>
                <w:sz w:val="20"/>
                <w:szCs w:val="20"/>
              </w:rPr>
              <w:t xml:space="preserve">та (кредитного договора) на учет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27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  <w:r>
              <w:rPr>
                <w:color w:val="000000"/>
                <w:sz w:val="20"/>
                <w:szCs w:val="20"/>
              </w:rPr>
              <w:t xml:space="preserve">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3.3.4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предоставлении/ получении документов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на бумажном носителе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1 500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4 000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2" w:type="pct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дополнительно к комиссии по пункта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Услуга оказывается при условии предоставления в Банк до 15:00 ч. текущего рабочего дня (по местному времени) полного пакета надлежа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 случае отсутствия на счете клиента денежных средств в сумме, достаточной для оплаты комиссии, услуги по валютному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контролю оказываются без учета условия срочности.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3.4. Проверка и оформление Банком документов валютного контроля за резидента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  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restart"/>
            <w:textDirection w:val="lrTb"/>
            <w:noWrap w:val="false"/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500 руб.                  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 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042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bCs/>
                <w:sz w:val="20"/>
                <w:szCs w:val="20"/>
              </w:rPr>
              <w:t xml:space="preserve">мплекта документов и информации для оформления Банком СПД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 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042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 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042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3.5. Снятие контракта (кредитного договора) с учета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переводе контракта (кредитного договора)  из регионального филиала Банка в головной офис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</w:t>
            </w:r>
            <w:r>
              <w:rPr>
                <w:bCs/>
                <w:sz w:val="20"/>
                <w:szCs w:val="20"/>
              </w:rPr>
              <w:t xml:space="preserve">контракта (кре</w:t>
            </w:r>
            <w:r>
              <w:rPr>
                <w:bCs/>
                <w:sz w:val="20"/>
                <w:szCs w:val="20"/>
              </w:rPr>
              <w:t xml:space="preserve">дитного договора) на учет </w:t>
            </w:r>
            <w:r>
              <w:rPr>
                <w:sz w:val="20"/>
                <w:szCs w:val="20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0,15 % минимум 500 руб., максимум 80 000 руб. для ГО, ЦРМБ 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300 руб., максимум 80 000 руб. для других РФ 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 общей суммы неоплаченных подтверждающих документов. Рассчит</w:t>
            </w:r>
            <w:r>
              <w:rPr>
                <w:sz w:val="20"/>
                <w:szCs w:val="20"/>
              </w:rPr>
              <w:t xml:space="preserve">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250 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 10 000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ГО, ЦРМБ 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150 руб</w:t>
            </w:r>
            <w:r>
              <w:rPr>
                <w:sz w:val="20"/>
                <w:szCs w:val="20"/>
              </w:rPr>
              <w:t xml:space="preserve">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 5 000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других РФ 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bCs/>
                <w:sz w:val="20"/>
                <w:szCs w:val="20"/>
              </w:rPr>
              <w:t xml:space="preserve">оказания услуги</w:t>
            </w:r>
            <w:r>
              <w:rPr>
                <w:sz w:val="20"/>
                <w:szCs w:val="20"/>
              </w:rPr>
              <w:t xml:space="preserve">*</w:t>
            </w:r>
            <w:r>
              <w:rPr>
                <w:bCs/>
                <w:sz w:val="20"/>
                <w:szCs w:val="20"/>
              </w:rPr>
              <w:t xml:space="preserve">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переводом нерезидентом денежных средств на свои расчетные и депозитные счета, открытые в Ба</w:t>
            </w:r>
            <w:r>
              <w:rPr>
                <w:sz w:val="20"/>
                <w:szCs w:val="20"/>
              </w:rPr>
              <w:t xml:space="preserve">нке/в других уполномоченных банках на территории Российской Федерации, а также в банкахнерезидентах;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 в рамках договоров о перечислении юридическим лиц</w:t>
            </w:r>
            <w:r>
              <w:rPr>
                <w:sz w:val="20"/>
                <w:szCs w:val="20"/>
              </w:rPr>
              <w:t xml:space="preserve">ом денежных средств со своего банковского счета в пользу нескольких физических лицклиентов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</w:t>
            </w:r>
            <w:r>
              <w:rPr>
                <w:sz w:val="20"/>
                <w:szCs w:val="20"/>
              </w:rPr>
              <w:t xml:space="preserve">о запросу клиента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руб. за лист, максимум 1 000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extDirection w:val="lrTb"/>
            <w:noWrap w:val="false"/>
          </w:tcPr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extDirection w:val="lrTb"/>
            <w:noWrap w:val="false"/>
          </w:tcPr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 xml:space="preserve">к услуге.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 xml:space="preserve">за днем подачи клиентом в Банк заявления о </w:t>
            </w:r>
            <w:r>
              <w:rPr>
                <w:color w:val="000000"/>
                <w:sz w:val="20"/>
                <w:szCs w:val="20"/>
              </w:rPr>
              <w:t xml:space="preserve">подключении услуги, далее ежемесячно в первый рабочий день месяца.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 xml:space="preserve">и предоставляется только резидентам.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Примечание:</w:t>
      </w:r>
      <w:r>
        <w:rPr>
          <w:sz w:val="16"/>
          <w:szCs w:val="16"/>
          <w:u w:val="single"/>
        </w:rPr>
      </w:r>
      <w:r>
        <w:rPr>
          <w:sz w:val="16"/>
          <w:szCs w:val="16"/>
          <w:u w:val="single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Понятия и термины применяются в значениях, определенных в Инструкции Центрального банка Российской Федераци</w:t>
      </w:r>
      <w:r>
        <w:rPr>
          <w:bCs/>
          <w:sz w:val="16"/>
          <w:szCs w:val="16"/>
        </w:rPr>
        <w:t xml:space="preserve">и от 16.08.2017 № 181И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</w:t>
      </w:r>
      <w:r>
        <w:rPr>
          <w:bCs/>
          <w:sz w:val="16"/>
          <w:szCs w:val="16"/>
        </w:rPr>
        <w:t xml:space="preserve">ставления» (далее  </w:t>
      </w:r>
      <w:r>
        <w:rPr>
          <w:sz w:val="16"/>
          <w:szCs w:val="16"/>
        </w:rPr>
        <w:t xml:space="preserve">Инструкция Банка России № 181И)</w:t>
      </w:r>
      <w:r>
        <w:rPr>
          <w:bCs/>
          <w:sz w:val="16"/>
          <w:szCs w:val="16"/>
        </w:rPr>
        <w:t xml:space="preserve">.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Порядок представления документов при выполнении Банком функций агента валютного контроля установлен Регламентом взаимодействия клиентов с АО «Россельхозбанк» при осуществлении операций, подлежащих валютно</w:t>
      </w:r>
      <w:r>
        <w:rPr>
          <w:bCs/>
          <w:sz w:val="16"/>
          <w:szCs w:val="16"/>
        </w:rPr>
        <w:t xml:space="preserve">му контролю.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Комиссионное вознаграждение начисляется в валюте РФ. Комиссионное в</w:t>
      </w:r>
      <w:r>
        <w:rPr>
          <w:sz w:val="16"/>
          <w:szCs w:val="16"/>
        </w:rPr>
        <w:t xml:space="preserve">ознаграждение по операциям в иностранной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</w:t>
      </w:r>
      <w:r>
        <w:rPr>
          <w:sz w:val="16"/>
          <w:szCs w:val="16"/>
        </w:rPr>
        <w:t xml:space="preserve">нного эквивалента в валюте РФ.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spacing w:before="120"/>
        <w:rPr>
          <w:sz w:val="16"/>
          <w:szCs w:val="16"/>
        </w:rPr>
      </w:pPr>
      <w:r>
        <w:rPr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списании комиссионного вознаграждения </w:t>
      </w:r>
      <w:r>
        <w:rPr>
          <w:sz w:val="16"/>
          <w:szCs w:val="16"/>
        </w:rPr>
        <w:t xml:space="preserve">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** В случае перевода (зачисления) ден</w:t>
      </w:r>
      <w:r>
        <w:rPr>
          <w:bCs/>
          <w:sz w:val="16"/>
          <w:szCs w:val="16"/>
        </w:rPr>
        <w:t xml:space="preserve">ежных средств общей суммой: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по нескольким контрактам (договорам) расчет комиссии производится по каждому контракту (договору);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по нескольким кодам вида операций, указанным в Приложении 1 к Инструкции Банка России № 181И расчет комиссии производится по ка</w:t>
      </w:r>
      <w:r>
        <w:rPr>
          <w:bCs/>
          <w:sz w:val="16"/>
          <w:szCs w:val="16"/>
        </w:rPr>
        <w:t xml:space="preserve">ждому коду вида операции.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Комиссионное вознаграждение взимается: 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с расчетного счета клиентарезидента, осуществляющего платеж в качестве третьего/другого лица, в случае одновременного обслуживания клиентарезидента, поставившего контракт (кредитный договор</w:t>
      </w:r>
      <w:r>
        <w:rPr>
          <w:bCs/>
          <w:sz w:val="16"/>
          <w:szCs w:val="16"/>
        </w:rPr>
        <w:t xml:space="preserve">) на учет, и клиентарезидента, являющегося третьим/другим лицо;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с расчетного счета клиентарезидента, являющегося резидентомагентом (комиссионером) и действующего от имени и за счет другого резидента (нерезидента)принципала (комитента) в случае одновременн</w:t>
      </w:r>
      <w:r>
        <w:rPr>
          <w:bCs/>
          <w:sz w:val="16"/>
          <w:szCs w:val="16"/>
        </w:rPr>
        <w:t xml:space="preserve">ого обслуживания резидентаагента (комиссионера), поставившего контракт (кредитный договор) на учет, и резидента (нерезидента)принципала (комитента); 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с расчетного счета клиентарезидента, являющегося финансовым агентом (фактором), в случае одновременного о</w:t>
      </w:r>
      <w:r>
        <w:rPr>
          <w:bCs/>
          <w:sz w:val="16"/>
          <w:szCs w:val="16"/>
        </w:rPr>
        <w:t xml:space="preserve">бслуживания резидентафинансового агента (фактора) и резидента, поставившего контракт на учет.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right="-2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</w:t>
      </w:r>
      <w:r>
        <w:rPr>
          <w:sz w:val="16"/>
          <w:szCs w:val="16"/>
        </w:rPr>
        <w:t xml:space="preserve">крытый в банкенерезиденте,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spacing w:before="120"/>
        <w:rPr>
          <w:sz w:val="16"/>
          <w:szCs w:val="16"/>
        </w:rPr>
      </w:pPr>
      <w:r>
        <w:rPr>
          <w:sz w:val="16"/>
          <w:szCs w:val="16"/>
        </w:rPr>
        <w:t xml:space="preserve">*** Днем оказания услуги по валютному контролю является: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numPr>
          <w:ilvl w:val="0"/>
          <w:numId w:val="17"/>
        </w:numPr>
        <w:contextualSpacing/>
        <w:ind w:left="0" w:firstLine="567"/>
        <w:jc w:val="both"/>
        <w:tabs>
          <w:tab w:val="left" w:pos="851" w:leader="none"/>
        </w:tabs>
        <w:rPr>
          <w:bCs/>
          <w:sz w:val="16"/>
          <w:szCs w:val="16"/>
        </w:rPr>
      </w:pPr>
      <w:r>
        <w:rPr>
          <w:sz w:val="16"/>
          <w:szCs w:val="16"/>
        </w:rPr>
        <w:t xml:space="preserve">По операциям резиде</w:t>
      </w:r>
      <w:r>
        <w:rPr>
          <w:sz w:val="16"/>
          <w:szCs w:val="16"/>
        </w:rPr>
        <w:t xml:space="preserve">нтов, в том числе</w:t>
      </w:r>
      <w:r>
        <w:rPr>
          <w:bCs/>
          <w:sz w:val="16"/>
          <w:szCs w:val="16"/>
        </w:rPr>
        <w:t xml:space="preserve"> при переводе клиентомрезидентом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right="-2"/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день списания денежных средств с расчетного счета клиентарезидента;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right="-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принятия Банком информации о коде вида операции, соответствующем наименованию вида операции, указанному в приложении 1 к Инструкции Банка России № 181И;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contextualSpacing/>
        <w:ind w:right="-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принятия Банком информации об уникальном номере контракта (кредитного договора);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contextualSpacing/>
        <w:ind w:right="-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прин</w:t>
      </w:r>
      <w:r>
        <w:rPr>
          <w:b/>
          <w:sz w:val="16"/>
          <w:szCs w:val="16"/>
        </w:rPr>
        <w:t xml:space="preserve">ятия Банком документов, связанных с проведением валютной операции;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contextualSpacing/>
        <w:ind w:right="-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принятия Банком сведений уполномоченного банка о проведенной операции.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numPr>
          <w:ilvl w:val="0"/>
          <w:numId w:val="17"/>
        </w:numPr>
        <w:ind w:left="0" w:right="-2" w:firstLine="567"/>
        <w:jc w:val="both"/>
        <w:tabs>
          <w:tab w:val="left" w:pos="85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направления резиденту информации о коде вида операции.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3.</w:t>
      </w:r>
      <w:r>
        <w:rPr>
          <w:sz w:val="16"/>
          <w:szCs w:val="16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присвоения Банком экспортному контра</w:t>
      </w:r>
      <w:r>
        <w:rPr>
          <w:b/>
          <w:sz w:val="16"/>
          <w:szCs w:val="16"/>
        </w:rPr>
        <w:t xml:space="preserve">кту уникального номера.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ind w:firstLine="567"/>
        <w:jc w:val="both"/>
        <w:tabs>
          <w:tab w:val="left" w:pos="709" w:leader="none"/>
          <w:tab w:val="left" w:pos="851" w:leader="none"/>
          <w:tab w:val="left" w:pos="1134" w:leader="none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4.</w:t>
      </w:r>
      <w:r>
        <w:rPr>
          <w:bCs/>
          <w:sz w:val="16"/>
          <w:szCs w:val="16"/>
        </w:rPr>
        <w:tab/>
        <w:t xml:space="preserve">При проверке СПД: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ind w:firstLine="567"/>
        <w:jc w:val="both"/>
        <w:tabs>
          <w:tab w:val="left" w:pos="851" w:leader="none"/>
          <w:tab w:val="left" w:pos="1134" w:leader="none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день принятия Банком СПД.</w:t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5.</w:t>
      </w:r>
      <w:r>
        <w:rPr>
          <w:sz w:val="16"/>
          <w:szCs w:val="16"/>
        </w:rPr>
        <w:tab/>
        <w:t xml:space="preserve">При оформлении Банком СПД за клиента: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оформления Банком СПД.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6.</w:t>
      </w:r>
      <w:r>
        <w:rPr>
          <w:sz w:val="16"/>
          <w:szCs w:val="16"/>
        </w:rPr>
        <w:tab/>
        <w:t xml:space="preserve">При снятии контракта (кредитного договора) с учета: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снятия Банком контракта (кредитного договора) с учета</w:t>
      </w:r>
      <w:r>
        <w:rPr>
          <w:b/>
          <w:sz w:val="16"/>
          <w:szCs w:val="16"/>
        </w:rPr>
        <w:t xml:space="preserve">.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7.</w:t>
      </w:r>
      <w:r>
        <w:rPr>
          <w:sz w:val="16"/>
          <w:szCs w:val="16"/>
        </w:rPr>
        <w:tab/>
        <w:t xml:space="preserve">При списании денежных средств с расчетного счета клиентанерезидента  юридического лица в валюте Российской Федерации: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списания денежных средств с расчетного счета клиентанерезидента.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sz w:val="16"/>
          <w:szCs w:val="16"/>
        </w:rPr>
      </w:pPr>
      <w:r>
        <w:rPr>
          <w:sz w:val="16"/>
          <w:szCs w:val="16"/>
        </w:rPr>
        <w:t xml:space="preserve">8.</w:t>
      </w:r>
      <w:r>
        <w:rPr>
          <w:sz w:val="16"/>
          <w:szCs w:val="16"/>
        </w:rPr>
        <w:tab/>
        <w:t xml:space="preserve">При представлении клиенту копий документов из досье валютно</w:t>
      </w:r>
      <w:r>
        <w:rPr>
          <w:sz w:val="16"/>
          <w:szCs w:val="16"/>
        </w:rPr>
        <w:t xml:space="preserve">го контроля: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ind w:right="-2" w:firstLine="567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 день направления клиенту копий документов.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spacing w:before="120"/>
        <w:rPr>
          <w:sz w:val="16"/>
          <w:szCs w:val="16"/>
        </w:rPr>
      </w:pPr>
      <w:r>
        <w:rPr>
          <w:sz w:val="16"/>
          <w:szCs w:val="16"/>
        </w:rPr>
        <w:t xml:space="preserve">**** В случае перевода </w:t>
      </w:r>
      <w:r>
        <w:rPr>
          <w:bCs/>
          <w:sz w:val="16"/>
          <w:szCs w:val="16"/>
        </w:rPr>
        <w:t xml:space="preserve">контракта (кредитного договора) на учет </w:t>
      </w:r>
      <w:r>
        <w:rPr>
          <w:sz w:val="16"/>
          <w:szCs w:val="16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</w:t>
      </w:r>
      <w:r>
        <w:rPr>
          <w:sz w:val="16"/>
          <w:szCs w:val="16"/>
        </w:rPr>
        <w:t xml:space="preserve">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 3.5.2 и 3.5.3.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/>
      <w:bookmarkStart w:id="10" w:name="_Toc421185896"/>
      <w:r>
        <w:rPr>
          <w:b/>
          <w:sz w:val="22"/>
          <w:szCs w:val="22"/>
        </w:rPr>
        <w:t xml:space="preserve">4. Операции с ценными бумагами</w:t>
      </w:r>
      <w:bookmarkEnd w:id="10"/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32"/>
        <w:gridCol w:w="3880"/>
        <w:gridCol w:w="1940"/>
        <w:gridCol w:w="3463"/>
      </w:tblGrid>
      <w:tr>
        <w:tblPrEx/>
        <w:trPr>
          <w:tblHeader/>
        </w:trPr>
        <w:tc>
          <w:tcPr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18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959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589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Оформление бланка векселя АО «Россельхозбанк» в головном офисе АО «Россельхозбанк»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 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 на приобретение векселя АО 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restar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589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Оформление бланка векселя АО «Россельхозбанк» в региональных филиалах АО «Россельхозбанк»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continue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 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 на приобретение векселя АО «Россельхозбанк» серии «К».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continue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589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411" w:type="pct"/>
            <w:vMerge w:val="continue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 100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vMerge w:val="restar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continue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30 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 100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vMerge w:val="continue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continue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 30 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restar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589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Проведение залоговых операций с векселем АО «Россельхозбанк» серии «К»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continue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 АО «Россельхозбанк» серии «К» головным офисом и региональным филиалом АО 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 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 «Россельхозбанк» в заклад Банку.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</w:t>
            </w:r>
            <w:r>
              <w:rPr>
                <w:sz w:val="20"/>
                <w:szCs w:val="20"/>
              </w:rPr>
              <w:t xml:space="preserve"> лицам по их требованию, составленному в произвольной письменной форме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 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 7 дней с даты получения АО «Россельхозбанк» соответствующ</w:t>
            </w:r>
            <w:r>
              <w:rPr>
                <w:sz w:val="20"/>
                <w:szCs w:val="20"/>
              </w:rPr>
              <w:t xml:space="preserve">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 «Россельхозбанк» владельцам ценных бумаг и иным лицам в соответствии с</w:t>
            </w:r>
            <w:r>
              <w:rPr>
                <w:sz w:val="20"/>
                <w:szCs w:val="20"/>
              </w:rPr>
              <w:t xml:space="preserve"> законодательством), представлены на сайте Банка сети Интернет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921"/>
        <w:jc w:val="center"/>
        <w:rPr>
          <w:sz w:val="22"/>
          <w:szCs w:val="22"/>
        </w:rPr>
      </w:pPr>
      <w:r/>
      <w:bookmarkStart w:id="11" w:name="_Toc421185897"/>
      <w:r/>
      <w:bookmarkStart w:id="12" w:name="_Toc3391773"/>
      <w:r/>
      <w:bookmarkStart w:id="13" w:name="_Toc3391834"/>
      <w:r>
        <w:rPr>
          <w:sz w:val="22"/>
          <w:szCs w:val="22"/>
        </w:rPr>
        <w:t xml:space="preserve">5. Документарные операции</w:t>
      </w:r>
      <w:bookmarkEnd w:id="11"/>
      <w:r/>
      <w:bookmarkEnd w:id="12"/>
      <w:r/>
      <w:bookmarkEnd w:id="1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5019" w:type="pct"/>
        <w:tblInd w:w="-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16"/>
        <w:gridCol w:w="259"/>
        <w:gridCol w:w="3216"/>
        <w:gridCol w:w="269"/>
        <w:gridCol w:w="1917"/>
        <w:gridCol w:w="518"/>
        <w:gridCol w:w="3158"/>
      </w:tblGrid>
      <w:tr>
        <w:tblPrEx/>
        <w:trPr>
          <w:cantSplit/>
          <w:tblHeader/>
        </w:trPr>
        <w:tc>
          <w:tcPr>
            <w:gridSpan w:val="2"/>
            <w:shd w:val="clear" w:color="auto" w:fill="fff2cc"/>
            <w:tcW w:w="479" w:type="pc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п/п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shd w:val="clear" w:color="auto" w:fill="fff2cc"/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услуги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shd w:val="clear" w:color="auto" w:fill="fff2cc"/>
            <w:tcW w:w="121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Тариф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2cc"/>
            <w:tcW w:w="156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Примечание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7"/>
            <w:tcW w:w="5000" w:type="pct"/>
            <w:textDirection w:val="lrTb"/>
            <w:noWrap w:val="false"/>
          </w:tcPr>
          <w:p>
            <w:pPr>
              <w:jc w:val="center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5.1. </w:t>
            </w:r>
            <w:r>
              <w:rPr>
                <w:b/>
                <w:bCs/>
                <w:sz w:val="22"/>
                <w:szCs w:val="22"/>
              </w:rPr>
              <w:t xml:space="preserve">Аккредитивы для расчетов на территории Российской Федерации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1 000 руб.,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</w:t>
            </w:r>
            <w:r>
              <w:rPr>
                <w:bCs/>
                <w:color w:val="000000"/>
                <w:sz w:val="20"/>
                <w:szCs w:val="20"/>
              </w:rPr>
              <w:t xml:space="preserve">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</w:t>
            </w:r>
            <w:r>
              <w:rPr>
                <w:iCs/>
                <w:sz w:val="20"/>
                <w:szCs w:val="20"/>
              </w:rPr>
              <w:t xml:space="preserve">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</w:t>
            </w:r>
            <w:r>
              <w:rPr>
                <w:iCs/>
                <w:sz w:val="20"/>
                <w:szCs w:val="20"/>
              </w:rPr>
              <w:t xml:space="preserve">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</w:t>
            </w:r>
            <w:r>
              <w:rPr>
                <w:iCs/>
                <w:sz w:val="20"/>
                <w:szCs w:val="20"/>
              </w:rPr>
              <w:t xml:space="preserve">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</w:t>
            </w:r>
            <w:r>
              <w:rPr>
                <w:iCs/>
                <w:sz w:val="20"/>
                <w:szCs w:val="20"/>
              </w:rPr>
              <w:t xml:space="preserve">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50 000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 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</w:t>
            </w:r>
            <w:r>
              <w:rPr>
                <w:iCs/>
                <w:sz w:val="20"/>
                <w:szCs w:val="20"/>
              </w:rPr>
              <w:t xml:space="preserve">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</w:t>
            </w:r>
            <w:r>
              <w:rPr>
                <w:iCs/>
                <w:sz w:val="20"/>
                <w:szCs w:val="20"/>
              </w:rPr>
              <w:t xml:space="preserve">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</w:t>
            </w:r>
            <w:r>
              <w:rPr>
                <w:iCs/>
                <w:sz w:val="20"/>
                <w:szCs w:val="20"/>
              </w:rPr>
              <w:t xml:space="preserve">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</w:t>
            </w:r>
            <w:r>
              <w:rPr>
                <w:iCs/>
                <w:sz w:val="20"/>
                <w:szCs w:val="20"/>
              </w:rPr>
              <w:t xml:space="preserve">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</w:t>
            </w:r>
            <w:r>
              <w:rPr>
                <w:iCs/>
                <w:sz w:val="20"/>
                <w:szCs w:val="20"/>
              </w:rPr>
              <w:t xml:space="preserve">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5.1.3.2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т.ч. если документы не приняты к оплате), исходя из суммы, запрошенной к оплате в рамках аккредитив</w:t>
            </w:r>
            <w:r>
              <w:rPr>
                <w:bCs/>
                <w:color w:val="000000"/>
                <w:sz w:val="20"/>
                <w:szCs w:val="20"/>
              </w:rPr>
              <w:t xml:space="preserve">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5.2.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</w:t>
            </w:r>
            <w:r>
              <w:rPr>
                <w:iCs/>
                <w:sz w:val="20"/>
                <w:szCs w:val="20"/>
              </w:rPr>
              <w:t xml:space="preserve">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</w:t>
            </w:r>
            <w:r>
              <w:rPr>
                <w:iCs/>
                <w:sz w:val="20"/>
                <w:szCs w:val="20"/>
              </w:rPr>
              <w:t xml:space="preserve">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</w:t>
            </w:r>
            <w:r>
              <w:rPr>
                <w:iCs/>
                <w:sz w:val="20"/>
                <w:szCs w:val="20"/>
              </w:rPr>
              <w:t xml:space="preserve">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</w:t>
            </w:r>
            <w:r>
              <w:rPr>
                <w:iCs/>
                <w:sz w:val="20"/>
                <w:szCs w:val="20"/>
              </w:rPr>
              <w:t xml:space="preserve">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</w:t>
            </w:r>
            <w:r>
              <w:rPr>
                <w:iCs/>
                <w:sz w:val="20"/>
                <w:szCs w:val="20"/>
              </w:rPr>
              <w:t xml:space="preserve">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</w:t>
            </w:r>
            <w:r>
              <w:rPr>
                <w:iCs/>
                <w:sz w:val="20"/>
                <w:szCs w:val="20"/>
              </w:rPr>
              <w:t xml:space="preserve">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 в рублях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 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 ч. если документы не приняты к оплате), исходя из суммы, запрошенной к оплате в рамках аккреди</w:t>
            </w:r>
            <w:r>
              <w:rPr>
                <w:bCs/>
                <w:color w:val="000000"/>
                <w:sz w:val="20"/>
                <w:szCs w:val="20"/>
              </w:rPr>
              <w:t xml:space="preserve">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на основании требования Банка.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</w:t>
            </w:r>
            <w:r>
              <w:rPr>
                <w:bCs/>
                <w:color w:val="000000"/>
                <w:sz w:val="20"/>
                <w:szCs w:val="20"/>
              </w:rPr>
              <w:t xml:space="preserve">ьзу другого бенефициара (трансферация);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её увеличения,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100 000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32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</w:t>
            </w:r>
            <w:r>
              <w:rPr>
                <w:bCs/>
                <w:color w:val="000000"/>
                <w:sz w:val="20"/>
                <w:szCs w:val="20"/>
              </w:rPr>
              <w:t xml:space="preserve">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30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5.3.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59" w:type="pct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по внешнеторговым сделкам (экспортные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75 000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</w:t>
            </w:r>
            <w:r>
              <w:rPr>
                <w:iCs/>
                <w:sz w:val="20"/>
                <w:szCs w:val="20"/>
              </w:rPr>
              <w:t xml:space="preserve"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 xml:space="preserve">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</w:t>
            </w:r>
            <w:r>
              <w:rPr>
                <w:iCs/>
                <w:sz w:val="20"/>
                <w:szCs w:val="20"/>
              </w:rPr>
              <w:t xml:space="preserve">ва/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</w:t>
            </w:r>
            <w:r>
              <w:rPr>
                <w:iCs/>
                <w:sz w:val="20"/>
                <w:szCs w:val="20"/>
              </w:rPr>
              <w:t xml:space="preserve">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</w:t>
            </w:r>
            <w:r>
              <w:rPr>
                <w:iCs/>
                <w:sz w:val="20"/>
                <w:szCs w:val="20"/>
              </w:rPr>
              <w:t xml:space="preserve">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spacing w:before="40" w:after="1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из суммы, запрош</w:t>
            </w:r>
            <w:r>
              <w:rPr>
                <w:bCs/>
                <w:color w:val="000000"/>
                <w:sz w:val="20"/>
                <w:szCs w:val="20"/>
              </w:rPr>
              <w:t xml:space="preserve">енной к оплате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5.3.7.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5.4.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9" w:type="pct"/>
            <w:textDirection w:val="lrTb"/>
            <w:noWrap w:val="false"/>
          </w:tcPr>
          <w:p>
            <w:pPr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.4.5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i/>
          <w:sz w:val="16"/>
          <w:szCs w:val="16"/>
        </w:rPr>
      </w:pPr>
      <w:r/>
      <w:bookmarkStart w:id="14" w:name="_Toc421185898"/>
      <w:r>
        <w:rPr>
          <w:i/>
          <w:sz w:val="16"/>
          <w:szCs w:val="16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tabs>
          <w:tab w:val="left" w:pos="284" w:leader="none"/>
        </w:tabs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Примечание:</w:t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i/>
          <w:color w:val="000000"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При указании в наименовании услуги двух и более операций к</w:t>
      </w:r>
      <w:r>
        <w:rPr>
          <w:bCs/>
          <w:i/>
          <w:color w:val="000000"/>
          <w:sz w:val="16"/>
          <w:szCs w:val="16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i/>
          <w:color w:val="000000"/>
          <w:sz w:val="16"/>
          <w:szCs w:val="16"/>
        </w:rPr>
      </w:r>
      <w:r>
        <w:rPr>
          <w:bCs/>
          <w:i/>
          <w:color w:val="000000"/>
          <w:sz w:val="16"/>
          <w:szCs w:val="16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Комиссионное вознаграждение по Разделу</w:t>
      </w:r>
      <w:r>
        <w:rPr>
          <w:i/>
          <w:sz w:val="16"/>
          <w:szCs w:val="16"/>
        </w:rPr>
        <w:t xml:space="preserve">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</w:t>
      </w:r>
      <w:r>
        <w:rPr>
          <w:i/>
          <w:sz w:val="16"/>
          <w:szCs w:val="16"/>
        </w:rPr>
        <w:t xml:space="preserve">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Комиссионное вознаграждение по Разделам 5.2 «Документарные аккредитивы, отк</w:t>
      </w:r>
      <w:r>
        <w:rPr>
          <w:i/>
          <w:sz w:val="16"/>
          <w:szCs w:val="16"/>
        </w:rPr>
        <w:t xml:space="preserve">рытые АО «Россельхозбанк» для расчетов по внешнеторговым сделкам (импортные аккредитивы)», </w:t>
      </w:r>
      <w:r>
        <w:rPr>
          <w:i/>
          <w:sz w:val="16"/>
          <w:szCs w:val="16"/>
        </w:rPr>
        <w:br w:type="textWrapping" w:clear="all"/>
      </w:r>
      <w:r>
        <w:rPr>
          <w:i/>
          <w:sz w:val="16"/>
          <w:szCs w:val="16"/>
        </w:rPr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</w:t>
      </w:r>
      <w:r>
        <w:rPr>
          <w:i/>
          <w:sz w:val="16"/>
          <w:szCs w:val="16"/>
        </w:rPr>
        <w:t xml:space="preserve">в рублях Российской Федерации. </w:t>
      </w:r>
      <w:r>
        <w:rPr>
          <w:i/>
          <w:sz w:val="16"/>
          <w:szCs w:val="16"/>
        </w:rPr>
        <w:br/>
        <w:t xml:space="preserve">По аккредитивам и инкассо в 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</w:t>
      </w:r>
      <w:r>
        <w:rPr>
          <w:i/>
          <w:sz w:val="16"/>
          <w:szCs w:val="16"/>
        </w:rPr>
        <w:t xml:space="preserve">ющему на дату оказания услуги/на дату начала периода (для комиссий, уплачиваемых </w:t>
      </w:r>
      <w:r>
        <w:rPr>
          <w:i/>
          <w:sz w:val="16"/>
          <w:szCs w:val="16"/>
        </w:rPr>
        <w:br/>
        <w:t xml:space="preserve">за период), если иное не предусмотрено соглашением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 Если уплата комиссионного вознаграждения Банка, начисленного в рублях Российской Федерации, производится в иност</w:t>
      </w:r>
      <w:r>
        <w:rPr>
          <w:i/>
          <w:sz w:val="16"/>
          <w:szCs w:val="16"/>
        </w:rPr>
        <w:t xml:space="preserve">ранной валюте, то расчет суммы эквивалента осуществляется по курсу Банка России, действующему на дату уплаты комиссии.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i/>
          <w:sz w:val="16"/>
          <w:szCs w:val="16"/>
        </w:rPr>
        <w:br w:type="textWrapping" w:clear="all"/>
      </w:r>
      <w:r>
        <w:rPr>
          <w:i/>
          <w:sz w:val="16"/>
          <w:szCs w:val="16"/>
        </w:rPr>
        <w:t xml:space="preserve">и, если иное не предусмотрено отдельным соглашением, осуществляется Клиентом дополнительно </w:t>
      </w:r>
      <w:r>
        <w:rPr>
          <w:i/>
          <w:sz w:val="16"/>
          <w:szCs w:val="16"/>
        </w:rPr>
        <w:br w:type="textWrapping" w:clear="all"/>
      </w:r>
      <w:r>
        <w:rPr>
          <w:i/>
          <w:sz w:val="16"/>
          <w:szCs w:val="16"/>
        </w:rPr>
        <w:t xml:space="preserve">к комиссионному вознаграждению, указанному в Тарифах.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 </w:t>
      </w:r>
      <w:r>
        <w:rPr>
          <w:bCs/>
          <w:i/>
          <w:iCs/>
          <w:sz w:val="16"/>
          <w:szCs w:val="16"/>
        </w:rPr>
        <w:t xml:space="preserve">Размер комиссионного вознаграждения, отличный от установленного в Тарифах, определяется на основании отдель</w:t>
      </w:r>
      <w:r>
        <w:rPr>
          <w:bCs/>
          <w:i/>
          <w:iCs/>
          <w:sz w:val="16"/>
          <w:szCs w:val="16"/>
        </w:rPr>
        <w:t xml:space="preserve">ного соглашения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i/>
          <w:sz w:val="16"/>
          <w:szCs w:val="16"/>
        </w:rPr>
        <w:t xml:space="preserve">8. Комиссионное вознаграждение, уплаченное Банку за оказание услуг (кроме ошибочно удержанного), возврату не подлежит..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24"/>
      </w:pPr>
      <w:r/>
      <w:r/>
    </w:p>
    <w:p>
      <w:pPr>
        <w:pStyle w:val="924"/>
      </w:pPr>
      <w:r>
        <w:t xml:space="preserve">6. Гарантийные операции</w:t>
      </w:r>
      <w:bookmarkEnd w:id="14"/>
      <w:r/>
      <w:r/>
    </w:p>
    <w:tbl>
      <w:tblPr>
        <w:tblW w:w="507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66"/>
        <w:gridCol w:w="3522"/>
        <w:gridCol w:w="2096"/>
        <w:gridCol w:w="697"/>
        <w:gridCol w:w="3055"/>
        <w:gridCol w:w="237"/>
      </w:tblGrid>
      <w:tr>
        <w:tblPrEx/>
        <w:trPr>
          <w:gridAfter w:val="1"/>
          <w:tblHeader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1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6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6.1. Выдача банковской гарантии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банковской гарантии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38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</w:t>
            </w:r>
            <w:r>
              <w:rPr>
                <w:rFonts w:ascii="Times New Roman" w:hAnsi="Times New Roman" w:cs="Times New Roman"/>
              </w:rPr>
              <w:t xml:space="preserve">ючается </w:t>
            </w:r>
            <w:r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к приказу АО «Россельхозбанк» от 01.08.2013 № 386-ОД), а также полномочий </w:t>
            </w:r>
            <w:r>
              <w:rPr>
                <w:sz w:val="20"/>
                <w:szCs w:val="20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 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</w:t>
            </w:r>
            <w:r>
              <w:rPr>
                <w:sz w:val="20"/>
                <w:szCs w:val="20"/>
              </w:rPr>
              <w:t xml:space="preserve">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в относительном (процент годовых от сум</w:t>
            </w:r>
            <w:r>
              <w:rPr>
                <w:sz w:val="20"/>
                <w:szCs w:val="20"/>
              </w:rPr>
              <w:t xml:space="preserve">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0" w:type="pct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выдачи банковской гарантии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 xml:space="preserve">суммы и/или срока</w:t>
            </w:r>
            <w:r>
              <w:rPr>
                <w:bCs/>
                <w:sz w:val="20"/>
                <w:szCs w:val="20"/>
              </w:rPr>
              <w:t xml:space="preserve">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38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 xml:space="preserve">в информационные материалы для клиентов Банка, не размещаетс</w:t>
            </w:r>
            <w:r>
              <w:rPr>
                <w:rFonts w:ascii="Times New Roman" w:hAnsi="Times New Roman" w:cs="Times New Roman"/>
              </w:rPr>
              <w:t xml:space="preserve">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«Россельхозбанк» от 01.08.2013 </w:t>
            </w:r>
            <w:r>
              <w:rPr>
                <w:sz w:val="20"/>
                <w:szCs w:val="20"/>
              </w:rPr>
              <w:br/>
              <w:t xml:space="preserve">№ 386-ОД), а</w:t>
            </w:r>
            <w:r>
              <w:rPr>
                <w:sz w:val="20"/>
                <w:szCs w:val="20"/>
              </w:rPr>
              <w:t xml:space="preserve">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Комиссия за увеличение суммы гарантии рассчитывается от суммы </w:t>
            </w:r>
            <w:r>
              <w:rPr>
                <w:sz w:val="20"/>
                <w:szCs w:val="20"/>
              </w:rPr>
              <w:t xml:space="preserve">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</w:t>
            </w:r>
            <w:r>
              <w:rPr>
                <w:sz w:val="20"/>
                <w:szCs w:val="20"/>
              </w:rPr>
              <w:t xml:space="preserve">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одновременном увеличении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срока гарантии комиссия рассчитывается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увеличения обязательства по гарантии за период с даты увеличен</w:t>
            </w:r>
            <w:r>
              <w:rPr>
                <w:sz w:val="20"/>
                <w:szCs w:val="20"/>
              </w:rPr>
              <w:t xml:space="preserve">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</w:t>
            </w:r>
            <w:r>
              <w:rPr>
                <w:sz w:val="20"/>
                <w:szCs w:val="20"/>
              </w:rPr>
              <w:t xml:space="preserve">ия может быть установлена как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компетенции которого относится пр</w:t>
            </w:r>
            <w:r>
              <w:rPr>
                <w:sz w:val="20"/>
                <w:szCs w:val="20"/>
              </w:rPr>
              <w:t xml:space="preserve">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sz w:val="20"/>
                <w:szCs w:val="20"/>
              </w:rPr>
              <w:t xml:space="preserve">Генерального соглашения о выдаче банковских гарантий/Соглашения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 порядке и условиях выдачи банковской гарантии, а также </w:t>
            </w:r>
            <w:r>
              <w:rPr>
                <w:bCs/>
                <w:sz w:val="20"/>
                <w:szCs w:val="20"/>
              </w:rPr>
              <w:t xml:space="preserve">условий гарантии,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не указанных в п. 6.2.1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</w:t>
            </w:r>
            <w:r>
              <w:rPr>
                <w:sz w:val="20"/>
                <w:szCs w:val="20"/>
              </w:rPr>
              <w:t xml:space="preserve"> выдачи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38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устанавливается в абсолютном выражен</w:t>
            </w:r>
            <w:r>
              <w:rPr>
                <w:sz w:val="20"/>
                <w:szCs w:val="20"/>
              </w:rPr>
              <w:t xml:space="preserve">ии (твердая денежная сумма).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в следующих случаях: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выдачу гарантии не производится);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по требованию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иных случаях, связанных с применением Бан</w:t>
            </w:r>
            <w:r>
              <w:rPr>
                <w:sz w:val="20"/>
                <w:szCs w:val="20"/>
              </w:rPr>
              <w:t xml:space="preserve">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</w:t>
            </w:r>
            <w:r>
              <w:rPr>
                <w:sz w:val="20"/>
                <w:szCs w:val="20"/>
              </w:rPr>
              <w:t xml:space="preserve">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pct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20 000 руб.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  <w:outlineLvl w:val="8"/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pct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  <w:outlineLvl w:val="8"/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pct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pct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spacing w:before="120"/>
        <w:tabs>
          <w:tab w:val="left" w:pos="284" w:leader="none"/>
        </w:tabs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jc w:val="both"/>
        <w:tabs>
          <w:tab w:val="left" w:pos="284" w:leader="none"/>
        </w:tabs>
        <w:rPr>
          <w:i/>
          <w:sz w:val="16"/>
          <w:szCs w:val="16"/>
          <w:u w:val="single"/>
          <w:lang w:eastAsia="en-US"/>
        </w:rPr>
      </w:pPr>
      <w:r>
        <w:rPr>
          <w:i/>
          <w:sz w:val="16"/>
          <w:szCs w:val="16"/>
          <w:u w:val="single"/>
        </w:rPr>
        <w:t xml:space="preserve">Примечание к пунктам 6.3-6.7 Тарифов:</w:t>
      </w:r>
      <w:r>
        <w:rPr>
          <w:i/>
          <w:sz w:val="16"/>
          <w:szCs w:val="16"/>
          <w:u w:val="single"/>
          <w:lang w:eastAsia="en-US"/>
        </w:rPr>
      </w:r>
      <w:r>
        <w:rPr>
          <w:i/>
          <w:sz w:val="16"/>
          <w:szCs w:val="16"/>
          <w:u w:val="single"/>
          <w:lang w:eastAsia="en-US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1. Если уплата комиссионного вознаграж</w:t>
      </w:r>
      <w:r>
        <w:rPr>
          <w:bCs/>
          <w:i/>
          <w:iCs/>
          <w:sz w:val="16"/>
          <w:szCs w:val="16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i/>
          <w:sz w:val="16"/>
          <w:szCs w:val="16"/>
        </w:rPr>
        <w:t xml:space="preserve">..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24"/>
      </w:pPr>
      <w:r/>
      <w:bookmarkStart w:id="15" w:name="_Toc421185899"/>
      <w:r>
        <w:t xml:space="preserve">7. Дистанционное банковское обслуживание (ДБО)</w:t>
      </w:r>
      <w:bookmarkEnd w:id="15"/>
      <w:r/>
      <w:r/>
    </w:p>
    <w:p>
      <w:r/>
      <w:r/>
    </w:p>
    <w:tbl>
      <w:tblPr>
        <w:tblW w:w="505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686"/>
        <w:gridCol w:w="2108"/>
        <w:gridCol w:w="3616"/>
      </w:tblGrid>
      <w:tr>
        <w:tblPrEx/>
        <w:trPr>
          <w:tblHeader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1023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 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г. Грозный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Чеченской Республике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3000,00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4000,00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16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ДБО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«Банк-Клиент»/«</w:t>
            </w:r>
            <w:r>
              <w:rPr>
                <w:sz w:val="20"/>
                <w:szCs w:val="20"/>
              </w:rPr>
              <w:t xml:space="preserve">Интернет-Клиент»/«Свой Бизнес»</w:t>
            </w:r>
            <w: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1023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7.2. Перевод клиента на новую систему ДБО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1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000000" w:sz="4" w:space="0"/>
            </w:tcBorders>
            <w:tcW w:w="1023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7.3.Обслуживание системы ДБО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9" w:firstLine="0"/>
              <w:jc w:val="both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</w:tcBorders>
            <w:tcW w:w="2108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5 000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616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по ставке тарифа, действующей на дату начисл</w:t>
            </w:r>
            <w:r>
              <w:rPr>
                <w:bCs/>
                <w:sz w:val="20"/>
                <w:szCs w:val="20"/>
              </w:rPr>
              <w:t xml:space="preserve">ения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7.3</w:t>
            </w:r>
            <w:r>
              <w:rPr>
                <w:sz w:val="20"/>
                <w:szCs w:val="20"/>
              </w:rPr>
              <w:t xml:space="preserve">.1 Банком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</w:t>
            </w:r>
            <w:r>
              <w:rPr>
                <w:bCs/>
                <w:sz w:val="20"/>
                <w:szCs w:val="20"/>
              </w:rPr>
              <w:t xml:space="preserve"> взимается за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</w:t>
            </w:r>
            <w:r>
              <w:rPr>
                <w:bCs/>
                <w:sz w:val="20"/>
                <w:szCs w:val="20"/>
              </w:rPr>
              <w:t xml:space="preserve">становление.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9" w:firstLine="0"/>
              <w:jc w:val="both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</w:tcBorders>
            <w:tcW w:w="2108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616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9" w:firstLine="0"/>
              <w:jc w:val="both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«Мобильный 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</w:tcBorders>
            <w:tcW w:w="2108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616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9" w:firstLine="0"/>
              <w:jc w:val="both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108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616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1846"/>
        </w:trPr>
        <w:tc>
          <w:tcPr>
            <w:tcBorders>
              <w:top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9" w:firstLine="0"/>
              <w:jc w:val="both"/>
              <w:spacing w:before="40"/>
              <w:tabs>
                <w:tab w:val="num" w:pos="0" w:leader="none"/>
                <w:tab w:val="num" w:pos="292" w:leader="none"/>
                <w:tab w:val="num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«Банк-Клиент»/ «Интернет-Клиент»/«Мобильный банк»/«Свой Бизнес», заключивших договор номинального банковского счета, открываемого организациям,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num" w:pos="292" w:leader="none"/>
                <w:tab w:val="num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108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616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0" w:firstLine="0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217-ФЗ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«О ведении гражданами садоводства и огородничества для собственных нужд</w:t>
            </w:r>
            <w:r>
              <w:rPr>
                <w:bCs/>
                <w:sz w:val="20"/>
                <w:szCs w:val="20"/>
              </w:rPr>
              <w:t xml:space="preserve">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bCs/>
                <w:sz w:val="20"/>
                <w:szCs w:val="20"/>
              </w:rPr>
              <w:br/>
              <w:t xml:space="preserve">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66-ФЗ «О садоводческих, </w:t>
            </w:r>
            <w:r>
              <w:rPr>
                <w:bCs/>
                <w:sz w:val="20"/>
                <w:szCs w:val="20"/>
              </w:rPr>
              <w:t xml:space="preserve">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1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</w:t>
            </w:r>
            <w:r>
              <w:rPr>
                <w:sz w:val="20"/>
                <w:szCs w:val="20"/>
              </w:rPr>
              <w:t xml:space="preserve">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6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ДБО «БанкКлиент»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8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2000 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 xml:space="preserve">в месяц с каждого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16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</w:t>
            </w:r>
            <w:r>
              <w:rPr>
                <w:bCs/>
                <w:sz w:val="20"/>
                <w:szCs w:val="20"/>
              </w:rPr>
              <w:t xml:space="preserve"> дня текущего календарного месяца, начиная с месяца, следующего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за месяцем подключения клиента к системе ДБО.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счетов данного клиента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</w:t>
            </w:r>
            <w:r>
              <w:rPr>
                <w:sz w:val="20"/>
                <w:szCs w:val="20"/>
              </w:rPr>
              <w:t xml:space="preserve">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7.3.1 Банком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 «БанкКлиент»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2 000 руб. в месяц за каждое автоматизи</w:t>
            </w:r>
            <w:r>
              <w:rPr>
                <w:bCs/>
                <w:sz w:val="20"/>
                <w:szCs w:val="20"/>
              </w:rPr>
              <w:t xml:space="preserve">рованное рабочее место, но не более 5 000 руб. с одного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23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7.4.Сопровождение криптографической защиты информации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0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2 050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6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 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 при подключении к системе «ИнтернетКлиент»</w:t>
            </w:r>
            <w:r>
              <w:rPr>
                <w:sz w:val="20"/>
                <w:szCs w:val="20"/>
              </w:rPr>
              <w:t xml:space="preserve">/«Свой </w:t>
            </w:r>
            <w:r>
              <w:rPr>
                <w:sz w:val="20"/>
                <w:szCs w:val="20"/>
              </w:rPr>
              <w:t xml:space="preserve">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</w:t>
            </w:r>
            <w:r>
              <w:rPr>
                <w:sz w:val="20"/>
                <w:szCs w:val="20"/>
              </w:rPr>
              <w:t xml:space="preserve">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0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</w:t>
            </w:r>
            <w:r>
              <w:rPr>
                <w:sz w:val="20"/>
                <w:szCs w:val="20"/>
              </w:rPr>
              <w:t xml:space="preserve">садоводческими или огородническими некоммерческими товариществами в соответствии с Федеральным законом от 29.07.2017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 217ФЗ 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 15.04.1998 № 66ФЗ «О садоводческих, огороднических и дачных некоммерческих объединениях граждан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</w:t>
            </w:r>
            <w:r>
              <w:rPr>
                <w:bCs/>
                <w:sz w:val="20"/>
                <w:szCs w:val="20"/>
              </w:rPr>
              <w:t xml:space="preserve">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10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1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 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к системе «ИнтернетКлиент»</w:t>
            </w:r>
            <w:r>
              <w:t xml:space="preserve">/</w:t>
            </w:r>
            <w:r>
              <w:rPr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п. 7.4.2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keepLines/>
              <w:spacing w:before="40" w:after="4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108" w:type="dxa"/>
            <w:textDirection w:val="lrTb"/>
            <w:noWrap w:val="false"/>
          </w:tcPr>
          <w:p>
            <w:pPr>
              <w:jc w:val="center"/>
              <w:keepLines/>
              <w:spacing w:before="40" w:after="4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616" w:type="dxa"/>
            <w:textDirection w:val="lrTb"/>
            <w:noWrap w:val="false"/>
          </w:tcPr>
          <w:p>
            <w:pPr>
              <w:jc w:val="both"/>
              <w:keepLines/>
              <w:spacing w:before="4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 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</w:t>
            </w:r>
            <w:r>
              <w:rPr>
                <w:sz w:val="20"/>
                <w:szCs w:val="20"/>
              </w:rPr>
              <w:t xml:space="preserve">редоставляется клиенту после выполнения условий п. 7.4.1, в случае если клиент в течение 45 дней с момента выпуска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</w:t>
            </w:r>
            <w:r>
              <w:rPr>
                <w:bCs/>
                <w:sz w:val="20"/>
                <w:szCs w:val="20"/>
              </w:rPr>
              <w:t xml:space="preserve">ной подписи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взимает</w:t>
            </w:r>
            <w:r>
              <w:rPr>
                <w:sz w:val="20"/>
                <w:szCs w:val="20"/>
              </w:rPr>
              <w:t xml:space="preserve">ся комиссия в соответствии с п. 7.4.1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keepLines/>
              <w:spacing w:before="40" w:after="40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системе «ИнтернетКлиент»/»Свой бизнес»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108" w:type="dxa"/>
            <w:textDirection w:val="lrTb"/>
            <w:noWrap w:val="false"/>
          </w:tcPr>
          <w:p>
            <w:pPr>
              <w:jc w:val="center"/>
              <w:keepLines/>
              <w:spacing w:before="4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2 050 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616" w:type="dxa"/>
            <w:vMerge w:val="restar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получения клиентом ключевого</w:t>
            </w:r>
            <w:r>
              <w:rPr>
                <w:bCs/>
                <w:sz w:val="20"/>
                <w:szCs w:val="20"/>
              </w:rPr>
              <w:t xml:space="preserve">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системе «ИнтернетКлиент»/»Свой бизнес»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keepLines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keepLines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для клиентов, заключивших договор номинального банковского счета, открываемого ор</w:t>
            </w:r>
            <w:r>
              <w:rPr>
                <w:bCs/>
                <w:sz w:val="20"/>
                <w:szCs w:val="20"/>
              </w:rPr>
              <w:t xml:space="preserve">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08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616" w:type="dxa"/>
            <w:vMerge w:val="continue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 29.07.2017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 217ФЗ 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</w:t>
            </w:r>
            <w:r>
              <w:rPr>
                <w:sz w:val="20"/>
                <w:szCs w:val="20"/>
              </w:rPr>
              <w:t xml:space="preserve"> в соответствии с Федеральным законом от 15.04.1998 № 66ФЗ «О садоводческих, огороднических и дачных некоммерческих объединениях граждан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108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616" w:type="dxa"/>
            <w:vMerge w:val="continue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22" w:type="dxa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616" w:type="dxa"/>
            <w:textDirection w:val="lrTb"/>
            <w:noWrap w:val="false"/>
          </w:tcPr>
          <w:p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22" w:type="dxa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616" w:type="dxa"/>
            <w:textDirection w:val="lrTb"/>
            <w:noWrap w:val="false"/>
          </w:tcPr>
          <w:p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22" w:type="dxa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 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61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 3х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</w:t>
            </w:r>
            <w:r>
              <w:rPr>
                <w:sz w:val="20"/>
                <w:szCs w:val="20"/>
              </w:rPr>
              <w:t xml:space="preserve">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22" w:type="dxa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 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61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 3х рабочих дней </w:t>
            </w:r>
            <w:r>
              <w:rPr>
                <w:sz w:val="20"/>
                <w:szCs w:val="20"/>
              </w:rPr>
              <w:t xml:space="preserve">от даты заключения Удостоверяющего центра АО «Россельхозбанк»/заключения экспертной группы.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</w:t>
            </w:r>
            <w:r>
              <w:rPr>
                <w:sz w:val="20"/>
                <w:szCs w:val="20"/>
              </w:rPr>
              <w:t xml:space="preserve">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000000" w:sz="4" w:space="0"/>
            </w:tcBorders>
            <w:tcW w:w="10232" w:type="dxa"/>
            <w:textDirection w:val="lrTb"/>
            <w:noWrap w:val="false"/>
          </w:tcPr>
          <w:p>
            <w:pPr>
              <w:jc w:val="center"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7.5.Плановая смена сертификата ключа подписи по запросу клиента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8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6" w:type="dxa"/>
            <w:textDirection w:val="lrTb"/>
            <w:noWrap w:val="false"/>
          </w:tcPr>
          <w:p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</w:tcBorders>
            <w:tcW w:w="10232" w:type="dxa"/>
            <w:textDirection w:val="lrTb"/>
            <w:noWrap w:val="false"/>
          </w:tcPr>
          <w:p>
            <w:pPr>
              <w:jc w:val="center"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7.6.Внеплановая смена сертификата ключа подписи по запросу клиента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22" w:type="dxa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</w:t>
            </w:r>
            <w:r>
              <w:rPr>
                <w:bCs/>
                <w:sz w:val="20"/>
                <w:szCs w:val="20"/>
              </w:rPr>
              <w:t xml:space="preserve">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2 050 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61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108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108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</w:t>
            </w:r>
            <w:r>
              <w:rPr>
                <w:sz w:val="20"/>
                <w:szCs w:val="20"/>
              </w:rPr>
              <w:t xml:space="preserve">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22" w:type="dxa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1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«ИнтернетКлиент»/»Свой бизнес» с использованием Лично</w:t>
            </w:r>
            <w:r>
              <w:rPr>
                <w:bCs/>
                <w:sz w:val="20"/>
                <w:szCs w:val="20"/>
              </w:rPr>
              <w:t xml:space="preserve">го кабинета услуга предоставляется в соответствии с п. 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22" w:type="dxa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временного/</w:t>
            </w:r>
            <w:r>
              <w:rPr>
                <w:sz w:val="20"/>
                <w:szCs w:val="20"/>
              </w:rPr>
              <w:t xml:space="preserve">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61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 7.6.1 в день получения клиентом от Банка</w:t>
            </w:r>
            <w:r>
              <w:rPr>
                <w:bCs/>
                <w:sz w:val="20"/>
                <w:szCs w:val="20"/>
              </w:rPr>
              <w:t xml:space="preserve"> нового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22" w:type="dxa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</w:t>
            </w:r>
            <w:r>
              <w:rPr>
                <w:bCs/>
                <w:sz w:val="20"/>
                <w:szCs w:val="20"/>
              </w:rPr>
              <w:t xml:space="preserve">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61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 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</w:t>
            </w:r>
            <w:r>
              <w:rPr>
                <w:bCs/>
                <w:sz w:val="20"/>
                <w:szCs w:val="20"/>
              </w:rPr>
              <w:t xml:space="preserve">нтернетКлиент»/»Свой бизнес» с использованием Личного кабинета предоставляется в соответствии с п. 7.6.2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 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616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в «Интернет-Клиент», «Мобильный банк»,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</w:t>
            </w:r>
            <w:r>
              <w:rPr>
                <w:bCs/>
                <w:sz w:val="20"/>
                <w:szCs w:val="20"/>
              </w:rPr>
              <w:t xml:space="preserve">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7.8.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-сообщения для авторизации и/или формирования электронной подписи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61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</w:t>
            </w:r>
            <w:r>
              <w:rPr>
                <w:bCs/>
                <w:sz w:val="20"/>
                <w:szCs w:val="20"/>
              </w:rPr>
              <w:t xml:space="preserve">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22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10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5514"/>
        </w:trPr>
        <w:tc>
          <w:tcPr>
            <w:tcW w:w="8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7.</w:t>
            </w:r>
            <w:r>
              <w:rPr>
                <w:sz w:val="20"/>
                <w:szCs w:val="20"/>
                <w:lang w:val="en-US" w:eastAsia="en-US"/>
              </w:rPr>
              <w:t xml:space="preserve">9</w:t>
            </w:r>
            <w:r>
              <w:rPr>
                <w:sz w:val="20"/>
                <w:szCs w:val="20"/>
                <w:lang w:eastAsia="en-US"/>
              </w:rPr>
              <w:t xml:space="preserve">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за 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информирование» (далее – Сервис) в рамках операций по счетам Клиента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108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к Сервису,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и за каждый телефонный номер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616" w:type="dxa"/>
            <w:textDirection w:val="lrTb"/>
            <w:noWrap w:val="false"/>
          </w:tcPr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</w:t>
            </w:r>
            <w:r>
              <w:rPr>
                <w:sz w:val="20"/>
                <w:szCs w:val="20"/>
                <w:lang w:eastAsia="en-US"/>
              </w:rPr>
              <w:t xml:space="preserve"> Сервису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за текущий месяц взимается в размере 50% от расчетной в</w:t>
            </w:r>
            <w:r>
              <w:rPr>
                <w:sz w:val="20"/>
                <w:szCs w:val="20"/>
                <w:lang w:eastAsia="en-US"/>
              </w:rPr>
              <w:t xml:space="preserve">еличины.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независимо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514"/>
        </w:trPr>
        <w:tc>
          <w:tcPr>
            <w:tcW w:w="822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7.10.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«Контроль за платежами.Акцепт»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08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1 000 руб.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1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подключенн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).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4161"/>
        </w:trPr>
        <w:tc>
          <w:tcPr>
            <w:tcW w:w="822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7.11.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2108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1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чета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ютных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</w:tbl>
    <w:p>
      <w:pPr>
        <w:keepLines/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bCs/>
          <w:i/>
          <w:iCs/>
          <w:sz w:val="16"/>
          <w:szCs w:val="16"/>
          <w:u w:val="single"/>
        </w:rPr>
      </w:pPr>
      <w:r/>
      <w:bookmarkStart w:id="16" w:name="_Toc421185900"/>
      <w:r>
        <w:rPr>
          <w:bCs/>
          <w:i/>
          <w:iCs/>
          <w:sz w:val="16"/>
          <w:szCs w:val="16"/>
          <w:u w:val="single"/>
        </w:rPr>
        <w:t xml:space="preserve">Примечание:</w:t>
      </w:r>
      <w:r>
        <w:rPr>
          <w:bCs/>
          <w:i/>
          <w:iCs/>
          <w:sz w:val="16"/>
          <w:szCs w:val="16"/>
          <w:u w:val="single"/>
        </w:rPr>
      </w:r>
      <w:r>
        <w:rPr>
          <w:bCs/>
          <w:i/>
          <w:iCs/>
          <w:sz w:val="16"/>
          <w:szCs w:val="16"/>
          <w:u w:val="single"/>
        </w:rPr>
      </w:r>
    </w:p>
    <w:p>
      <w:pPr>
        <w:jc w:val="both"/>
        <w:spacing w:before="40"/>
        <w:rPr>
          <w:bCs/>
          <w:i/>
          <w:iCs/>
          <w:color w:val="000000"/>
          <w:sz w:val="16"/>
          <w:szCs w:val="16"/>
        </w:rPr>
      </w:pPr>
      <w:r>
        <w:rPr>
          <w:bCs/>
          <w:i/>
          <w:sz w:val="16"/>
          <w:szCs w:val="16"/>
        </w:rPr>
        <w:t xml:space="preserve">Без взимания комиссии в Банке обслуживаются</w:t>
      </w:r>
      <w:r>
        <w:rPr>
          <w:bCs/>
          <w:i/>
          <w:iCs/>
          <w:color w:val="000000"/>
          <w:sz w:val="16"/>
          <w:szCs w:val="16"/>
        </w:rPr>
        <w:t xml:space="preserve">:</w:t>
      </w:r>
      <w:r>
        <w:rPr>
          <w:bCs/>
          <w:i/>
          <w:iCs/>
          <w:color w:val="000000"/>
          <w:sz w:val="16"/>
          <w:szCs w:val="16"/>
        </w:rPr>
      </w:r>
      <w:r>
        <w:rPr>
          <w:bCs/>
          <w:i/>
          <w:iCs/>
          <w:color w:val="000000"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головного исполнителя;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</w:t>
      </w:r>
      <w:r>
        <w:rPr>
          <w:bCs/>
          <w:i/>
          <w:sz w:val="16"/>
          <w:szCs w:val="16"/>
        </w:rPr>
        <w:t xml:space="preserve">ещения саморегулируемыми организациями средств компенсационного фонда возмещения вреда;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публичные депозитные</w:t>
      </w:r>
      <w:r>
        <w:rPr>
          <w:bCs/>
          <w:i/>
          <w:sz w:val="16"/>
          <w:szCs w:val="16"/>
        </w:rPr>
        <w:t xml:space="preserve"> счета.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/>
          <w:iCs/>
          <w:color w:val="000000"/>
          <w:sz w:val="16"/>
          <w:szCs w:val="16"/>
        </w:rPr>
      </w:pPr>
      <w:r>
        <w:rPr>
          <w:bCs/>
          <w:i/>
          <w:sz w:val="16"/>
          <w:szCs w:val="16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</w:t>
      </w:r>
      <w:r>
        <w:rPr>
          <w:bCs/>
          <w:i/>
          <w:iCs/>
          <w:color w:val="000000"/>
          <w:sz w:val="16"/>
          <w:szCs w:val="16"/>
        </w:rPr>
        <w:t xml:space="preserve">».</w:t>
      </w:r>
      <w:r>
        <w:rPr>
          <w:bCs/>
          <w:i/>
          <w:iCs/>
          <w:color w:val="000000"/>
          <w:sz w:val="16"/>
          <w:szCs w:val="16"/>
        </w:rPr>
      </w:r>
      <w:r>
        <w:rPr>
          <w:bCs/>
          <w:i/>
          <w:iCs/>
          <w:color w:val="000000"/>
          <w:sz w:val="16"/>
          <w:szCs w:val="16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1.</w:t>
      </w:r>
      <w:r>
        <w:rPr>
          <w:bCs/>
          <w:i/>
          <w:iCs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2.</w:t>
      </w:r>
      <w:r>
        <w:rPr>
          <w:bCs/>
          <w:i/>
          <w:iCs/>
          <w:sz w:val="16"/>
          <w:szCs w:val="16"/>
        </w:rPr>
        <w:tab/>
        <w:t xml:space="preserve">Дис</w:t>
      </w:r>
      <w:r>
        <w:rPr>
          <w:bCs/>
          <w:i/>
          <w:iCs/>
          <w:sz w:val="16"/>
          <w:szCs w:val="16"/>
        </w:rPr>
        <w:t xml:space="preserve">танционное банковское о</w:t>
      </w:r>
      <w:r>
        <w:rPr>
          <w:bCs/>
          <w:i/>
          <w:iCs/>
          <w:color w:val="000000"/>
          <w:sz w:val="16"/>
          <w:szCs w:val="16"/>
        </w:rPr>
        <w:t xml:space="preserve">бслуживание </w:t>
      </w:r>
      <w:r>
        <w:rPr>
          <w:bCs/>
          <w:i/>
          <w:iCs/>
          <w:sz w:val="16"/>
          <w:szCs w:val="16"/>
        </w:rPr>
        <w:t xml:space="preserve">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</w:t>
      </w:r>
      <w:r>
        <w:rPr>
          <w:bCs/>
          <w:i/>
          <w:iCs/>
          <w:sz w:val="16"/>
          <w:szCs w:val="16"/>
        </w:rPr>
        <w:t xml:space="preserve">атно</w:t>
      </w:r>
      <w:r>
        <w:rPr>
          <w:bCs/>
          <w:i/>
          <w:iCs/>
          <w:color w:val="000000"/>
          <w:sz w:val="16"/>
          <w:szCs w:val="16"/>
        </w:rPr>
        <w:t xml:space="preserve">. </w:t>
      </w:r>
      <w:r>
        <w:rPr>
          <w:bCs/>
          <w:i/>
          <w:sz w:val="16"/>
          <w:szCs w:val="16"/>
        </w:rPr>
        <w:t xml:space="preserve">Применяется при предоставлении услуг, указанных </w:t>
      </w:r>
      <w:r>
        <w:rPr>
          <w:bCs/>
          <w:i/>
          <w:sz w:val="16"/>
          <w:szCs w:val="16"/>
        </w:rPr>
        <w:br w:type="textWrapping" w:clear="all"/>
      </w:r>
      <w:r>
        <w:rPr>
          <w:bCs/>
          <w:i/>
          <w:sz w:val="16"/>
          <w:szCs w:val="16"/>
        </w:rPr>
        <w:t xml:space="preserve">в разделе 7 «Дистанционное банковское обслуживание (ДБО)» настоящих тарифов.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3.</w:t>
      </w:r>
      <w:r>
        <w:rPr>
          <w:bCs/>
          <w:i/>
          <w:iCs/>
          <w:sz w:val="16"/>
          <w:szCs w:val="16"/>
        </w:rPr>
        <w:tab/>
        <w:t xml:space="preserve">В случае если на момент оказания услуги клиент не имеет счетов, открытых в АО «Россельхозбанк», с которых Банком может бы</w:t>
      </w:r>
      <w:r>
        <w:rPr>
          <w:bCs/>
          <w:i/>
          <w:iCs/>
          <w:sz w:val="16"/>
          <w:szCs w:val="16"/>
        </w:rPr>
        <w:t xml:space="preserve">ть удержана комиссия, клиент производит оплату комиссии безналичным переводом со своих счетов, открытых в других банках, в течение 5 рабочих дней с момента подачи в Банк соответствующего запроса/заявления.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4. 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единовременную операцию – 5 000 000 (Пять миллионов) рублей;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совершение операций в течение суток - 10 000 00</w:t>
      </w:r>
      <w:r>
        <w:rPr>
          <w:i/>
          <w:sz w:val="16"/>
          <w:szCs w:val="16"/>
        </w:rPr>
        <w:t xml:space="preserve">0 (Десять миллионов) рублей. Сутки – с 0:00 до 24:00 по московскому времени.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  <w:highlight w:val="none"/>
        </w:rPr>
      </w:pPr>
      <w:r>
        <w:rPr>
          <w:i/>
          <w:sz w:val="16"/>
          <w:szCs w:val="16"/>
        </w:rPr>
        <w:t xml:space="preserve">Лимит на единовременную операцию и лимит на совершение</w:t>
      </w:r>
      <w:r>
        <w:rPr>
          <w:i/>
          <w:sz w:val="16"/>
          <w:szCs w:val="16"/>
        </w:rPr>
        <w:t xml:space="preserve">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i/>
          <w:sz w:val="16"/>
          <w:szCs w:val="16"/>
        </w:rPr>
      </w:r>
      <w:r>
        <w:rPr>
          <w:bCs/>
          <w:i/>
          <w:sz w:val="16"/>
          <w:szCs w:val="16"/>
          <w:highlight w:val="none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i/>
          <w:iCs/>
          <w:sz w:val="16"/>
          <w:szCs w:val="16"/>
          <w:highlight w:val="none"/>
        </w:rPr>
      </w:r>
      <w:r>
        <w:rPr>
          <w:rFonts w:eastAsia="Calibri"/>
          <w:i/>
          <w:iCs/>
          <w:color w:val="000000"/>
          <w:sz w:val="16"/>
          <w:szCs w:val="16"/>
          <w:highlight w:val="none"/>
          <w:lang w:eastAsia="en-US"/>
        </w:rPr>
        <w:t xml:space="preserve">5. </w:t>
      </w:r>
      <w:r>
        <w:rPr>
          <w:rFonts w:eastAsia="Calibri"/>
          <w:i/>
          <w:iCs/>
          <w:color w:val="000000"/>
          <w:sz w:val="16"/>
          <w:szCs w:val="16"/>
          <w:highlight w:val="none"/>
          <w:lang w:eastAsia="en-US"/>
        </w:rPr>
        <w:t xml:space="preserve">Термины «Контролирующая организация» и «Контролируемая организация» применяются в значениях, определенных </w:t>
      </w:r>
      <w:r>
        <w:rPr>
          <w:b w:val="0"/>
          <w:bCs w:val="0"/>
          <w:i/>
          <w:iCs/>
          <w:sz w:val="16"/>
          <w:szCs w:val="16"/>
          <w:highlight w:val="none"/>
        </w:rPr>
        <w:t xml:space="preserve">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</w:t>
      </w:r>
      <w:r>
        <w:rPr>
          <w:b w:val="0"/>
          <w:bCs w:val="0"/>
          <w:i/>
          <w:iCs/>
          <w:sz w:val="16"/>
          <w:szCs w:val="16"/>
          <w:highlight w:val="none"/>
        </w:rPr>
        <w:t xml:space="preserve"> Условиями </w:t>
      </w:r>
      <w:r>
        <w:rPr>
          <w:b w:val="0"/>
          <w:bCs w:val="0"/>
          <w:i/>
          <w:iCs/>
          <w:sz w:val="16"/>
          <w:szCs w:val="16"/>
          <w:highlight w:val="none"/>
        </w:rPr>
        <w:t xml:space="preserve">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</w:t>
      </w:r>
      <w:r>
        <w:rPr>
          <w:b w:val="0"/>
          <w:bCs w:val="0"/>
          <w:i/>
          <w:iCs/>
          <w:sz w:val="16"/>
          <w:szCs w:val="16"/>
          <w:highlight w:val="none"/>
        </w:rPr>
        <w:t xml:space="preserve">в рамках Единого сервисного договора</w:t>
      </w:r>
      <w:r>
        <w:rPr>
          <w:b w:val="0"/>
          <w:bCs w:val="0"/>
          <w:i/>
          <w:iCs/>
          <w:sz w:val="16"/>
          <w:szCs w:val="16"/>
          <w:highlight w:val="none"/>
        </w:rPr>
        <w:t xml:space="preserve"> (Приложение 2.2 к </w:t>
      </w:r>
      <w:r>
        <w:rPr>
          <w:b w:val="0"/>
          <w:bCs w:val="0"/>
          <w:i/>
          <w:iCs/>
          <w:color w:val="000000"/>
          <w:sz w:val="16"/>
          <w:szCs w:val="16"/>
          <w:highlight w:val="none"/>
        </w:rPr>
        <w:t xml:space="preserve">к Единому сер</w:t>
      </w:r>
      <w:r>
        <w:rPr>
          <w:b w:val="0"/>
          <w:bCs w:val="0"/>
          <w:i/>
          <w:iCs/>
          <w:color w:val="000000"/>
          <w:sz w:val="16"/>
          <w:szCs w:val="16"/>
          <w:highlight w:val="none"/>
        </w:rPr>
        <w:t xml:space="preserve">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</w:t>
      </w:r>
      <w:r>
        <w:rPr>
          <w:b w:val="0"/>
          <w:bCs w:val="0"/>
          <w:i/>
          <w:iCs/>
          <w:color w:val="000000"/>
          <w:sz w:val="16"/>
          <w:szCs w:val="16"/>
          <w:highlight w:val="none"/>
        </w:rPr>
        <w:t xml:space="preserve">ации частной практикой, в АО «Россельхозбанк»</w:t>
      </w:r>
      <w:r>
        <w:rPr>
          <w:b w:val="0"/>
          <w:bCs w:val="0"/>
          <w:i/>
          <w:iCs/>
          <w:sz w:val="16"/>
          <w:szCs w:val="16"/>
          <w:highlight w:val="none"/>
        </w:rPr>
        <w:t xml:space="preserve">).</w:t>
      </w:r>
      <w:r>
        <w:rPr>
          <w:rFonts w:ascii="Times New Roman" w:hAnsi="Times New Roman" w:eastAsia="Times New Roman"/>
          <w:bCs/>
          <w:i/>
          <w:iCs/>
          <w:sz w:val="16"/>
          <w:szCs w:val="16"/>
          <w:lang w:eastAsia="ru-RU"/>
        </w:rPr>
        <w:t xml:space="preserve">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i/>
          <w:iCs/>
          <w:sz w:val="16"/>
          <w:szCs w:val="16"/>
          <w:highlight w:val="none"/>
        </w:rPr>
      </w:r>
      <w:r>
        <w:rPr>
          <w:i/>
          <w:iCs/>
          <w:sz w:val="16"/>
          <w:szCs w:val="16"/>
          <w:highlight w:val="none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1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Под обязательствами перед АО «Россельхозбанк» по кредитным сделкам понимаются: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19"/>
        <w:ind w:firstLine="70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</w:t>
      </w:r>
      <w:r>
        <w:rPr>
          <w:i/>
          <w:sz w:val="16"/>
          <w:szCs w:val="16"/>
        </w:rPr>
        <w:t xml:space="preserve">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iCs/>
          <w:sz w:val="16"/>
          <w:szCs w:val="16"/>
          <w:highlight w:val="none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</w:t>
      </w:r>
      <w:r>
        <w:rPr>
          <w:i/>
          <w:sz w:val="16"/>
          <w:szCs w:val="16"/>
        </w:rPr>
        <w:t xml:space="preserve"> по договорам залога, договорам поручительства (в том числе прекратившим свое действие).</w:t>
      </w:r>
      <w:r>
        <w:rPr>
          <w:bCs/>
          <w:i/>
          <w:iCs/>
          <w:sz w:val="16"/>
          <w:szCs w:val="16"/>
        </w:rPr>
      </w:r>
      <w:r>
        <w:rPr>
          <w:i/>
          <w:iCs/>
          <w:sz w:val="16"/>
          <w:szCs w:val="16"/>
          <w:highlight w:val="none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iCs/>
          <w:sz w:val="16"/>
          <w:szCs w:val="16"/>
          <w:highlight w:val="none"/>
        </w:rPr>
      </w:r>
      <w:r>
        <w:rPr>
          <w:bCs/>
          <w:i/>
          <w:iCs/>
          <w:sz w:val="16"/>
          <w:szCs w:val="16"/>
          <w:highlight w:val="none"/>
        </w:rPr>
      </w:r>
    </w:p>
    <w:p>
      <w:pPr>
        <w:pStyle w:val="924"/>
        <w:jc w:val="left"/>
        <w:rPr>
          <w:b w:val="0"/>
          <w:bCs/>
          <w:i/>
          <w:sz w:val="16"/>
          <w:szCs w:val="16"/>
        </w:rPr>
      </w:pPr>
      <w:r>
        <w:rPr>
          <w:i/>
          <w:iCs/>
          <w:sz w:val="16"/>
          <w:szCs w:val="16"/>
        </w:rPr>
      </w:r>
      <w:r>
        <w:rPr>
          <w:rFonts w:eastAsia="Calibri"/>
          <w:i/>
          <w:iCs/>
          <w:color w:val="000000"/>
          <w:sz w:val="16"/>
          <w:szCs w:val="16"/>
          <w:highlight w:val="none"/>
          <w:lang w:eastAsia="en-US"/>
        </w:rPr>
        <w:t xml:space="preserve">*</w:t>
      </w:r>
      <w:r>
        <w:rPr>
          <w:rFonts w:eastAsia="Calibri"/>
          <w:b w:val="0"/>
          <w:bCs w:val="0"/>
          <w:i/>
          <w:iCs/>
          <w:color w:val="000000"/>
          <w:sz w:val="16"/>
          <w:szCs w:val="16"/>
          <w:highlight w:val="none"/>
          <w:lang w:eastAsia="en-US"/>
        </w:rPr>
        <w:t xml:space="preserve">* </w:t>
      </w:r>
      <w:r>
        <w:rPr>
          <w:rFonts w:ascii="Times New Roman" w:hAnsi="Times New Roman" w:eastAsia="Times New Roman"/>
          <w:b w:val="0"/>
          <w:bCs w:val="0"/>
          <w:i/>
          <w:iCs/>
          <w:sz w:val="16"/>
          <w:szCs w:val="16"/>
          <w:highlight w:val="none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rFonts w:ascii="Times New Roman" w:hAnsi="Times New Roman" w:eastAsia="Times New Roman"/>
          <w:b w:val="0"/>
          <w:bCs w:val="0"/>
          <w:i/>
          <w:iCs/>
          <w:sz w:val="16"/>
          <w:szCs w:val="16"/>
          <w:highlight w:val="none"/>
          <w:lang w:eastAsia="ru-RU"/>
        </w:rPr>
        <w:t xml:space="preserve">, осуществляющим контроль</w:t>
      </w:r>
      <w:r>
        <w:rPr>
          <w:rFonts w:ascii="Times New Roman" w:hAnsi="Times New Roman" w:eastAsia="Times New Roman"/>
          <w:b w:val="0"/>
          <w:bCs w:val="0"/>
          <w:i/>
          <w:iCs/>
          <w:sz w:val="16"/>
          <w:szCs w:val="16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i/>
          <w:iCs/>
          <w:sz w:val="16"/>
          <w:szCs w:val="16"/>
          <w:highlight w:val="none"/>
          <w:lang w:eastAsia="ru-RU"/>
        </w:rPr>
        <w:t xml:space="preserve">за платежами </w:t>
      </w:r>
      <w:r>
        <w:rPr>
          <w:rFonts w:ascii="Times New Roman" w:hAnsi="Times New Roman" w:eastAsia="Times New Roman"/>
          <w:b w:val="0"/>
          <w:bCs w:val="0"/>
          <w:i/>
          <w:iCs/>
          <w:sz w:val="16"/>
          <w:szCs w:val="16"/>
          <w:highlight w:val="none"/>
          <w:lang w:eastAsia="ru-RU"/>
        </w:rPr>
        <w:t xml:space="preserve">в соответствии с Федеральным законом от 29.11.2001 № 156-ФЗ </w:t>
      </w:r>
      <w:r>
        <w:rPr>
          <w:rFonts w:ascii="Times New Roman" w:hAnsi="Times New Roman" w:eastAsia="Times New Roman"/>
          <w:b w:val="0"/>
          <w:bCs w:val="0"/>
          <w:i/>
          <w:iCs/>
          <w:sz w:val="16"/>
          <w:szCs w:val="16"/>
          <w:highlight w:val="none"/>
          <w:lang w:eastAsia="ru-RU"/>
        </w:rPr>
        <w:t xml:space="preserve">«Об инвестиционных фондах»</w:t>
      </w:r>
      <w:r>
        <w:rPr>
          <w:rFonts w:eastAsia="Calibri"/>
          <w:b w:val="0"/>
          <w:bCs w:val="0"/>
          <w:i/>
          <w:iCs/>
          <w:color w:val="000000"/>
          <w:sz w:val="16"/>
          <w:szCs w:val="16"/>
          <w:highlight w:val="none"/>
          <w:lang w:eastAsia="en-US"/>
        </w:rPr>
        <w:t xml:space="preserve"> или </w:t>
      </w:r>
      <w:r>
        <w:rPr>
          <w:rFonts w:eastAsia="Calibri"/>
          <w:b w:val="0"/>
          <w:bCs w:val="0"/>
          <w:i/>
          <w:iCs/>
          <w:color w:val="000000"/>
          <w:sz w:val="16"/>
          <w:szCs w:val="16"/>
          <w:lang w:eastAsia="en-US"/>
        </w:rPr>
        <w:t xml:space="preserve">Федеральным законом </w:t>
      </w:r>
      <w:r>
        <w:rPr>
          <w:b w:val="0"/>
          <w:bCs w:val="0"/>
          <w:i/>
          <w:iCs/>
          <w:sz w:val="16"/>
          <w:szCs w:val="16"/>
        </w:rPr>
        <w:t xml:space="preserve">от 07.05.1998 №</w:t>
      </w:r>
      <w:r>
        <w:rPr>
          <w:b w:val="0"/>
          <w:bCs w:val="0"/>
          <w:i/>
          <w:iCs/>
          <w:sz w:val="16"/>
          <w:szCs w:val="16"/>
        </w:rPr>
        <w:t xml:space="preserve"> </w:t>
      </w:r>
      <w:r>
        <w:rPr>
          <w:b w:val="0"/>
          <w:bCs w:val="0"/>
          <w:i/>
          <w:iCs/>
          <w:sz w:val="16"/>
          <w:szCs w:val="16"/>
        </w:rPr>
        <w:t xml:space="preserve">75-ФЗ «О негосударственных пенсионных фондах»,</w:t>
      </w:r>
      <w:r>
        <w:rPr>
          <w:rFonts w:eastAsia="Calibri"/>
          <w:b w:val="0"/>
          <w:bCs w:val="0"/>
          <w:i/>
          <w:iCs/>
          <w:color w:val="000000"/>
          <w:sz w:val="16"/>
          <w:szCs w:val="16"/>
          <w:highlight w:val="none"/>
          <w:lang w:eastAsia="en-US"/>
        </w:rPr>
        <w:t xml:space="preserve"> </w:t>
      </w:r>
      <w:r>
        <w:rPr>
          <w:rFonts w:eastAsia="Calibri"/>
          <w:b w:val="0"/>
          <w:bCs w:val="0"/>
          <w:i/>
          <w:iCs/>
          <w:color w:val="000000"/>
          <w:sz w:val="16"/>
          <w:szCs w:val="16"/>
          <w:highlight w:val="none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rFonts w:eastAsia="Calibri"/>
          <w:b w:val="0"/>
          <w:bCs w:val="0"/>
          <w:i/>
          <w:iCs/>
          <w:color w:val="000000"/>
          <w:sz w:val="16"/>
          <w:szCs w:val="16"/>
          <w:highlight w:val="none"/>
          <w:lang w:eastAsia="en-US"/>
        </w:rPr>
        <w:t xml:space="preserve">.</w:t>
      </w:r>
      <w:r>
        <w:rPr>
          <w:b w:val="0"/>
          <w:bCs w:val="0"/>
          <w:i/>
          <w:iCs/>
          <w:sz w:val="16"/>
          <w:szCs w:val="16"/>
        </w:rPr>
      </w:r>
      <w:r>
        <w:rPr>
          <w:b w:val="0"/>
          <w:bCs w:val="0"/>
          <w:i/>
          <w:iCs/>
          <w:sz w:val="16"/>
          <w:szCs w:val="16"/>
        </w:rPr>
      </w:r>
    </w:p>
    <w:p>
      <w:pPr>
        <w:pStyle w:val="924"/>
      </w:pPr>
      <w:r>
        <w:t xml:space="preserve">8. Хранение ценностей клиентов в хранилище ценностей Банка</w:t>
      </w:r>
      <w:bookmarkEnd w:id="16"/>
      <w:r/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 учетом НДС)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32"/>
        <w:gridCol w:w="3880"/>
        <w:gridCol w:w="1940"/>
        <w:gridCol w:w="3463"/>
      </w:tblGrid>
      <w:tr>
        <w:tblPrEx/>
        <w:trPr>
          <w:tblHeader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Плата в долл. США в месяц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10 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 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11 мест до 20 мест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 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21 места до 30 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 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31 места до 40 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 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24"/>
      </w:pPr>
      <w:r/>
      <w:bookmarkStart w:id="17" w:name="_Toc421185901"/>
      <w:r/>
      <w:r/>
    </w:p>
    <w:p>
      <w:pPr>
        <w:pStyle w:val="924"/>
      </w:pPr>
      <w:r/>
      <w:r/>
    </w:p>
    <w:p>
      <w:pPr>
        <w:pStyle w:val="924"/>
      </w:pPr>
      <w:r>
        <w:t xml:space="preserve">9. Операции по предоставлению клиентам в аренду индивидуальных сейфовых ячеек</w:t>
      </w:r>
      <w:bookmarkEnd w:id="17"/>
      <w:r/>
      <w:r/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32"/>
        <w:gridCol w:w="3842"/>
        <w:gridCol w:w="1978"/>
        <w:gridCol w:w="3463"/>
      </w:tblGrid>
      <w:tr>
        <w:tblPrEx/>
        <w:trPr>
          <w:cantSplit/>
          <w:tblHeader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 аренду индивидуальных сейфовых ячеек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12" w:type="pct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50 *310*435 (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1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75*310*435 (мм)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1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125*310*435 (мм)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1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175*310*435  (мм)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1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300*310*435 (мм)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600*310*435 (мм)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210 руб.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 xml:space="preserve">за каждое посещение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утрату</w:t>
            </w:r>
            <w:r>
              <w:rPr>
                <w:sz w:val="20"/>
                <w:szCs w:val="20"/>
              </w:rPr>
              <w:t xml:space="preserve">/порчу ключей, порчу замка сейфовой ячейки и/или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несвоев</w:t>
            </w:r>
            <w:r>
              <w:rPr>
                <w:sz w:val="20"/>
                <w:szCs w:val="20"/>
              </w:rPr>
              <w:t xml:space="preserve">ременный возврат ключей от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155 руб.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 xml:space="preserve">за единицу банковской техники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</w:t>
            </w:r>
            <w:r>
              <w:rPr>
                <w:bCs/>
                <w:sz w:val="20"/>
                <w:szCs w:val="20"/>
              </w:rPr>
              <w:t xml:space="preserve">ется в момент предоставления услуги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r/>
      <w:r/>
    </w:p>
    <w:p>
      <w:pPr>
        <w:pStyle w:val="921"/>
        <w:jc w:val="center"/>
        <w:rPr>
          <w:bCs w:val="0"/>
          <w:sz w:val="22"/>
          <w:szCs w:val="22"/>
        </w:rPr>
      </w:pPr>
      <w:r/>
      <w:bookmarkStart w:id="18" w:name="_Toc3391774"/>
      <w:r/>
      <w:bookmarkStart w:id="19" w:name="_Toc3391835"/>
      <w:r>
        <w:rPr>
          <w:bCs w:val="0"/>
          <w:sz w:val="22"/>
          <w:szCs w:val="22"/>
        </w:rPr>
        <w:t xml:space="preserve">10. Услуги инкассации</w:t>
      </w:r>
      <w:bookmarkEnd w:id="18"/>
      <w:r/>
      <w:bookmarkEnd w:id="19"/>
      <w:r>
        <w:rPr>
          <w:bCs w:val="0"/>
          <w:sz w:val="22"/>
          <w:szCs w:val="22"/>
        </w:rPr>
      </w:r>
      <w:r>
        <w:rPr>
          <w:bCs w:val="0"/>
          <w:sz w:val="22"/>
          <w:szCs w:val="2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42"/>
        <w:gridCol w:w="3614"/>
        <w:gridCol w:w="123"/>
        <w:gridCol w:w="2100"/>
        <w:gridCol w:w="281"/>
        <w:gridCol w:w="2919"/>
        <w:gridCol w:w="136"/>
      </w:tblGrid>
      <w:tr>
        <w:tblPrEx/>
        <w:trPr>
          <w:cantSplit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9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/>
            <w:bookmarkStart w:id="20" w:name="_Toc421185903"/>
            <w:r>
              <w:rPr>
                <w:bCs/>
                <w:sz w:val="20"/>
                <w:szCs w:val="20"/>
              </w:rPr>
              <w:t xml:space="preserve">10.1.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7" w:type="pct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по договору с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</w:t>
            </w:r>
            <w:r>
              <w:rPr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pct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информационноплатежные терминалы: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 доставкой в подразделение Банка*;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34" w:hanging="34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 доставкой в другую кредитную организацию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pct"/>
            <w:textDirection w:val="lrTb"/>
            <w:noWrap w:val="false"/>
          </w:tcPr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0,15%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600 000,00** руб. (вклю</w:t>
            </w:r>
            <w:r>
              <w:rPr>
                <w:sz w:val="20"/>
                <w:szCs w:val="20"/>
              </w:rPr>
              <w:t xml:space="preserve">чительно),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360 руб.;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0,10%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 600 000,01** руб. до 5 000 000,00* руб. (включительно);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0,05%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с 5 000 000,01** руб. и выше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left="-52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</w:t>
            </w:r>
            <w:r>
              <w:rPr>
                <w:bCs/>
                <w:sz w:val="20"/>
                <w:szCs w:val="20"/>
              </w:rPr>
              <w:t xml:space="preserve"> наличности, доставленных инкассаторскими работниками АО «Россельхозбанк», с переводом денежных средств на счет клиента, открытый в другой кредитной организации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0,2%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pct"/>
            <w:textDirection w:val="lrTb"/>
            <w:noWrap w:val="false"/>
          </w:tcPr>
          <w:p>
            <w:pPr>
              <w:ind w:left="34" w:hanging="34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pct"/>
            <w:textDirection w:val="lrTb"/>
            <w:noWrap w:val="false"/>
          </w:tcPr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122</w:t>
            </w:r>
            <w:r>
              <w:rPr>
                <w:sz w:val="20"/>
                <w:szCs w:val="20"/>
                <w:lang w:val="en-US"/>
              </w:rPr>
              <w:t xml:space="preserve">0 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pct"/>
            <w:textDirection w:val="lrTb"/>
            <w:noWrap w:val="false"/>
          </w:tcPr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1220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</w:p>
    <w:p>
      <w:pPr>
        <w:jc w:val="both"/>
        <w:rPr>
          <w:bCs/>
          <w:sz w:val="20"/>
          <w:szCs w:val="20"/>
        </w:rPr>
        <w:outlineLvl w:val="0"/>
      </w:pPr>
      <w:r/>
      <w:bookmarkStart w:id="21" w:name="_Toc3391102"/>
      <w:r/>
      <w:bookmarkStart w:id="22" w:name="_Toc3391775"/>
      <w:r/>
      <w:bookmarkStart w:id="23" w:name="_Toc3391836"/>
      <w:r>
        <w:rPr>
          <w:bCs/>
          <w:sz w:val="20"/>
          <w:szCs w:val="20"/>
          <w:u w:val="single"/>
        </w:rPr>
        <w:t xml:space="preserve">Примечание</w:t>
      </w:r>
      <w:r>
        <w:rPr>
          <w:bCs/>
          <w:sz w:val="20"/>
          <w:szCs w:val="20"/>
        </w:rPr>
        <w:t xml:space="preserve">:</w:t>
      </w:r>
      <w:bookmarkEnd w:id="20"/>
      <w:r/>
      <w:bookmarkEnd w:id="21"/>
      <w:r/>
      <w:bookmarkEnd w:id="22"/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bCs/>
          <w:sz w:val="20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Пороговые значения сумм ком</w:t>
      </w:r>
      <w:r>
        <w:rPr>
          <w:sz w:val="20"/>
          <w:szCs w:val="20"/>
        </w:rPr>
        <w:t xml:space="preserve">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27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 </w:t>
      </w:r>
      <w:r>
        <w:rPr>
          <w:b/>
          <w:sz w:val="20"/>
          <w:szCs w:val="20"/>
        </w:rPr>
        <w:t xml:space="preserve">Заезд</w:t>
      </w:r>
      <w:r>
        <w:rPr>
          <w:sz w:val="20"/>
          <w:szCs w:val="20"/>
        </w:rPr>
        <w:t xml:space="preserve">  прибытие бригады инкассаторских работников в здание клиента/помещение клиента (в здании)</w:t>
      </w:r>
      <w:r>
        <w:rPr>
          <w:color w:val="000000"/>
          <w:sz w:val="20"/>
          <w:szCs w:val="20"/>
        </w:rPr>
        <w:t xml:space="preserve"> на территор</w:t>
      </w:r>
      <w:r>
        <w:rPr>
          <w:color w:val="000000"/>
          <w:sz w:val="20"/>
          <w:szCs w:val="20"/>
        </w:rPr>
        <w:t xml:space="preserve">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информационноплатежного терминала.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**** </w:t>
      </w:r>
      <w:r>
        <w:rPr>
          <w:b/>
          <w:sz w:val="20"/>
          <w:szCs w:val="20"/>
        </w:rPr>
        <w:t xml:space="preserve">Объект инкассации</w:t>
      </w:r>
      <w:r>
        <w:rPr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здание клиента/помещение клиента (в здании) на территор</w:t>
      </w:r>
      <w:r>
        <w:rPr>
          <w:color w:val="000000"/>
          <w:sz w:val="20"/>
          <w:szCs w:val="20"/>
        </w:rPr>
        <w:t xml:space="preserve">ии которого осуществляется прием или передача денежной наличности между инкассаторскими работниками и клиентом/расположен информационноплатежный терминал.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924"/>
      </w:pPr>
      <w:r/>
      <w:r/>
    </w:p>
    <w:p>
      <w:pPr>
        <w:pStyle w:val="924"/>
      </w:pPr>
      <w:r>
        <w:t xml:space="preserve">11. Операции по покупкепродаже иностранной валюты</w:t>
      </w:r>
      <w:bookmarkEnd w:id="23"/>
      <w:r/>
      <w:r/>
    </w:p>
    <w:p>
      <w:r/>
      <w:r/>
    </w:p>
    <w:tbl>
      <w:tblPr>
        <w:tblW w:w="488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2033"/>
        <w:gridCol w:w="1837"/>
        <w:gridCol w:w="987"/>
        <w:gridCol w:w="4133"/>
      </w:tblGrid>
      <w:tr>
        <w:tblPrEx/>
        <w:trPr>
          <w:tblHeader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pct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9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(в % от суммы 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 Продажа иностранной валюты клиентом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9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 до 16.00 ч</w:t>
            </w:r>
            <w:r>
              <w:rPr>
                <w:sz w:val="20"/>
                <w:szCs w:val="20"/>
              </w:rPr>
              <w:t xml:space="preserve">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</w:t>
            </w:r>
            <w:r>
              <w:rPr>
                <w:sz w:val="20"/>
                <w:szCs w:val="20"/>
              </w:rPr>
              <w:t xml:space="preserve">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4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4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иностранной валюты непосредственно Банку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 до 16.00 часов (по пятницам и в предпраздничные дни время подачи распоряжений уменьшается на соответствующее сокращение рабочего времени Банка). Р</w:t>
            </w:r>
            <w:r>
              <w:rPr>
                <w:sz w:val="20"/>
                <w:szCs w:val="20"/>
              </w:rPr>
              <w:t xml:space="preserve">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</w:t>
            </w:r>
            <w:r>
              <w:rPr>
                <w:b/>
                <w:sz w:val="20"/>
                <w:szCs w:val="20"/>
              </w:rPr>
              <w:t xml:space="preserve">1.2. Покупка иностранной валюты клиентом за российские рубли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9" w:type="pct"/>
            <w:textDirection w:val="lrTb"/>
            <w:noWrap w:val="false"/>
          </w:tcPr>
          <w:p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* Операции по обязательной продаже части валютной выручки на внутреннем валютном рынке Российской Федерации осуществляются Банком по правилам п. 11.1 настоящих Тарифов с учетом требований нормати</w:t>
            </w:r>
            <w:r>
              <w:rPr>
                <w:i/>
                <w:sz w:val="16"/>
                <w:szCs w:val="16"/>
              </w:rPr>
              <w:t xml:space="preserve">вных документов ЦБ РФ.</w:t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9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 до 16.00 часов (по пятницам и в предпраздничные дни время подачи заявки уменьшается на соответствующее сокращение рабочего времени Банка). Заявки, предоставле</w:t>
            </w:r>
            <w:r>
              <w:rPr>
                <w:sz w:val="20"/>
                <w:szCs w:val="20"/>
              </w:rPr>
              <w:t xml:space="preserve">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9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 до 16.00 часов (по пятницам и в предпраздничные дни время подачи заявки уменьшается на соо</w:t>
            </w:r>
            <w:r>
              <w:rPr>
                <w:sz w:val="20"/>
                <w:szCs w:val="20"/>
              </w:rPr>
              <w:t xml:space="preserve">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</w:t>
            </w:r>
            <w:r>
              <w:rPr>
                <w:sz w:val="20"/>
                <w:szCs w:val="20"/>
              </w:rPr>
              <w:t xml:space="preserve">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 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и/или размер расчетной комиссии в течение дня.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 При совершении Банком операций, указанных в п.п. 11.1.1, 11.1.2, 11.2.1 и 11.2.2, Курс Банка и/или размер расчетной комиссии, действующий(ие) на дату и время соверш</w:t>
      </w:r>
      <w:r>
        <w:rPr>
          <w:i/>
          <w:sz w:val="16"/>
          <w:szCs w:val="16"/>
        </w:rPr>
        <w:t xml:space="preserve">ения операции, сообщаются клиенту после приема Банком к исполнению распоряжения/заявки.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924"/>
      </w:pPr>
      <w:r/>
      <w:bookmarkStart w:id="24" w:name="_Toc421185904"/>
      <w:r/>
      <w:r/>
    </w:p>
    <w:p>
      <w:pPr>
        <w:pStyle w:val="924"/>
      </w:pPr>
      <w:r/>
      <w:r/>
    </w:p>
    <w:p>
      <w:pPr>
        <w:pStyle w:val="924"/>
      </w:pPr>
      <w:r>
        <w:t xml:space="preserve">12. Кредитные операции</w:t>
      </w:r>
      <w:bookmarkEnd w:id="24"/>
      <w:r>
        <w:t xml:space="preserve"> </w:t>
      </w:r>
      <w:r/>
    </w:p>
    <w:tbl>
      <w:tblPr>
        <w:tblW w:w="10178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827"/>
        <w:gridCol w:w="2127"/>
        <w:gridCol w:w="3402"/>
      </w:tblGrid>
      <w:tr>
        <w:tblPrEx/>
        <w:trPr>
          <w:trHeight w:val="39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0,8%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</w:t>
            </w:r>
            <w:r>
              <w:rPr>
                <w:sz w:val="20"/>
                <w:szCs w:val="20"/>
              </w:rPr>
              <w:t xml:space="preserve">ита).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</w:t>
            </w:r>
            <w:r>
              <w:rPr>
                <w:bCs/>
                <w:sz w:val="20"/>
                <w:szCs w:val="20"/>
              </w:rPr>
              <w:t xml:space="preserve">о интервенционного фонда № 372-П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</w:t>
            </w:r>
            <w:r>
              <w:rPr>
                <w:sz w:val="20"/>
                <w:szCs w:val="20"/>
              </w:rPr>
              <w:t xml:space="preserve">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74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74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</w:t>
            </w:r>
            <w:r>
              <w:rPr>
                <w:bCs/>
                <w:sz w:val="20"/>
                <w:szCs w:val="20"/>
              </w:rPr>
              <w:t xml:space="preserve">сельхозбанк» кредитов, предоставленных сторонними кредитными организациями № 376-П в рамках кредитных продуктов «</w:t>
            </w:r>
            <w:r>
              <w:rPr>
                <w:sz w:val="20"/>
                <w:szCs w:val="20"/>
              </w:rPr>
              <w:t xml:space="preserve">Сезонный Рефинанс</w:t>
            </w:r>
            <w:r>
              <w:rPr>
                <w:bCs/>
                <w:sz w:val="20"/>
                <w:szCs w:val="20"/>
              </w:rPr>
              <w:t xml:space="preserve">», «Сезонный Животноводство Рефинанс», «Сезонный Переработка Рефинанс», «Оборотный-стандарт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</w:t>
            </w:r>
            <w:r>
              <w:rPr>
                <w:bCs/>
                <w:sz w:val="20"/>
                <w:szCs w:val="20"/>
              </w:rPr>
              <w:t xml:space="preserve">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</w:t>
            </w:r>
            <w:r>
              <w:rPr>
                <w:bCs/>
                <w:sz w:val="20"/>
                <w:szCs w:val="20"/>
              </w:rPr>
              <w:t xml:space="preserve">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ind w:left="34"/>
              <w:spacing w:before="120" w:after="4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уплаты процентов за пользование кредитом, в течение всего периода </w:t>
            </w:r>
            <w:r>
              <w:rPr>
                <w:sz w:val="20"/>
                <w:szCs w:val="20"/>
              </w:rPr>
              <w:t xml:space="preserve">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</w:t>
            </w:r>
            <w:r>
              <w:rPr>
                <w:sz w:val="20"/>
                <w:szCs w:val="20"/>
              </w:rPr>
              <w:t xml:space="preserve">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</w:t>
            </w:r>
            <w:r>
              <w:rPr>
                <w:bCs/>
                <w:sz w:val="20"/>
                <w:szCs w:val="20"/>
              </w:rPr>
              <w:t xml:space="preserve">интервенционного фонда № 372-П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</w:t>
            </w:r>
            <w:r>
              <w:rPr>
                <w:bCs/>
                <w:sz w:val="20"/>
                <w:szCs w:val="20"/>
              </w:rPr>
              <w:t xml:space="preserve">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</w:t>
            </w:r>
            <w:r>
              <w:rPr>
                <w:bCs/>
                <w:sz w:val="20"/>
                <w:szCs w:val="20"/>
              </w:rPr>
              <w:t xml:space="preserve">сельхозбанк» кредитов, предоставленных сторонними кредитными организациями № 376-П в рамках кредитных продуктов «</w:t>
            </w:r>
            <w:r>
              <w:rPr>
                <w:sz w:val="20"/>
                <w:szCs w:val="20"/>
              </w:rPr>
              <w:t xml:space="preserve">Сезонный Рефинанс</w:t>
            </w:r>
            <w:r>
              <w:rPr>
                <w:bCs/>
                <w:sz w:val="20"/>
                <w:szCs w:val="20"/>
              </w:rPr>
              <w:t xml:space="preserve">», «Сезонный Животноводство Рефинанс», «Сезонный Переработка Рефинанс», «Оборотный-стандарт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рефинансировании (реструктурировании) за счет средств АО «МСП Банк» кре</w:t>
            </w:r>
            <w:r>
              <w:rPr>
                <w:sz w:val="20"/>
                <w:szCs w:val="20"/>
              </w:rPr>
              <w:t xml:space="preserve">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</w:t>
            </w:r>
            <w:r>
              <w:rPr>
                <w:bCs/>
                <w:sz w:val="20"/>
                <w:szCs w:val="20"/>
              </w:rPr>
              <w:t xml:space="preserve">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ind w:left="34"/>
              <w:spacing w:before="12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18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 со дня, следующего за: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5"/>
              </w:numPr>
              <w:ind w:left="0" w:firstLine="175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75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5"/>
              </w:numPr>
              <w:ind w:left="0" w:firstLine="175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</w:t>
            </w:r>
            <w:r>
              <w:rPr>
                <w:sz w:val="20"/>
                <w:szCs w:val="20"/>
              </w:rPr>
              <w:t xml:space="preserve">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tabs>
                <w:tab w:val="left" w:pos="306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58"/>
              <w:numPr>
                <w:ilvl w:val="0"/>
                <w:numId w:val="25"/>
              </w:numPr>
              <w:ind w:left="0" w:firstLine="0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креди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та/ транша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в форме «овердрафт» 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118"/>
                <w:bCs/>
                <w:sz w:val="20"/>
                <w:szCs w:val="20"/>
              </w:rPr>
              <w:footnoteReference w:id="3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spacing w:before="120" w:after="120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по договору об открытии кредитной линии,  </w:t>
            </w:r>
            <w:r>
              <w:rPr>
                <w:bCs/>
                <w:sz w:val="20"/>
                <w:szCs w:val="20"/>
              </w:rPr>
              <w:t xml:space="preserve">заключенному </w:t>
            </w:r>
            <w:r>
              <w:rPr>
                <w:sz w:val="20"/>
                <w:szCs w:val="20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bCs/>
                <w:sz w:val="20"/>
                <w:szCs w:val="20"/>
              </w:rPr>
              <w:t xml:space="preserve"> (принятому в соответствии с постановлением Правительства Российской Федерации от 25.10.2023 № 1780) в течение пер</w:t>
            </w:r>
            <w:r>
              <w:rPr>
                <w:bCs/>
                <w:sz w:val="20"/>
                <w:szCs w:val="20"/>
              </w:rPr>
              <w:t xml:space="preserve">иода льготного кредитования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годовых»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изменении: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промежуточного (ых) срока(ов) возврата кредита: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6 до 30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0,35%;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до 60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0,7%;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60 календарных дней – </w:t>
            </w:r>
            <w:r>
              <w:rPr>
                <w:sz w:val="20"/>
                <w:szCs w:val="20"/>
              </w:rPr>
              <w:t xml:space="preserve">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Данная комиссия н</w:t>
            </w:r>
            <w:r>
              <w:rPr>
                <w:sz w:val="20"/>
                <w:szCs w:val="20"/>
              </w:rPr>
              <w:t xml:space="preserve">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74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</w:t>
            </w:r>
            <w:r>
              <w:rPr>
                <w:bCs/>
                <w:sz w:val="20"/>
                <w:szCs w:val="20"/>
              </w:rPr>
              <w:t xml:space="preserve">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кредитной сделки по инициативе заемщи</w:t>
            </w:r>
            <w:r>
              <w:rPr>
                <w:bCs/>
                <w:sz w:val="20"/>
                <w:szCs w:val="20"/>
              </w:rPr>
              <w:t xml:space="preserve">ка при изменении процентной ставки по кредиту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сумме, на которую начисляется комиссия: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1%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1 000 000,01 до 50 000 000,00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0,8%;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50 000 000,01 до 100 000 000,00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100 000 000,01 руб. </w:t>
            </w:r>
            <w:r>
              <w:rPr>
                <w:bCs/>
                <w:sz w:val="20"/>
                <w:szCs w:val="20"/>
              </w:rPr>
              <w:t xml:space="preserve">– 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</w:t>
            </w:r>
            <w:r>
              <w:rPr>
                <w:bCs/>
                <w:sz w:val="20"/>
                <w:szCs w:val="20"/>
              </w:rPr>
              <w:t xml:space="preserve">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74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</w:t>
            </w:r>
            <w:r>
              <w:rPr>
                <w:bCs/>
                <w:sz w:val="20"/>
                <w:szCs w:val="20"/>
              </w:rPr>
              <w:t xml:space="preserve">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</w:t>
            </w:r>
            <w:r>
              <w:rPr>
                <w:bCs/>
                <w:sz w:val="20"/>
                <w:szCs w:val="20"/>
              </w:rPr>
              <w:t xml:space="preserve">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 xml:space="preserve">)):</w:t>
            </w:r>
            <w:r>
              <w:rPr>
                <w:spacing w:val="-20"/>
                <w:sz w:val="20"/>
                <w:szCs w:val="20"/>
              </w:rPr>
            </w:r>
            <w:r>
              <w:rPr>
                <w:spacing w:val="-20"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т</w:t>
            </w:r>
            <w:r>
              <w:rPr>
                <w:bCs/>
                <w:sz w:val="20"/>
                <w:szCs w:val="20"/>
              </w:rPr>
              <w:t xml:space="preserve">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вновь заключаемым кредитным сделкам данная комиссия не взимается (к</w:t>
            </w:r>
            <w:r>
              <w:rPr>
                <w:sz w:val="20"/>
                <w:szCs w:val="20"/>
              </w:rPr>
              <w:t xml:space="preserve">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Досрочный возврат кредита (основного долга) по инициативе заемщика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  <w:r>
              <w:rPr>
                <w:sz w:val="20"/>
                <w:szCs w:val="20"/>
                <w:vertAlign w:val="superscript"/>
              </w:rPr>
              <w:t xml:space="preserve">,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об открытии кредитной линии с лимитом вы</w:t>
            </w:r>
            <w:r>
              <w:rPr>
                <w:bCs/>
                <w:sz w:val="20"/>
                <w:szCs w:val="20"/>
              </w:rPr>
              <w:t xml:space="preserve">дачи и лимитом задолженности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исключением комиссий, возмещаемых финансирующему банку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кредитного </w:t>
            </w:r>
            <w:r>
              <w:rPr>
                <w:bCs/>
                <w:sz w:val="20"/>
                <w:szCs w:val="20"/>
              </w:rPr>
              <w:t xml:space="preserve">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кредитов, предоставленных сторонними кред</w:t>
            </w:r>
            <w:r>
              <w:rPr>
                <w:sz w:val="20"/>
                <w:szCs w:val="20"/>
              </w:rPr>
              <w:t xml:space="preserve">итными организациями № 376-П в рамках кредитных продуктов «Сезонный Рефинанс», «Сезонный Животноводство Рефинанс», «Сезонный Переработка Рефинанс»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74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822" w:type="dxa"/>
            <w:vMerge w:val="restart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Merge w:val="continue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spacing w:before="120" w:after="120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в рамках решен</w:t>
            </w:r>
            <w:r>
              <w:rPr>
                <w:bCs/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части.»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12.8.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- 30 000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- 150 000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</w:t>
            </w:r>
            <w:r>
              <w:rPr>
                <w:sz w:val="20"/>
                <w:szCs w:val="20"/>
              </w:rPr>
              <w:t xml:space="preserve">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дополнительного(ых) соглашения(ий) об изменении условий действую</w:t>
            </w:r>
            <w:r>
              <w:rPr>
                <w:bCs/>
                <w:sz w:val="20"/>
                <w:szCs w:val="20"/>
              </w:rPr>
              <w:t xml:space="preserve">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</w:t>
            </w:r>
            <w:r>
              <w:rPr>
                <w:bCs/>
                <w:sz w:val="20"/>
                <w:szCs w:val="20"/>
              </w:rPr>
              <w:t xml:space="preserve">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размера(ов) комиссии(ий) и/или иного порядка её(их) уплаты, не предусмотренных настоящ</w:t>
      </w:r>
      <w:r>
        <w:rPr>
          <w:bCs/>
          <w:iCs/>
          <w:sz w:val="20"/>
          <w:szCs w:val="20"/>
        </w:rPr>
        <w:t xml:space="preserve">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</w:t>
      </w:r>
      <w:r>
        <w:rPr>
          <w:bCs/>
          <w:iCs/>
          <w:sz w:val="20"/>
          <w:szCs w:val="20"/>
        </w:rPr>
        <w:t xml:space="preserve">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sz w:val="20"/>
        </w:rPr>
      </w:r>
      <w:r>
        <w:rPr>
          <w:sz w:val="20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</w:t>
      </w:r>
      <w:r>
        <w:rPr>
          <w:b/>
          <w:bCs/>
          <w:iCs/>
          <w:sz w:val="20"/>
          <w:szCs w:val="20"/>
          <w:u w:val="single"/>
        </w:rPr>
        <w:t xml:space="preserve">Перечнями 1-2: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</w:t>
      </w:r>
      <w:r>
        <w:rPr>
          <w:bCs/>
          <w:iCs/>
          <w:sz w:val="20"/>
          <w:szCs w:val="20"/>
        </w:rPr>
        <w:t xml:space="preserve">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</w:t>
      </w:r>
      <w:r>
        <w:rPr>
          <w:bCs/>
          <w:iCs/>
          <w:sz w:val="20"/>
          <w:szCs w:val="20"/>
        </w:rPr>
        <w:t xml:space="preserve">ва Российской Федерации от 09.02.2021 № 141) (далее – ППРФ от 09.02.2021 № 141);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</w:t>
      </w:r>
      <w:r>
        <w:rPr>
          <w:bCs/>
          <w:iCs/>
          <w:sz w:val="20"/>
          <w:szCs w:val="20"/>
        </w:rPr>
        <w:t xml:space="preserve">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 w:type="textWrapping" w:clear="all"/>
      </w:r>
      <w:r>
        <w:rPr>
          <w:bCs/>
          <w:iCs/>
          <w:sz w:val="20"/>
          <w:szCs w:val="20"/>
        </w:rPr>
        <w:t xml:space="preserve">от 05.12.2019 № 1598) (далее – ППРФ от 05.12.2019 № 1598);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</w:t>
      </w:r>
      <w:r>
        <w:rPr>
          <w:bCs/>
          <w:iCs/>
          <w:sz w:val="20"/>
          <w:szCs w:val="20"/>
        </w:rPr>
        <w:t xml:space="preserve">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</w:t>
      </w:r>
      <w:r>
        <w:rPr>
          <w:bCs/>
          <w:iCs/>
          <w:sz w:val="20"/>
          <w:szCs w:val="20"/>
        </w:rPr>
        <w:t xml:space="preserve">тва Российской Федерации от 30.12.2017 № 1706) (далее – ППРФ от 30.12.2017 № 1706);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</w:t>
      </w:r>
      <w:r>
        <w:rPr>
          <w:bCs/>
          <w:iCs/>
          <w:sz w:val="20"/>
          <w:szCs w:val="20"/>
        </w:rPr>
        <w:t xml:space="preserve">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</w:t>
      </w:r>
      <w:r>
        <w:rPr>
          <w:bCs/>
          <w:iCs/>
          <w:sz w:val="20"/>
          <w:szCs w:val="20"/>
        </w:rPr>
        <w:t xml:space="preserve">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 w:type="textWrapping" w:clear="all"/>
      </w:r>
      <w:r>
        <w:rPr>
          <w:bCs/>
          <w:iCs/>
          <w:sz w:val="20"/>
          <w:szCs w:val="20"/>
        </w:rPr>
        <w:t xml:space="preserve">(утв. постановлением Правительства Российской Федерации от 29.12.2016 № 1528) (далее – ППРФ от </w:t>
      </w:r>
      <w:r>
        <w:rPr>
          <w:bCs/>
          <w:iCs/>
          <w:sz w:val="20"/>
          <w:szCs w:val="20"/>
        </w:rPr>
        <w:t xml:space="preserve">29.12.2016 </w:t>
      </w:r>
      <w:r>
        <w:rPr>
          <w:bCs/>
          <w:iCs/>
          <w:sz w:val="20"/>
          <w:szCs w:val="20"/>
        </w:rPr>
        <w:br w:type="textWrapping" w:clear="all"/>
      </w:r>
      <w:r>
        <w:rPr>
          <w:bCs/>
          <w:iCs/>
          <w:sz w:val="20"/>
          <w:szCs w:val="20"/>
        </w:rPr>
        <w:t xml:space="preserve">№ 1528);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</w:t>
      </w:r>
      <w:r>
        <w:rPr>
          <w:sz w:val="20"/>
        </w:rPr>
        <w:t xml:space="preserve">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</w:t>
      </w:r>
      <w:r>
        <w:rPr>
          <w:sz w:val="20"/>
        </w:rPr>
        <w:t xml:space="preserve">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</w:t>
      </w:r>
      <w:r>
        <w:rPr>
          <w:sz w:val="20"/>
        </w:rPr>
        <w:t xml:space="preserve">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</w:t>
      </w:r>
      <w:r>
        <w:rPr>
          <w:sz w:val="20"/>
        </w:rPr>
        <w:t xml:space="preserve">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</w:t>
      </w:r>
      <w:r>
        <w:rPr>
          <w:bCs/>
          <w:iCs/>
          <w:sz w:val="20"/>
          <w:szCs w:val="20"/>
        </w:rPr>
        <w:t xml:space="preserve">№ 1804) (далее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</w:t>
      </w:r>
      <w:r>
        <w:rPr>
          <w:sz w:val="20"/>
        </w:rPr>
        <w:t xml:space="preserve">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</w:t>
      </w:r>
      <w:r>
        <w:rPr>
          <w:bCs/>
          <w:iCs/>
          <w:sz w:val="20"/>
          <w:szCs w:val="20"/>
        </w:rPr>
        <w:t xml:space="preserve"> 30.12.2018 № 1764) (далее – ППРФ от 30.12.2018 </w:t>
      </w:r>
      <w:r>
        <w:rPr>
          <w:bCs/>
          <w:iCs/>
          <w:sz w:val="20"/>
          <w:szCs w:val="20"/>
        </w:rPr>
        <w:br w:type="textWrapping" w:clear="all"/>
      </w:r>
      <w:r>
        <w:rPr>
          <w:bCs/>
          <w:iCs/>
          <w:sz w:val="20"/>
          <w:szCs w:val="20"/>
        </w:rPr>
        <w:t xml:space="preserve">№ 1764);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</w:t>
      </w:r>
      <w:r>
        <w:rPr>
          <w:bCs/>
          <w:iCs/>
          <w:sz w:val="20"/>
          <w:szCs w:val="20"/>
        </w:rPr>
        <w:t xml:space="preserve">зациям и (или) индивидуальным предпринимателям </w:t>
      </w:r>
      <w:r>
        <w:rPr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</w:t>
      </w:r>
      <w:r>
        <w:rPr>
          <w:sz w:val="20"/>
          <w:szCs w:val="20"/>
        </w:rPr>
        <w:t xml:space="preserve">6.09.2022 № 1570) (далее – ППРФ от 06.09.2022 № 1570</w:t>
      </w:r>
      <w:r>
        <w:rPr>
          <w:bCs/>
          <w:iCs/>
          <w:sz w:val="20"/>
          <w:szCs w:val="20"/>
        </w:rPr>
        <w:t xml:space="preserve">).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4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</w:t>
      </w:r>
      <w:r>
        <w:rPr>
          <w:sz w:val="20"/>
          <w:szCs w:val="20"/>
        </w:rPr>
        <w:t xml:space="preserve">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</w:t>
      </w:r>
      <w:r>
        <w:rPr>
          <w:sz w:val="20"/>
          <w:szCs w:val="20"/>
        </w:rPr>
        <w:t xml:space="preserve">ям</w:t>
      </w:r>
      <w:r>
        <w:rPr>
          <w:sz w:val="20"/>
          <w:szCs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258-Р), принятого в соответствии с постановле</w:t>
      </w:r>
      <w:r>
        <w:rPr>
          <w:sz w:val="20"/>
          <w:szCs w:val="20"/>
        </w:rPr>
        <w:t xml:space="preserve">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</w:t>
      </w:r>
      <w:r>
        <w:rPr>
          <w:sz w:val="20"/>
          <w:szCs w:val="20"/>
        </w:rPr>
        <w:t xml:space="preserve">е физическим лицам - производителям товаров, работ, услуг (далее – ППРФ от 25.10.2023 № 1780);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4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</w:t>
      </w:r>
      <w:r>
        <w:rPr>
          <w:sz w:val="20"/>
          <w:szCs w:val="20"/>
        </w:rPr>
        <w:t xml:space="preserve">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</w:t>
      </w:r>
      <w:r>
        <w:rPr>
          <w:sz w:val="20"/>
          <w:szCs w:val="20"/>
        </w:rPr>
        <w:t xml:space="preserve">отребительских кооперативов), организациям</w:t>
      </w:r>
      <w:r>
        <w:rPr>
          <w:sz w:val="20"/>
          <w:szCs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358-Р</w:t>
      </w:r>
      <w:r>
        <w:rPr>
          <w:sz w:val="20"/>
          <w:szCs w:val="20"/>
        </w:rPr>
        <w:t xml:space="preserve">), принятого в соответствии с ППРФ от 25.10.2023 № 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</w:t>
      </w:r>
      <w:r>
        <w:rPr>
          <w:sz w:val="20"/>
          <w:szCs w:val="20"/>
        </w:rPr>
        <w:t xml:space="preserve">стиционных проектов по созданию туристической инфраструктуры в форме льготного кредитования (далее – Решение № 1201-Р)», принятого в соответствии с ППРФ от 25.10.2023 № 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outlineLvl w:val="5"/>
      </w:pP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ab/>
        <w:t xml:space="preserve">при кредитовании в рамках решения Министерства сельского хозяйства Российской Ф</w:t>
      </w:r>
      <w:r>
        <w:rPr>
          <w:sz w:val="20"/>
          <w:szCs w:val="20"/>
        </w:rPr>
        <w:t xml:space="preserve">едерации о порядке предоставления субсидии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</w:t>
      </w:r>
      <w:r>
        <w:rPr>
          <w:sz w:val="20"/>
          <w:szCs w:val="20"/>
        </w:rPr>
        <w:t xml:space="preserve">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</w:t>
      </w:r>
      <w:r>
        <w:rPr>
          <w:sz w:val="20"/>
          <w:szCs w:val="20"/>
        </w:rPr>
        <w:t xml:space="preserve">.2023 № 1780</w:t>
      </w:r>
      <w:r>
        <w:t xml:space="preserve">.</w:t>
      </w:r>
      <w:r/>
    </w:p>
    <w:p>
      <w:pPr>
        <w:jc w:val="both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</w:t>
      </w:r>
      <w:r>
        <w:rPr>
          <w:sz w:val="20"/>
          <w:szCs w:val="20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sz w:val="20"/>
          <w:szCs w:val="20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</w:t>
      </w:r>
      <w:r>
        <w:rPr>
          <w:sz w:val="20"/>
          <w:szCs w:val="20"/>
        </w:rPr>
        <w:t xml:space="preserve">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</w:t>
      </w:r>
      <w:r>
        <w:rPr>
          <w:sz w:val="20"/>
          <w:szCs w:val="20"/>
        </w:rPr>
        <w:t xml:space="preserve">строительство жилых зданий, по льготной ставке» (далее – Решение № 665-Р), принятого в соответствии с ППРФ от 25.10.2023 </w:t>
      </w:r>
      <w:r>
        <w:rPr>
          <w:sz w:val="20"/>
          <w:szCs w:val="20"/>
        </w:rPr>
        <w:br/>
        <w:t xml:space="preserve">№ 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/>
        <w:rPr>
          <w:sz w:val="20"/>
          <w:szCs w:val="20"/>
        </w:rPr>
        <w:outlineLvl w:val="5"/>
      </w:pPr>
      <w:r>
        <w:t xml:space="preserve">- при кредитовании в рамках решения Министерства сельского хозяйства Российской Федерации о порядке предоставления субсидии № </w:t>
      </w:r>
      <w:hyperlink w:history="1">
        <w:r>
          <w:t xml:space="preserve">25-66428-01969-Р</w:t>
        </w:r>
      </w:hyperlink>
      <w:r>
        <w:t xml:space="preserve">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</w:t>
      </w:r>
      <w:r>
        <w:t xml:space="preserve">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</w:t>
      </w:r>
      <w:r>
        <w:t xml:space="preserve">цию, по льготной ставке» (далее – Решение № 1969-Р), принятого в соответствии с ППРФ от 25.10.2023 № 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outlineLvl w:val="5"/>
      </w:pPr>
      <w:r>
        <w:t xml:space="preserve">- при кредитовании в рамках решения Министерства сельского хозяйства Российской Федерации о порядке предоставления субсидии № 25-68850-01698-Р «Возмещение недополученных российскими кредитными организациями, международными финансовыми организациями и госуд</w:t>
      </w:r>
      <w:r>
        <w:t xml:space="preserve">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</w:t>
      </w:r>
      <w:r>
        <w:t xml:space="preserve">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 1698-Р), принятого в соответствии с ППРФ от 25.10.2023 № 1780.</w:t>
      </w:r>
      <w:r/>
    </w:p>
    <w:p>
      <w:pPr>
        <w:jc w:val="both"/>
        <w:rPr>
          <w:sz w:val="20"/>
          <w:szCs w:val="20"/>
        </w:rPr>
        <w:outlineLvl w:val="5"/>
      </w:pPr>
      <w:r>
        <w:t xml:space="preserve">- при кредитовании в рамках решения М</w:t>
      </w:r>
      <w:r>
        <w:t xml:space="preserve">инистерства экономического развития Российской Федерации о порядке предоставления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</w:t>
      </w:r>
      <w:r>
        <w:t xml:space="preserve">далее – Решение № 2070-Р), принятого в соответствии с ППРФ от 25.10.2023 № 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>
        <w:tblPrEx/>
        <w:trPr/>
        <w:tc>
          <w:tcPr>
            <w:shd w:val="clear" w:color="auto" w:fill="auto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«№</w:t>
            </w:r>
            <w:r>
              <w:rPr>
                <w:b/>
                <w:bCs/>
                <w:iCs/>
                <w:sz w:val="20"/>
                <w:szCs w:val="20"/>
              </w:rPr>
              <w:br/>
              <w:t xml:space="preserve">п/п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</w:rPr>
              <w:outlineLvl w:val="5"/>
            </w:pPr>
            <w:r>
              <w:rPr>
                <w:b/>
                <w:bCs/>
                <w:iCs/>
              </w:rPr>
              <w:t xml:space="preserve">Перечень льготных программ</w:t>
            </w:r>
            <w:r>
              <w:rPr>
                <w:b/>
                <w:bCs/>
                <w:iCs/>
              </w:rPr>
            </w:r>
            <w:r>
              <w:rPr>
                <w:b/>
                <w:bCs/>
                <w:iCs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7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</w:rPr>
              <w:br/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9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982-Р (в</w:t>
            </w:r>
            <w:r>
              <w:rPr>
                <w:bCs/>
                <w:iCs/>
                <w:sz w:val="20"/>
                <w:szCs w:val="20"/>
              </w:rPr>
              <w:t xml:space="preserve">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 »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1780)»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17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2070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2070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«Об </w:t>
      </w:r>
      <w:r>
        <w:rPr>
          <w:bCs/>
          <w:iCs/>
          <w:sz w:val="20"/>
          <w:szCs w:val="20"/>
        </w:rPr>
        <w:t xml:space="preserve">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r/>
      <w:r/>
    </w:p>
    <w:p>
      <w:r/>
      <w:r/>
    </w:p>
    <w:p>
      <w:pPr>
        <w:pStyle w:val="924"/>
      </w:pPr>
      <w:r>
        <w:t xml:space="preserve">13. </w:t>
      </w:r>
      <w:r>
        <w:rPr>
          <w:sz w:val="24"/>
          <w:szCs w:val="24"/>
        </w:rPr>
        <w:t xml:space="preserve">Обслуживание торгово-сервисных предприятий</w:t>
      </w:r>
      <w:r>
        <w:rPr>
          <w:rStyle w:val="1118"/>
          <w:sz w:val="24"/>
          <w:szCs w:val="24"/>
        </w:rPr>
        <w:t xml:space="preserve">*</w:t>
      </w:r>
      <w:r>
        <w:rPr>
          <w:sz w:val="24"/>
          <w:szCs w:val="24"/>
        </w:rPr>
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1"/>
        <w:gridCol w:w="3825"/>
        <w:gridCol w:w="2070"/>
        <w:gridCol w:w="3229"/>
      </w:tblGrid>
      <w:tr>
        <w:tblPrEx/>
        <w:trPr>
          <w:tblHeader/>
        </w:trPr>
        <w:tc>
          <w:tcPr>
            <w:shd w:val="clear" w:color="auto" w:fill="fff2cc"/>
            <w:tcW w:w="49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189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102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1596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</w:t>
            </w:r>
            <w:r>
              <w:rPr>
                <w:iCs/>
                <w:color w:val="000000"/>
                <w:sz w:val="20"/>
                <w:szCs w:val="20"/>
              </w:rPr>
              <w:t xml:space="preserve">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Приложению к Тарифам</w:t>
            </w: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59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</w:t>
            </w:r>
            <w:r>
              <w:rPr>
                <w:bCs/>
                <w:sz w:val="20"/>
                <w:szCs w:val="20"/>
              </w:rPr>
              <w:t xml:space="preserve">операциям с платежными картами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91" w:type="pct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сети Интернет: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</w:t>
            </w:r>
            <w:r>
              <w:rPr>
                <w:sz w:val="20"/>
                <w:szCs w:val="20"/>
              </w:rPr>
              <w:t xml:space="preserve">дится исключительно на территории Российской Федерации (кроме карт, выпущенных АО «Россельхозбанк»)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59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карты, выпущенной АО «Россельхозбанк» (JCB International, UnionPay International,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</w:t>
            </w:r>
            <w:r>
              <w:rPr>
                <w:sz w:val="20"/>
                <w:szCs w:val="20"/>
              </w:rPr>
              <w:t xml:space="preserve">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59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</w:t>
            </w:r>
            <w:r>
              <w:rPr>
                <w:sz w:val="20"/>
                <w:szCs w:val="20"/>
              </w:rPr>
              <w:t xml:space="preserve">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jc w:val="center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13.5.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уплачиваемая получателями </w:t>
            </w:r>
            <w:r>
              <w:rPr>
                <w:sz w:val="20"/>
                <w:szCs w:val="20"/>
              </w:rPr>
              <w:t xml:space="preserve">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spacing w:before="40" w:after="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благотворительных ор</w:t>
            </w:r>
            <w:r>
              <w:rPr>
                <w:sz w:val="20"/>
                <w:szCs w:val="20"/>
              </w:rPr>
              <w:t xml:space="preserve">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</w:t>
            </w:r>
            <w:r>
              <w:rPr>
                <w:sz w:val="20"/>
                <w:szCs w:val="20"/>
              </w:rPr>
              <w:t xml:space="preserve">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но не более 1 500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ind w:left="74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но не более 10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п.п.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spacing w:before="40" w:after="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13.6.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91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</w:t>
            </w:r>
            <w:r>
              <w:rPr>
                <w:sz w:val="20"/>
                <w:szCs w:val="20"/>
              </w:rPr>
              <w:t xml:space="preserve">едпринимателей: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spacing w:before="40" w:after="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13.6.1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91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37 руб. за операцию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лимит одного перевода – 999 999,99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13.6.2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91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958"/>
        <w:ind w:left="0"/>
        <w:jc w:val="both"/>
        <w:spacing w:line="240" w:lineRule="auto"/>
        <w:tabs>
          <w:tab w:val="left" w:pos="426" w:leader="none"/>
        </w:tabs>
        <w:rPr>
          <w:i/>
          <w:sz w:val="24"/>
          <w:szCs w:val="24"/>
        </w:rPr>
      </w:pPr>
      <w:r>
        <w:rPr>
          <w:rStyle w:val="1118"/>
        </w:rPr>
        <w:t xml:space="preserve">*</w:t>
      </w:r>
      <w:r>
        <w:rPr>
          <w:rFonts w:ascii="Times New Roman" w:hAnsi="Times New Roman"/>
          <w:i/>
          <w:sz w:val="16"/>
          <w:szCs w:val="16"/>
        </w:rPr>
        <w:t xml:space="preserve">Под </w:t>
      </w:r>
      <w:r>
        <w:rPr>
          <w:rFonts w:ascii="Times New Roman" w:hAnsi="Times New Roman"/>
          <w:i/>
          <w:sz w:val="16"/>
          <w:szCs w:val="16"/>
          <w:u w:val="single"/>
        </w:rPr>
        <w:t xml:space="preserve">торгово-сервисным предприятием</w:t>
      </w:r>
      <w:r>
        <w:rPr>
          <w:rFonts w:ascii="Times New Roman" w:hAnsi="Times New Roman"/>
          <w:i/>
          <w:sz w:val="16"/>
          <w:szCs w:val="16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</w:t>
      </w:r>
      <w:r>
        <w:rPr>
          <w:rFonts w:ascii="Times New Roman" w:hAnsi="Times New Roman"/>
          <w:i/>
          <w:sz w:val="16"/>
          <w:szCs w:val="16"/>
        </w:rPr>
        <w:t xml:space="preserve">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.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 Обслуживание бюджетных учреждений, принимающих к оплате платежн</w:t>
      </w:r>
      <w:r>
        <w:rPr>
          <w:i/>
          <w:sz w:val="16"/>
          <w:szCs w:val="16"/>
        </w:rPr>
        <w:t xml:space="preserve">ые карты, осуществляется без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19"/>
        <w:jc w:val="both"/>
        <w:rPr>
          <w:i/>
          <w:sz w:val="16"/>
          <w:szCs w:val="16"/>
        </w:rPr>
      </w:pPr>
      <w:r>
        <w:rPr>
          <w:i/>
          <w:sz w:val="18"/>
          <w:szCs w:val="18"/>
          <w:vertAlign w:val="superscript"/>
        </w:rPr>
        <w:t xml:space="preserve">**</w:t>
      </w:r>
      <w:r>
        <w:rPr>
          <w:i/>
          <w:sz w:val="18"/>
          <w:szCs w:val="18"/>
        </w:rPr>
        <w:t xml:space="preserve"> </w:t>
      </w:r>
      <w:r>
        <w:rPr>
          <w:i/>
          <w:sz w:val="16"/>
          <w:szCs w:val="16"/>
        </w:rPr>
        <w:t xml:space="preserve">Тарифы, установленные пунктом 13.1.2, применяются при предоставлении услуг новым Клиентам Банка. Новым Клиентом является Клиент, у которого </w:t>
      </w:r>
      <w:r>
        <w:rPr>
          <w:i/>
          <w:sz w:val="16"/>
          <w:szCs w:val="16"/>
        </w:rPr>
        <w:t xml:space="preserve">на момент подключения услуги отсутствует действующий Договор эквайринга в рамках одного регионального филиала Банка/внутреннего структурного подразделения Банка и ранее действующие Договоры эквайринга были расторгнуты Клиентом/Банком более 3 месяцев назад.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924"/>
      </w:pPr>
      <w:r>
        <w:t xml:space="preserve">14. Депозитарные услуги*</w:t>
      </w:r>
      <w:r/>
    </w:p>
    <w:p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16"/>
        <w:gridCol w:w="3534"/>
        <w:gridCol w:w="1831"/>
        <w:gridCol w:w="1018"/>
        <w:gridCol w:w="2816"/>
      </w:tblGrid>
      <w:tr>
        <w:tblPrEx/>
        <w:trPr>
          <w:tblHeader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 Административные операции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pStyle w:val="1131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 счета депо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31"/>
              <w:jc w:val="center"/>
              <w:spacing w:before="40" w:after="40"/>
              <w:rPr>
                <w:rFonts w:eastAsia="Arial Unicode MS"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iCs/>
                <w:sz w:val="20"/>
                <w:szCs w:val="20"/>
              </w:rPr>
            </w:r>
            <w:r>
              <w:rPr>
                <w:rFonts w:eastAsia="Arial Unicode MS"/>
                <w:iCs/>
                <w:sz w:val="20"/>
                <w:szCs w:val="20"/>
              </w:rPr>
            </w:r>
          </w:p>
          <w:p>
            <w:pPr>
              <w:pStyle w:val="113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pStyle w:val="1131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в НКО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НРД и в других депозитариях по поручению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3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за каждый раздел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pStyle w:val="113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14.1.4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pStyle w:val="1131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3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20 000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14.2. Хранение и учет ценных бумаг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pStyle w:val="1131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</w:t>
            </w:r>
            <w:r>
              <w:rPr>
                <w:bCs/>
                <w:sz w:val="20"/>
                <w:szCs w:val="20"/>
              </w:rPr>
              <w:t xml:space="preserve">уб. в месяц, свыше 50 млн. руб. - 0,06% 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31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pStyle w:val="1131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</w:t>
            </w:r>
            <w:r>
              <w:rPr>
                <w:sz w:val="20"/>
                <w:szCs w:val="20"/>
              </w:rPr>
              <w:t xml:space="preserve">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pStyle w:val="1131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</w:t>
            </w:r>
            <w:r>
              <w:rPr>
                <w:bCs/>
                <w:sz w:val="20"/>
                <w:szCs w:val="20"/>
              </w:rPr>
              <w:t xml:space="preserve">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31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pStyle w:val="1131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</w:t>
            </w:r>
            <w:r>
              <w:rPr>
                <w:sz w:val="20"/>
                <w:szCs w:val="20"/>
              </w:rPr>
              <w:t xml:space="preserve">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14.2.3. Хранение неэмиссионных ценных бумаг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31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pStyle w:val="1131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</w:t>
            </w:r>
            <w:r>
              <w:rPr>
                <w:sz w:val="20"/>
                <w:szCs w:val="20"/>
              </w:rPr>
              <w:t xml:space="preserve"> от номинальной стоимости ежедневного остатка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pStyle w:val="1131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3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pStyle w:val="1131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не обращающихся на организованном рынке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3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pStyle w:val="1131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pStyle w:val="1131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обращающихся на организованном рынке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3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0,7% 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pStyle w:val="1131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Плата рассчитывается в процентах годовых от расчётной стоимости паёв пропорционально срока их</w:t>
            </w:r>
            <w:r>
              <w:rPr>
                <w:sz w:val="20"/>
                <w:szCs w:val="20"/>
              </w:rPr>
              <w:t xml:space="preserve"> хранения на счёте депо на дату выставления счета.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pStyle w:val="1131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31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pStyle w:val="1131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14.2.7.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7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Хранение и учет на торговом счете ДЕПО ценных бумаг Де</w:t>
            </w:r>
            <w:r>
              <w:rPr>
                <w:b/>
                <w:sz w:val="20"/>
                <w:szCs w:val="20"/>
              </w:rPr>
              <w:t xml:space="preserve">понентов, принятых АО «Россельхозбанк» на брокерское обслуживание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Средневзвешенная стоимость</w:t>
            </w:r>
            <w:r>
              <w:rPr>
                <w:sz w:val="20"/>
                <w:szCs w:val="20"/>
              </w:rPr>
              <w:footnoteReference w:id="6"/>
            </w:r>
            <w:r>
              <w:rPr>
                <w:sz w:val="20"/>
                <w:szCs w:val="20"/>
              </w:rPr>
              <w:t xml:space="preserve"> ценных бумаг (млрд. 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3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47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92" w:type="pct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</w:t>
            </w:r>
            <w:r>
              <w:rPr>
                <w:sz w:val="20"/>
                <w:szCs w:val="20"/>
              </w:rPr>
              <w:t xml:space="preserve">соответствии с Тарифом.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47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47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47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47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  <w:lang w:val="en-US"/>
              </w:rPr>
              <w:t xml:space="preserve">72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3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47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47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47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 годовых </w:t>
            </w:r>
            <w:r>
              <w:rPr>
                <w:bCs/>
                <w:iCs/>
                <w:sz w:val="20"/>
                <w:szCs w:val="20"/>
              </w:rPr>
              <w:t xml:space="preserve">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14.3. Прием/выдача сертификатов ценных бумаг на/с хранение(я)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эмисcионных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 300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 300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14.4. Переводы ценных бумаг и иностранных финансовых инструментов по счетам депо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Списание ценных бумаг со счетов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 «Россельхозбанк» в реестрах/междепозитарных счетов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 «Россельхоз</w:t>
            </w:r>
            <w:r>
              <w:rPr>
                <w:sz w:val="20"/>
                <w:szCs w:val="20"/>
              </w:rPr>
              <w:t xml:space="preserve">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счетам АО 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куплипродажи ценных бумаг, совершенным через брокера АО 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</w:t>
            </w:r>
            <w:r>
              <w:rPr>
                <w:sz w:val="20"/>
                <w:szCs w:val="20"/>
              </w:rPr>
              <w:t xml:space="preserve">ем поступления денежных средств на счет Депонентапоставщика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 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14.5. Операции по блокировке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блокирование, разблокирование ценных бумаг на счете депо по поручению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1408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регистрация уступки прав по договору залога ценных бумаг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регистрация перехода прав по договору залога ценных бумаг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административное блокирование/ разблокирование ценных бумаг на счете депо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14.6. Корпоративные действия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</w:t>
            </w:r>
            <w:r>
              <w:rPr>
                <w:bCs/>
                <w:sz w:val="20"/>
                <w:szCs w:val="20"/>
              </w:rPr>
              <w:t xml:space="preserve"> по доверенности (в том числе иностранных эмитентов ценных бумаг):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АО 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 перевод дохода не производится, сумма зачисляется в доход Банка. 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14.7. Прочие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 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3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08" w:type="pct"/>
            <w:vMerge w:val="restar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Порядок расчета и взимания комиссии осуществляется на основании Условий осуществления депозитарной деятельности.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924"/>
      </w:pPr>
      <w:r/>
      <w:r/>
    </w:p>
    <w:p>
      <w:pPr>
        <w:pStyle w:val="924"/>
      </w:pPr>
      <w:r>
        <w:t xml:space="preserve">15. Операции с монетами из драгоценных металлов</w:t>
      </w:r>
      <w:r/>
    </w:p>
    <w:p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31"/>
        <w:gridCol w:w="3672"/>
        <w:gridCol w:w="2693"/>
        <w:gridCol w:w="2919"/>
      </w:tblGrid>
      <w:tr>
        <w:tblPrEx/>
        <w:trPr/>
        <w:tc>
          <w:tcPr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15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33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44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15.</w:t>
            </w:r>
            <w:r>
              <w:rPr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815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176"/>
              <w:tabs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золото, качество чеканки «анциркулейтед», 7,78 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300 до 499 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500 до 999 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1000 до 1499 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1500 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серебро, качество чеканки «анциркулейтед», 31,1 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 w:firstLine="283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500 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331" w:type="pct"/>
            <w:textDirection w:val="lrTb"/>
            <w:noWrap w:val="false"/>
          </w:tcPr>
          <w:p>
            <w:pPr>
              <w:ind w:firstLine="34"/>
              <w:jc w:val="center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 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 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 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 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 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44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pStyle w:val="92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16. Операции с драгоценными металлами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505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277"/>
        <w:gridCol w:w="1463"/>
        <w:gridCol w:w="2007"/>
        <w:gridCol w:w="851"/>
        <w:gridCol w:w="558"/>
        <w:gridCol w:w="1512"/>
        <w:gridCol w:w="2550"/>
      </w:tblGrid>
      <w:tr>
        <w:tblPrEx/>
        <w:trPr/>
        <w:tc>
          <w:tcPr>
            <w:tcW w:w="62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69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142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24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69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142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24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3"/>
        </w:trPr>
        <w:tc>
          <w:tcPr>
            <w:gridSpan w:val="2"/>
            <w:tcW w:w="1341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tcW w:w="1398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банковскому счету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74"/>
        </w:trPr>
        <w:tc>
          <w:tcPr>
            <w:tcW w:w="625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банковск</w:t>
            </w:r>
            <w:r>
              <w:rPr>
                <w:sz w:val="20"/>
                <w:szCs w:val="20"/>
              </w:rPr>
              <w:t xml:space="preserve">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74"/>
        </w:trPr>
        <w:tc>
          <w:tcPr>
            <w:tcW w:w="625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74"/>
        </w:trPr>
        <w:tc>
          <w:tcPr>
            <w:tcW w:w="625" w:type="pct"/>
            <w:textDirection w:val="lrTb"/>
            <w:noWrap w:val="false"/>
          </w:tcPr>
          <w:p>
            <w:pPr>
              <w:pStyle w:val="1120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  <w:t xml:space="preserve">16.2.</w:t>
            </w: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r>
          </w:p>
        </w:tc>
        <w:tc>
          <w:tcPr>
            <w:gridSpan w:val="6"/>
            <w:tcW w:w="4375" w:type="pct"/>
            <w:textDirection w:val="lrTb"/>
            <w:noWrap w:val="false"/>
          </w:tcPr>
          <w:p>
            <w:pPr>
              <w:pStyle w:val="1120"/>
              <w:jc w:val="both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  <w:t xml:space="preserve">Операции по банковским счетам в драгоценных металлах</w:t>
            </w:r>
            <w:r>
              <w:rPr>
                <w:rStyle w:val="1118"/>
                <w:b/>
                <w:bCs/>
                <w:iCs/>
                <w:smallCaps/>
                <w:sz w:val="20"/>
                <w:szCs w:val="20"/>
              </w:rPr>
              <w:footnoteReference w:id="7"/>
            </w: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bCs/>
                <w:iCs/>
                <w:sz w:val="20"/>
                <w:szCs w:val="20"/>
                <w:vertAlign w:val="superscript"/>
              </w:rPr>
              <w:footnoteReference w:id="8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Весовая номенклатура (грамм)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за слиток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single" w:color="000000" w:sz="4" w:space="0"/>
            </w:tcBorders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single" w:color="000000" w:sz="4" w:space="0"/>
            </w:tcBorders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bCs/>
                <w:iCs/>
                <w:sz w:val="20"/>
                <w:szCs w:val="20"/>
                <w:vertAlign w:val="superscript"/>
              </w:rPr>
              <w:footnoteReference w:id="9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Весовая номенклатура (грамм)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за слиток (руб.)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1 900,00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2 300,00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spacing w:before="40" w:after="40"/>
        <w:tabs>
          <w:tab w:val="left" w:pos="284" w:leader="none"/>
          <w:tab w:val="left" w:pos="993" w:leader="none"/>
        </w:tabs>
        <w:rPr>
          <w:b/>
          <w:sz w:val="20"/>
          <w:szCs w:val="20"/>
        </w:rPr>
        <w:sectPr>
          <w:headerReference w:type="default" r:id="rId9"/>
          <w:headerReference w:type="first" r:id="rId10"/>
          <w:footerReference w:type="even" r:id="rId11"/>
          <w:footnotePr/>
          <w:endnotePr/>
          <w:type w:val="nextPage"/>
          <w:pgSz w:w="11906" w:h="16838" w:orient="portrait"/>
          <w:pgMar w:top="689" w:right="720" w:bottom="284" w:left="1287" w:header="709" w:footer="823" w:gutter="0"/>
          <w:cols w:num="1" w:sep="0" w:space="708" w:equalWidth="1"/>
          <w:docGrid w:linePitch="360"/>
          <w:titlePg/>
        </w:sect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keepNext/>
        <w:spacing w:after="40"/>
        <w:rPr>
          <w:b/>
          <w:bCs/>
          <w:sz w:val="22"/>
          <w:szCs w:val="22"/>
        </w:rPr>
        <w:outlineLvl w:val="1"/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720"/>
        <w:jc w:val="center"/>
        <w:keepNext/>
        <w:spacing w:after="40"/>
        <w:rPr>
          <w:b/>
          <w:bCs/>
          <w:sz w:val="22"/>
          <w:szCs w:val="22"/>
        </w:rPr>
        <w:outlineLvl w:val="1"/>
      </w:pPr>
      <w:r>
        <w:rPr>
          <w:b/>
          <w:bCs/>
          <w:sz w:val="22"/>
          <w:szCs w:val="22"/>
        </w:rPr>
        <w:t xml:space="preserve">17. Обслуживание с использованием Торговой системы</w:t>
      </w:r>
      <w:r>
        <w:rPr>
          <w:b/>
          <w:bCs/>
          <w:sz w:val="22"/>
          <w:szCs w:val="22"/>
        </w:rPr>
        <w:br w:type="textWrapping" w:clear="all"/>
      </w:r>
      <w:r>
        <w:rPr>
          <w:b/>
          <w:bCs/>
          <w:sz w:val="22"/>
          <w:szCs w:val="22"/>
        </w:rPr>
        <w:t xml:space="preserve"> РСХБ-Дилинг АО «Россельхозбанк», Торговой системы РСХБ-Дилинг 2.0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24"/>
        <w:gridCol w:w="2950"/>
        <w:gridCol w:w="1827"/>
        <w:gridCol w:w="4214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РСХБ-Дилинг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РСХБ-Дилинг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 АО «Россельхозбанк»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РСХБ-Дилинг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РСХБ-Дилинг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0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РСХБ-Дилинг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 xml:space="preserve">HTML-</w:t>
            </w:r>
            <w:r>
              <w:rPr>
                <w:sz w:val="20"/>
                <w:szCs w:val="20"/>
              </w:rPr>
              <w:t xml:space="preserve">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17.1.3.1.1.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</w:t>
            </w:r>
            <w:r>
              <w:rPr>
                <w:bCs/>
                <w:sz w:val="20"/>
                <w:szCs w:val="20"/>
                <w:lang w:val="en-US"/>
              </w:rPr>
              <w:t xml:space="preserve">.5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</w:t>
            </w:r>
            <w:r>
              <w:rPr>
                <w:bCs/>
                <w:sz w:val="20"/>
                <w:szCs w:val="20"/>
              </w:rPr>
              <w:t xml:space="preserve">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</w:t>
            </w:r>
            <w:r>
              <w:rPr>
                <w:bCs/>
                <w:sz w:val="20"/>
                <w:szCs w:val="20"/>
              </w:rPr>
              <w:t xml:space="preserve">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</w:t>
            </w:r>
            <w:r>
              <w:rPr>
                <w:bCs/>
                <w:sz w:val="20"/>
                <w:szCs w:val="20"/>
              </w:rPr>
              <w:t xml:space="preserve">тавляется после выполнения условий по п. 17.1.5.1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</w:t>
            </w:r>
            <w:r>
              <w:rPr>
                <w:bCs/>
                <w:sz w:val="20"/>
                <w:szCs w:val="20"/>
              </w:rPr>
              <w:t xml:space="preserve"> в день получения клиентом от Банка нового функционального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17.1.5.2.1.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</w:t>
            </w:r>
            <w:r>
              <w:rPr>
                <w:bCs/>
                <w:sz w:val="20"/>
                <w:szCs w:val="20"/>
              </w:rPr>
              <w:t xml:space="preserve">га предоставляется после выполнения условий по п. 17.1.5.2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17.2.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РСХБ-Дилинг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РСХБ-Дилинг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1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</w:t>
      </w:r>
      <w:r>
        <w:rPr>
          <w:bCs/>
          <w:iCs/>
          <w:sz w:val="20"/>
          <w:szCs w:val="20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keepNext/>
        <w:spacing w:after="40"/>
        <w:tabs>
          <w:tab w:val="left" w:pos="284" w:leader="none"/>
        </w:tabs>
        <w:rPr>
          <w:b/>
          <w:bCs/>
          <w:sz w:val="20"/>
          <w:szCs w:val="20"/>
        </w:rPr>
        <w:outlineLvl w:val="1"/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 xml:space="preserve">В случае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</w:t>
      </w:r>
      <w:r>
        <w:rPr>
          <w:bCs/>
          <w:iCs/>
          <w:sz w:val="20"/>
          <w:szCs w:val="20"/>
        </w:rPr>
        <w:t xml:space="preserve">бочих дней с момента подачи в Банк соответствующего запроса/заявления.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left="-425"/>
        <w:jc w:val="center"/>
        <w:keepNext/>
        <w:spacing w:after="40"/>
        <w:rPr>
          <w:sz w:val="16"/>
          <w:szCs w:val="16"/>
        </w:rPr>
        <w:outlineLvl w:val="3"/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18. Операции с использованием цифрового рубля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976"/>
        <w:gridCol w:w="1843"/>
        <w:gridCol w:w="3686"/>
      </w:tblGrid>
      <w:tr>
        <w:tblPrEx/>
        <w:trPr/>
        <w:tc>
          <w:tcP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850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рублях Российской Федерации со счета Клиента, открытого в АО «Россельхозбанк»,</w:t>
            </w:r>
            <w:r>
              <w:rPr>
                <w:sz w:val="20"/>
                <w:szCs w:val="20"/>
              </w:rPr>
              <w:t xml:space="preserve">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ind w:left="-425" w:right="-284" w:firstLine="709"/>
        <w:jc w:val="both"/>
        <w:spacing w:before="120"/>
        <w:rPr>
          <w:sz w:val="16"/>
          <w:szCs w:val="16"/>
        </w:rPr>
      </w:pPr>
      <w:r>
        <w:rPr>
          <w:sz w:val="16"/>
          <w:szCs w:val="16"/>
        </w:rPr>
        <w:t xml:space="preserve">* Срок действия – до 31.12.2025 (в</w:t>
      </w:r>
      <w:r>
        <w:rPr>
          <w:sz w:val="16"/>
          <w:szCs w:val="16"/>
        </w:rPr>
        <w:t xml:space="preserve">ключительно).</w:t>
      </w:r>
      <w:r>
        <w:rPr>
          <w:sz w:val="16"/>
          <w:szCs w:val="16"/>
        </w:rPr>
      </w:r>
      <w:r>
        <w:rPr>
          <w:sz w:val="16"/>
          <w:szCs w:val="16"/>
        </w:rPr>
      </w:r>
    </w:p>
    <w:sectPr>
      <w:footnotePr/>
      <w:endnotePr/>
      <w:type w:val="continuous"/>
      <w:pgSz w:w="11906" w:h="16838" w:orient="portrait"/>
      <w:pgMar w:top="720" w:right="720" w:bottom="720" w:left="1287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Symbol">
    <w:panose1 w:val="05010000000000000000"/>
  </w:font>
  <w:font w:name="Wingdings">
    <w:panose1 w:val="05000000000000000000"/>
  </w:font>
  <w:font w:name="Courier New">
    <w:panose1 w:val="02070409020205020404"/>
  </w:font>
  <w:font w:name="Tahoma">
    <w:panose1 w:val="020B0604030504040204"/>
  </w:font>
  <w:font w:name="TimesET">
    <w:panose1 w:val="02000603000000000000"/>
  </w:font>
  <w:font w:name="Times New Roman">
    <w:panose1 w:val="02020603050405020304"/>
  </w:font>
  <w:font w:name="Calibri Light">
    <w:panose1 w:val="020F0502020204030204"/>
  </w:font>
  <w:font w:name="Calibri">
    <w:panose1 w:val="020F0502020204030204"/>
  </w:font>
  <w:font w:name="Arial Unicode MS">
    <w:panose1 w:val="020B0506020203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  <w:r/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19"/>
      </w:pPr>
      <w:r>
        <w:rPr>
          <w:rStyle w:val="1118"/>
        </w:rPr>
        <w:footnoteRef/>
      </w:r>
      <w:r>
        <w:t xml:space="preserve"> [номер сноски указывается в соответствии с нумерацией сносок в Тарифах]</w:t>
      </w:r>
      <w:r/>
    </w:p>
    <w:p>
      <w:pPr>
        <w:pStyle w:val="1119"/>
        <w:jc w:val="both"/>
      </w:pPr>
      <w:r>
        <w:t xml:space="preserve"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  <w:r/>
    </w:p>
  </w:footnote>
  <w:footnote w:id="3">
    <w:p>
      <w:pPr>
        <w:pStyle w:val="1119"/>
      </w:pPr>
      <w:r>
        <w:rPr>
          <w:rStyle w:val="1118"/>
        </w:rPr>
        <w:footnoteRef/>
      </w:r>
      <w:r>
        <w:t xml:space="preserve"> [номер сноски указывается в соответ</w:t>
      </w:r>
      <w:r>
        <w:t xml:space="preserve">ствии с нумерацией сносок в Тарифах]</w:t>
      </w:r>
      <w:r/>
    </w:p>
    <w:p>
      <w:pPr>
        <w:pStyle w:val="1119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программ.</w:t>
      </w:r>
      <w:r/>
    </w:p>
    <w:p>
      <w:pPr>
        <w:pStyle w:val="1119"/>
      </w:pPr>
      <w:r/>
      <w:r/>
    </w:p>
  </w:footnote>
  <w:footnote w:id="4">
    <w:p>
      <w:pPr>
        <w:pStyle w:val="1119"/>
        <w:jc w:val="both"/>
      </w:pPr>
      <w:r>
        <w:rPr>
          <w:rStyle w:val="1118"/>
        </w:rPr>
        <w:footnoteRef/>
      </w:r>
      <w:r>
        <w:t xml:space="preserve">   [номер сноски указывается в соответствии с нумерацией сносок в Тарифах]</w:t>
      </w:r>
      <w:r/>
    </w:p>
    <w:p>
      <w:pPr>
        <w:pStyle w:val="1119"/>
        <w:jc w:val="both"/>
      </w:pPr>
      <w:r>
        <w:t xml:space="preserve">Срок, оставшийся до погашения – срок, </w:t>
      </w:r>
      <w:r>
        <w:t xml:space="preserve">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5">
    <w:p>
      <w:pPr>
        <w:pStyle w:val="1119"/>
      </w:pPr>
      <w:r>
        <w:rPr>
          <w:rStyle w:val="1118"/>
        </w:rPr>
        <w:footnoteRef/>
      </w:r>
      <w:r>
        <w:t xml:space="preserve">   [номер сноски указывается в соответствии с нум</w:t>
      </w:r>
      <w:r>
        <w:t xml:space="preserve">ерацией сносок в Тарифах]</w:t>
      </w:r>
      <w:r/>
    </w:p>
    <w:p>
      <w:pPr>
        <w:pStyle w:val="1119"/>
      </w:pPr>
      <w:r>
        <w:t xml:space="preserve">В соответствии с пунктом 10.2 приказа АО «Россельхозбанк» от 01.08.2013 № 386-ОД.</w:t>
      </w:r>
      <w:r/>
    </w:p>
  </w:footnote>
  <w:footnote w:id="6">
    <w:p>
      <w:pPr>
        <w:ind w:left="-2" w:right="-18"/>
        <w:jc w:val="both"/>
        <w:spacing w:before="40" w:after="40"/>
        <w:tabs>
          <w:tab w:val="left" w:pos="4464" w:leader="none"/>
          <w:tab w:val="left" w:pos="5760" w:leader="none"/>
        </w:tabs>
        <w:rPr>
          <w:i/>
          <w:sz w:val="16"/>
          <w:szCs w:val="16"/>
        </w:rPr>
      </w:pPr>
      <w:r>
        <w:rPr>
          <w:rStyle w:val="1118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Средневзвешенная стоимость рассчитывается как сумма остатков ценных бумаг по календарным дням месяца деленная на количество дней в соответствующем</w:t>
      </w:r>
      <w:r>
        <w:rPr>
          <w:i/>
          <w:sz w:val="16"/>
          <w:szCs w:val="16"/>
        </w:rPr>
        <w:t xml:space="preserve"> месяце. Стоимость остатка</w:t>
      </w:r>
      <w:r>
        <w:rPr>
          <w:bCs/>
          <w:i/>
          <w:sz w:val="16"/>
          <w:szCs w:val="16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</w:t>
      </w:r>
      <w:r>
        <w:rPr>
          <w:bCs/>
          <w:i/>
          <w:sz w:val="16"/>
          <w:szCs w:val="16"/>
        </w:rPr>
        <w:t xml:space="preserve">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7">
    <w:p>
      <w:pPr>
        <w:pStyle w:val="1119"/>
        <w:rPr>
          <w:sz w:val="18"/>
          <w:szCs w:val="18"/>
        </w:rPr>
      </w:pPr>
      <w:r>
        <w:rPr>
          <w:rStyle w:val="1118"/>
          <w:sz w:val="18"/>
          <w:szCs w:val="18"/>
        </w:rPr>
        <w:footnoteRef/>
      </w:r>
      <w:r>
        <w:rPr>
          <w:sz w:val="18"/>
          <w:szCs w:val="18"/>
        </w:rPr>
        <w:t xml:space="preserve"> Комиссионное вознаграждение по операциям приема/выдачи слитков драгоценных </w:t>
      </w:r>
      <w:r>
        <w:rPr>
          <w:sz w:val="18"/>
          <w:szCs w:val="18"/>
        </w:rPr>
        <w:t xml:space="preserve">металлов НДС не облагается. 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8">
    <w:p>
      <w:pPr>
        <w:pStyle w:val="1119"/>
        <w:jc w:val="both"/>
      </w:pPr>
      <w:r>
        <w:rPr>
          <w:rStyle w:val="1118"/>
        </w:rPr>
        <w:footnoteRef/>
      </w:r>
      <w:r>
        <w:t xml:space="preserve"> </w:t>
      </w: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</w:t>
      </w:r>
      <w:r>
        <w:rPr>
          <w:sz w:val="18"/>
          <w:szCs w:val="18"/>
        </w:rPr>
        <w:t xml:space="preserve">ия операции.</w:t>
      </w:r>
      <w:r/>
    </w:p>
  </w:footnote>
  <w:footnote w:id="9">
    <w:p>
      <w:pPr>
        <w:pStyle w:val="1119"/>
        <w:jc w:val="both"/>
      </w:pPr>
      <w:r>
        <w:rPr>
          <w:rStyle w:val="1118"/>
        </w:rPr>
        <w:footnoteRef/>
      </w:r>
      <w:r>
        <w:t xml:space="preserve"> </w:t>
      </w: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0">
    <w:p>
      <w:pPr>
        <w:jc w:val="both"/>
        <w:rPr>
          <w:bCs/>
          <w:sz w:val="18"/>
          <w:szCs w:val="18"/>
          <w:lang w:eastAsia="en-US"/>
        </w:rPr>
      </w:pPr>
      <w:r>
        <w:rPr>
          <w:rStyle w:val="1118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  <w:lang w:eastAsia="en-US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  <w:lang w:eastAsia="en-US"/>
        </w:rPr>
        <w:br w:type="textWrapping" w:clear="all"/>
      </w:r>
      <w:r>
        <w:rPr>
          <w:bCs/>
          <w:sz w:val="18"/>
          <w:szCs w:val="18"/>
          <w:lang w:eastAsia="en-US"/>
        </w:rPr>
        <w:t xml:space="preserve">АО «Россельхозбанк» юридическим лицам, субъектам Российской Федерации, муниципальным образованиям, индивидуальным предпринимателям и физическим ли</w:t>
      </w:r>
      <w:r>
        <w:rPr>
          <w:bCs/>
          <w:sz w:val="18"/>
          <w:szCs w:val="18"/>
          <w:lang w:eastAsia="en-US"/>
        </w:rPr>
        <w:t xml:space="preserve">цам, занимающимся в установленном законодательством Российской Федерации порядке частной практикой]</w:t>
      </w:r>
      <w:r>
        <w:rPr>
          <w:bCs/>
          <w:sz w:val="18"/>
          <w:szCs w:val="18"/>
          <w:lang w:eastAsia="en-US"/>
        </w:rPr>
      </w:r>
      <w:r>
        <w:rPr>
          <w:bCs/>
          <w:sz w:val="18"/>
          <w:szCs w:val="18"/>
          <w:lang w:eastAsia="en-US"/>
        </w:rPr>
      </w:r>
    </w:p>
    <w:p>
      <w:pPr>
        <w:pStyle w:val="1119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Логин для доступа к Торговой системе РСХБ-Дилинг АО «Россельхозбанк»– уникальное имя Клиента в Торговой системе РСХБ-Дилинг АО «Россельхозбанк», обеспечиваю</w:t>
      </w:r>
      <w:r>
        <w:rPr>
          <w:bCs/>
          <w:sz w:val="18"/>
          <w:szCs w:val="18"/>
        </w:rPr>
        <w:t xml:space="preserve">щее в сочетании с паролем однозначную аутентификацию Клиента в Торговой системе РСХБ-Дилинг АО «Россельхозбанк».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</w:footnote>
  <w:footnote w:id="11">
    <w:p>
      <w:pPr>
        <w:jc w:val="both"/>
        <w:rPr>
          <w:bCs/>
          <w:sz w:val="18"/>
          <w:szCs w:val="18"/>
          <w:lang w:eastAsia="en-US"/>
        </w:rPr>
      </w:pPr>
      <w:r>
        <w:rPr>
          <w:rStyle w:val="1118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  <w:lang w:eastAsia="en-US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  <w:lang w:eastAsia="en-US"/>
        </w:rPr>
        <w:br w:type="textWrapping" w:clear="all"/>
      </w:r>
      <w:r>
        <w:rPr>
          <w:bCs/>
          <w:sz w:val="18"/>
          <w:szCs w:val="18"/>
          <w:lang w:eastAsia="en-US"/>
        </w:rPr>
        <w:t xml:space="preserve">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практикой]</w:t>
      </w:r>
      <w:r>
        <w:rPr>
          <w:bCs/>
          <w:sz w:val="18"/>
          <w:szCs w:val="18"/>
          <w:lang w:eastAsia="en-US"/>
        </w:rPr>
      </w:r>
      <w:r>
        <w:rPr>
          <w:bCs/>
          <w:sz w:val="18"/>
          <w:szCs w:val="18"/>
          <w:lang w:eastAsia="en-US"/>
        </w:rPr>
      </w:r>
    </w:p>
    <w:p>
      <w:pPr>
        <w:pStyle w:val="1119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Логин для </w:t>
      </w:r>
      <w:r>
        <w:rPr>
          <w:bCs/>
          <w:sz w:val="18"/>
          <w:szCs w:val="18"/>
        </w:rPr>
        <w:t xml:space="preserve">доступа к Торговой системе РСХБ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</w:rPr>
      <w:framePr w:wrap="around" w:vAnchor="text" w:hAnchor="margin" w:xAlign="center" w:y="1"/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separate"/>
    </w:r>
    <w:r>
      <w:rPr>
        <w:sz w:val="20"/>
      </w:rPr>
      <w:t xml:space="preserve">2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6"/>
      <w:rPr>
        <w:color w:val="ffffff"/>
        <w:lang w:val="ru-RU"/>
      </w:rPr>
    </w:pPr>
    <w:r>
      <w:rPr>
        <w:color w:val="ffffff"/>
        <w:lang w:val="ru-RU"/>
      </w:rPr>
      <w:t xml:space="preserve">2013.09.11</w:t>
    </w:r>
    <w:r>
      <w:rPr>
        <w:color w:val="ffffff"/>
        <w:lang w:val="ru-RU"/>
      </w:rPr>
    </w:r>
    <w:r>
      <w:rPr>
        <w:color w:val="ffffff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1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06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01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158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6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81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316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46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968" w:hanging="180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22">
    <w:multiLevelType w:val="hybridMultilevel"/>
    <w:lvl w:ilvl="0">
      <w:start w:val="30"/>
      <w:numFmt w:val="decimal"/>
      <w:isLgl w:val="false"/>
      <w:suff w:val="tab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4"/>
  </w:num>
  <w:num w:numId="4">
    <w:abstractNumId w:val="0"/>
  </w:num>
  <w:num w:numId="5">
    <w:abstractNumId w:val="10"/>
  </w:num>
  <w:num w:numId="6">
    <w:abstractNumId w:val="1"/>
  </w:num>
  <w:num w:numId="7">
    <w:abstractNumId w:val="11"/>
  </w:num>
  <w:num w:numId="8">
    <w:abstractNumId w:val="2"/>
  </w:num>
  <w:num w:numId="9">
    <w:abstractNumId w:val="24"/>
  </w:num>
  <w:num w:numId="10">
    <w:abstractNumId w:val="23"/>
  </w:num>
  <w:num w:numId="11">
    <w:abstractNumId w:val="19"/>
  </w:num>
  <w:num w:numId="12">
    <w:abstractNumId w:val="18"/>
  </w:num>
  <w:num w:numId="13">
    <w:abstractNumId w:val="8"/>
  </w:num>
  <w:num w:numId="14">
    <w:abstractNumId w:val="7"/>
  </w:num>
  <w:num w:numId="15">
    <w:abstractNumId w:val="22"/>
  </w:num>
  <w:num w:numId="16">
    <w:abstractNumId w:val="5"/>
  </w:num>
  <w:num w:numId="17">
    <w:abstractNumId w:val="14"/>
  </w:num>
  <w:num w:numId="18">
    <w:abstractNumId w:val="9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6"/>
  </w:num>
  <w:num w:numId="22">
    <w:abstractNumId w:val="15"/>
  </w:num>
  <w:num w:numId="23">
    <w:abstractNumId w:val="20"/>
  </w:num>
  <w:num w:numId="24">
    <w:abstractNumId w:val="13"/>
  </w:num>
  <w:num w:numId="25">
    <w:abstractNumId w:val="17"/>
  </w:num>
  <w:num w:numId="26">
    <w:abstractNumId w:val="26"/>
  </w:num>
  <w:num w:numId="27">
    <w:abstractNumId w:val="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20" w:default="1">
    <w:name w:val="Normal"/>
    <w:qFormat/>
    <w:rPr>
      <w:sz w:val="24"/>
      <w:szCs w:val="24"/>
    </w:rPr>
  </w:style>
  <w:style w:type="paragraph" w:styleId="921">
    <w:name w:val="Heading 1"/>
    <w:basedOn w:val="920"/>
    <w:next w:val="920"/>
    <w:link w:val="949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922">
    <w:name w:val="Heading 2"/>
    <w:basedOn w:val="920"/>
    <w:next w:val="920"/>
    <w:link w:val="950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923">
    <w:name w:val="Heading 3"/>
    <w:basedOn w:val="920"/>
    <w:next w:val="920"/>
    <w:link w:val="951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924">
    <w:name w:val="Heading 4"/>
    <w:basedOn w:val="920"/>
    <w:next w:val="920"/>
    <w:link w:val="952"/>
    <w:qFormat/>
    <w:pPr>
      <w:jc w:val="center"/>
      <w:keepNext/>
      <w:outlineLvl w:val="3"/>
    </w:pPr>
    <w:rPr>
      <w:b/>
      <w:bCs/>
      <w:sz w:val="22"/>
      <w:szCs w:val="22"/>
    </w:rPr>
  </w:style>
  <w:style w:type="paragraph" w:styleId="925">
    <w:name w:val="Heading 5"/>
    <w:basedOn w:val="920"/>
    <w:next w:val="920"/>
    <w:link w:val="953"/>
    <w:qFormat/>
    <w:pPr>
      <w:keepNext/>
      <w:outlineLvl w:val="4"/>
    </w:pPr>
    <w:rPr>
      <w:b/>
      <w:bCs/>
      <w:sz w:val="28"/>
      <w:szCs w:val="28"/>
    </w:rPr>
  </w:style>
  <w:style w:type="paragraph" w:styleId="926">
    <w:name w:val="Heading 6"/>
    <w:basedOn w:val="920"/>
    <w:next w:val="920"/>
    <w:link w:val="954"/>
    <w:qFormat/>
    <w:pPr>
      <w:jc w:val="center"/>
      <w:keepNext/>
      <w:outlineLvl w:val="5"/>
    </w:pPr>
    <w:rPr>
      <w:b/>
      <w:bCs/>
    </w:rPr>
  </w:style>
  <w:style w:type="paragraph" w:styleId="927">
    <w:name w:val="Heading 7"/>
    <w:basedOn w:val="920"/>
    <w:next w:val="920"/>
    <w:link w:val="955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928">
    <w:name w:val="Heading 8"/>
    <w:basedOn w:val="920"/>
    <w:next w:val="920"/>
    <w:link w:val="956"/>
    <w:qFormat/>
    <w:pPr>
      <w:keepNext/>
      <w:outlineLvl w:val="7"/>
    </w:pPr>
    <w:rPr>
      <w:b/>
      <w:bCs/>
    </w:rPr>
  </w:style>
  <w:style w:type="paragraph" w:styleId="929">
    <w:name w:val="Heading 9"/>
    <w:basedOn w:val="920"/>
    <w:next w:val="920"/>
    <w:link w:val="957"/>
    <w:qFormat/>
    <w:pPr>
      <w:keepNext/>
      <w:outlineLvl w:val="8"/>
    </w:pPr>
    <w:rPr>
      <w:b/>
      <w:bCs/>
      <w:sz w:val="20"/>
      <w:szCs w:val="20"/>
    </w:rPr>
  </w:style>
  <w:style w:type="character" w:styleId="930" w:default="1">
    <w:name w:val="Default Paragraph Font"/>
    <w:uiPriority w:val="1"/>
    <w:semiHidden/>
    <w:unhideWhenUsed/>
  </w:style>
  <w:style w:type="table" w:styleId="9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2" w:default="1">
    <w:name w:val="No List"/>
    <w:uiPriority w:val="99"/>
    <w:semiHidden/>
    <w:unhideWhenUsed/>
  </w:style>
  <w:style w:type="character" w:styleId="93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934" w:customStyle="1">
    <w:name w:val="Heading 2 Char"/>
    <w:uiPriority w:val="9"/>
    <w:rPr>
      <w:rFonts w:ascii="Arial" w:hAnsi="Arial" w:eastAsia="Arial" w:cs="Arial"/>
      <w:sz w:val="34"/>
    </w:rPr>
  </w:style>
  <w:style w:type="character" w:styleId="935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936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937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938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939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40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941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942" w:customStyle="1">
    <w:name w:val="Title Char"/>
    <w:uiPriority w:val="10"/>
    <w:rPr>
      <w:sz w:val="48"/>
      <w:szCs w:val="48"/>
    </w:rPr>
  </w:style>
  <w:style w:type="character" w:styleId="943" w:customStyle="1">
    <w:name w:val="Subtitle Char"/>
    <w:uiPriority w:val="11"/>
    <w:rPr>
      <w:sz w:val="24"/>
      <w:szCs w:val="24"/>
    </w:rPr>
  </w:style>
  <w:style w:type="character" w:styleId="944" w:customStyle="1">
    <w:name w:val="Quote Char"/>
    <w:uiPriority w:val="29"/>
    <w:rPr>
      <w:i/>
    </w:rPr>
  </w:style>
  <w:style w:type="character" w:styleId="945" w:customStyle="1">
    <w:name w:val="Intense Quote Char"/>
    <w:uiPriority w:val="30"/>
    <w:rPr>
      <w:i/>
    </w:rPr>
  </w:style>
  <w:style w:type="character" w:styleId="946" w:customStyle="1">
    <w:name w:val="Header Char"/>
    <w:basedOn w:val="930"/>
    <w:uiPriority w:val="99"/>
  </w:style>
  <w:style w:type="character" w:styleId="947" w:customStyle="1">
    <w:name w:val="Footnote Text Char"/>
    <w:uiPriority w:val="99"/>
    <w:rPr>
      <w:sz w:val="18"/>
    </w:rPr>
  </w:style>
  <w:style w:type="character" w:styleId="948" w:customStyle="1">
    <w:name w:val="Endnote Text Char"/>
    <w:uiPriority w:val="99"/>
    <w:rPr>
      <w:sz w:val="20"/>
    </w:rPr>
  </w:style>
  <w:style w:type="character" w:styleId="949" w:customStyle="1">
    <w:name w:val="Заголовок 1 Знак"/>
    <w:link w:val="921"/>
    <w:uiPriority w:val="9"/>
    <w:rPr>
      <w:rFonts w:ascii="Arial" w:hAnsi="Arial" w:eastAsia="Arial" w:cs="Arial"/>
      <w:sz w:val="40"/>
      <w:szCs w:val="40"/>
    </w:rPr>
  </w:style>
  <w:style w:type="character" w:styleId="950" w:customStyle="1">
    <w:name w:val="Заголовок 2 Знак"/>
    <w:link w:val="922"/>
    <w:uiPriority w:val="9"/>
    <w:rPr>
      <w:rFonts w:ascii="Arial" w:hAnsi="Arial" w:eastAsia="Arial" w:cs="Arial"/>
      <w:sz w:val="34"/>
    </w:rPr>
  </w:style>
  <w:style w:type="character" w:styleId="951" w:customStyle="1">
    <w:name w:val="Заголовок 3 Знак"/>
    <w:link w:val="923"/>
    <w:uiPriority w:val="9"/>
    <w:rPr>
      <w:rFonts w:ascii="Arial" w:hAnsi="Arial" w:eastAsia="Arial" w:cs="Arial"/>
      <w:sz w:val="30"/>
      <w:szCs w:val="30"/>
    </w:rPr>
  </w:style>
  <w:style w:type="character" w:styleId="952" w:customStyle="1">
    <w:name w:val="Заголовок 4 Знак"/>
    <w:link w:val="924"/>
    <w:uiPriority w:val="9"/>
    <w:rPr>
      <w:rFonts w:ascii="Arial" w:hAnsi="Arial" w:eastAsia="Arial" w:cs="Arial"/>
      <w:b/>
      <w:bCs/>
      <w:sz w:val="26"/>
      <w:szCs w:val="26"/>
    </w:rPr>
  </w:style>
  <w:style w:type="character" w:styleId="953" w:customStyle="1">
    <w:name w:val="Заголовок 5 Знак"/>
    <w:link w:val="925"/>
    <w:uiPriority w:val="9"/>
    <w:rPr>
      <w:rFonts w:ascii="Arial" w:hAnsi="Arial" w:eastAsia="Arial" w:cs="Arial"/>
      <w:b/>
      <w:bCs/>
      <w:sz w:val="24"/>
      <w:szCs w:val="24"/>
    </w:rPr>
  </w:style>
  <w:style w:type="character" w:styleId="954" w:customStyle="1">
    <w:name w:val="Заголовок 6 Знак"/>
    <w:link w:val="926"/>
    <w:uiPriority w:val="9"/>
    <w:rPr>
      <w:rFonts w:ascii="Arial" w:hAnsi="Arial" w:eastAsia="Arial" w:cs="Arial"/>
      <w:b/>
      <w:bCs/>
      <w:sz w:val="22"/>
      <w:szCs w:val="22"/>
    </w:rPr>
  </w:style>
  <w:style w:type="character" w:styleId="955" w:customStyle="1">
    <w:name w:val="Заголовок 7 Знак"/>
    <w:link w:val="9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56" w:customStyle="1">
    <w:name w:val="Заголовок 8 Знак"/>
    <w:link w:val="928"/>
    <w:uiPriority w:val="9"/>
    <w:rPr>
      <w:rFonts w:ascii="Arial" w:hAnsi="Arial" w:eastAsia="Arial" w:cs="Arial"/>
      <w:i/>
      <w:iCs/>
      <w:sz w:val="22"/>
      <w:szCs w:val="22"/>
    </w:rPr>
  </w:style>
  <w:style w:type="character" w:styleId="957" w:customStyle="1">
    <w:name w:val="Заголовок 9 Знак"/>
    <w:link w:val="929"/>
    <w:uiPriority w:val="9"/>
    <w:rPr>
      <w:rFonts w:ascii="Arial" w:hAnsi="Arial" w:eastAsia="Arial" w:cs="Arial"/>
      <w:i/>
      <w:iCs/>
      <w:sz w:val="21"/>
      <w:szCs w:val="21"/>
    </w:rPr>
  </w:style>
  <w:style w:type="paragraph" w:styleId="958">
    <w:name w:val="List Paragraph"/>
    <w:basedOn w:val="920"/>
    <w:uiPriority w:val="34"/>
    <w:qFormat/>
    <w:pPr>
      <w:contextualSpacing/>
      <w:ind w:left="720"/>
      <w:spacing w:after="160" w:line="256" w:lineRule="auto"/>
    </w:pPr>
    <w:rPr>
      <w:rFonts w:ascii="Calibri" w:hAnsi="Calibri" w:eastAsia="Calibri"/>
      <w:sz w:val="22"/>
      <w:szCs w:val="22"/>
      <w:lang w:eastAsia="en-US"/>
    </w:rPr>
  </w:style>
  <w:style w:type="paragraph" w:styleId="959">
    <w:name w:val="No Spacing"/>
    <w:link w:val="1122"/>
    <w:uiPriority w:val="1"/>
    <w:qFormat/>
    <w:rPr>
      <w:rFonts w:ascii="Calibri" w:hAnsi="Calibri"/>
      <w:sz w:val="22"/>
      <w:szCs w:val="22"/>
      <w:lang w:eastAsia="en-US"/>
    </w:rPr>
  </w:style>
  <w:style w:type="paragraph" w:styleId="960">
    <w:name w:val="Title"/>
    <w:basedOn w:val="920"/>
    <w:next w:val="920"/>
    <w:link w:val="9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61" w:customStyle="1">
    <w:name w:val="Заголовок Знак"/>
    <w:link w:val="960"/>
    <w:uiPriority w:val="10"/>
    <w:rPr>
      <w:sz w:val="48"/>
      <w:szCs w:val="48"/>
    </w:rPr>
  </w:style>
  <w:style w:type="paragraph" w:styleId="962">
    <w:name w:val="Subtitle"/>
    <w:basedOn w:val="920"/>
    <w:next w:val="920"/>
    <w:link w:val="963"/>
    <w:uiPriority w:val="11"/>
    <w:qFormat/>
    <w:pPr>
      <w:spacing w:before="200" w:after="200"/>
    </w:pPr>
  </w:style>
  <w:style w:type="character" w:styleId="963" w:customStyle="1">
    <w:name w:val="Подзаголовок Знак"/>
    <w:link w:val="962"/>
    <w:uiPriority w:val="11"/>
    <w:rPr>
      <w:sz w:val="24"/>
      <w:szCs w:val="24"/>
    </w:rPr>
  </w:style>
  <w:style w:type="paragraph" w:styleId="964">
    <w:name w:val="Quote"/>
    <w:basedOn w:val="920"/>
    <w:next w:val="920"/>
    <w:link w:val="965"/>
    <w:uiPriority w:val="29"/>
    <w:qFormat/>
    <w:pPr>
      <w:ind w:left="720" w:right="720"/>
    </w:pPr>
    <w:rPr>
      <w:i/>
    </w:rPr>
  </w:style>
  <w:style w:type="character" w:styleId="965" w:customStyle="1">
    <w:name w:val="Цитата 2 Знак"/>
    <w:link w:val="964"/>
    <w:uiPriority w:val="29"/>
    <w:rPr>
      <w:i/>
    </w:rPr>
  </w:style>
  <w:style w:type="paragraph" w:styleId="966">
    <w:name w:val="Intense Quote"/>
    <w:basedOn w:val="920"/>
    <w:next w:val="920"/>
    <w:link w:val="96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67" w:customStyle="1">
    <w:name w:val="Выделенная цитата Знак"/>
    <w:link w:val="966"/>
    <w:uiPriority w:val="30"/>
    <w:rPr>
      <w:i/>
    </w:rPr>
  </w:style>
  <w:style w:type="paragraph" w:styleId="968">
    <w:name w:val="Header"/>
    <w:basedOn w:val="920"/>
    <w:link w:val="96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969" w:customStyle="1">
    <w:name w:val="Верхний колонтитул Знак"/>
    <w:link w:val="968"/>
    <w:uiPriority w:val="99"/>
  </w:style>
  <w:style w:type="paragraph" w:styleId="970">
    <w:name w:val="Footer"/>
    <w:basedOn w:val="920"/>
    <w:link w:val="1128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71" w:customStyle="1">
    <w:name w:val="Footer Char"/>
    <w:uiPriority w:val="99"/>
  </w:style>
  <w:style w:type="paragraph" w:styleId="972">
    <w:name w:val="Caption"/>
    <w:basedOn w:val="920"/>
    <w:next w:val="92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973" w:customStyle="1">
    <w:name w:val="Caption Char"/>
    <w:uiPriority w:val="99"/>
  </w:style>
  <w:style w:type="table" w:styleId="974">
    <w:name w:val="Table Grid"/>
    <w:basedOn w:val="931"/>
    <w:tblPr/>
  </w:style>
  <w:style w:type="table" w:styleId="97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6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7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8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9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80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8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8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5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2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9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101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101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101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101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101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101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101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3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3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3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3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3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3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3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37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4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8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105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106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106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106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106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106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1065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2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8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8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8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8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8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8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8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8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8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8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1100">
    <w:name w:val="Hyperlink"/>
    <w:uiPriority w:val="99"/>
    <w:unhideWhenUsed/>
    <w:rPr>
      <w:color w:val="0000ff"/>
      <w:u w:val="single"/>
    </w:rPr>
  </w:style>
  <w:style w:type="paragraph" w:styleId="1101">
    <w:name w:val="footnote text"/>
    <w:basedOn w:val="920"/>
    <w:link w:val="1102"/>
    <w:uiPriority w:val="99"/>
    <w:semiHidden/>
    <w:unhideWhenUsed/>
    <w:pPr>
      <w:spacing w:after="40"/>
    </w:pPr>
    <w:rPr>
      <w:sz w:val="18"/>
    </w:rPr>
  </w:style>
  <w:style w:type="character" w:styleId="1102" w:customStyle="1">
    <w:name w:val="Текст сноски Знак"/>
    <w:link w:val="1101"/>
    <w:uiPriority w:val="99"/>
    <w:rPr>
      <w:sz w:val="18"/>
    </w:rPr>
  </w:style>
  <w:style w:type="character" w:styleId="1103">
    <w:name w:val="footnote reference"/>
    <w:uiPriority w:val="99"/>
    <w:unhideWhenUsed/>
    <w:rPr>
      <w:vertAlign w:val="superscript"/>
    </w:rPr>
  </w:style>
  <w:style w:type="paragraph" w:styleId="1104">
    <w:name w:val="endnote text"/>
    <w:basedOn w:val="920"/>
    <w:link w:val="1105"/>
    <w:uiPriority w:val="99"/>
    <w:semiHidden/>
    <w:unhideWhenUsed/>
    <w:rPr>
      <w:sz w:val="20"/>
    </w:rPr>
  </w:style>
  <w:style w:type="character" w:styleId="1105" w:customStyle="1">
    <w:name w:val="Текст концевой сноски Знак"/>
    <w:link w:val="1104"/>
    <w:uiPriority w:val="99"/>
    <w:rPr>
      <w:sz w:val="20"/>
    </w:rPr>
  </w:style>
  <w:style w:type="character" w:styleId="1106">
    <w:name w:val="endnote reference"/>
    <w:uiPriority w:val="99"/>
    <w:semiHidden/>
    <w:unhideWhenUsed/>
    <w:rPr>
      <w:vertAlign w:val="superscript"/>
    </w:rPr>
  </w:style>
  <w:style w:type="paragraph" w:styleId="1107">
    <w:name w:val="toc 1"/>
    <w:basedOn w:val="920"/>
    <w:next w:val="920"/>
    <w:uiPriority w:val="39"/>
    <w:pPr>
      <w:spacing w:before="360"/>
    </w:pPr>
    <w:rPr>
      <w:rFonts w:ascii="Arial" w:hAnsi="Arial" w:cs="Arial"/>
      <w:b/>
      <w:bCs/>
      <w:caps/>
    </w:rPr>
  </w:style>
  <w:style w:type="paragraph" w:styleId="1108">
    <w:name w:val="toc 2"/>
    <w:basedOn w:val="920"/>
    <w:next w:val="920"/>
    <w:semiHidden/>
    <w:pPr>
      <w:spacing w:before="240"/>
    </w:pPr>
    <w:rPr>
      <w:b/>
      <w:bCs/>
      <w:sz w:val="20"/>
      <w:szCs w:val="20"/>
    </w:rPr>
  </w:style>
  <w:style w:type="paragraph" w:styleId="1109">
    <w:name w:val="toc 3"/>
    <w:basedOn w:val="920"/>
    <w:next w:val="920"/>
    <w:semiHidden/>
    <w:pPr>
      <w:ind w:left="240"/>
    </w:pPr>
    <w:rPr>
      <w:sz w:val="20"/>
      <w:szCs w:val="20"/>
    </w:rPr>
  </w:style>
  <w:style w:type="paragraph" w:styleId="1110">
    <w:name w:val="toc 4"/>
    <w:basedOn w:val="920"/>
    <w:next w:val="920"/>
    <w:uiPriority w:val="39"/>
    <w:pPr>
      <w:ind w:right="-166"/>
      <w:spacing w:line="360" w:lineRule="auto"/>
      <w:tabs>
        <w:tab w:val="right" w:pos="10065" w:leader="dot"/>
      </w:tabs>
    </w:pPr>
    <w:rPr>
      <w:sz w:val="22"/>
      <w:szCs w:val="22"/>
    </w:rPr>
  </w:style>
  <w:style w:type="paragraph" w:styleId="1111">
    <w:name w:val="toc 5"/>
    <w:basedOn w:val="920"/>
    <w:next w:val="920"/>
    <w:semiHidden/>
    <w:pPr>
      <w:ind w:left="720"/>
    </w:pPr>
    <w:rPr>
      <w:sz w:val="20"/>
      <w:szCs w:val="20"/>
    </w:rPr>
  </w:style>
  <w:style w:type="paragraph" w:styleId="1112">
    <w:name w:val="toc 6"/>
    <w:basedOn w:val="920"/>
    <w:next w:val="920"/>
    <w:semiHidden/>
    <w:pPr>
      <w:ind w:left="960"/>
    </w:pPr>
    <w:rPr>
      <w:sz w:val="20"/>
      <w:szCs w:val="20"/>
    </w:rPr>
  </w:style>
  <w:style w:type="paragraph" w:styleId="1113">
    <w:name w:val="toc 7"/>
    <w:basedOn w:val="920"/>
    <w:next w:val="920"/>
    <w:semiHidden/>
    <w:pPr>
      <w:ind w:left="1200"/>
    </w:pPr>
    <w:rPr>
      <w:sz w:val="20"/>
      <w:szCs w:val="20"/>
    </w:rPr>
  </w:style>
  <w:style w:type="paragraph" w:styleId="1114">
    <w:name w:val="toc 8"/>
    <w:basedOn w:val="920"/>
    <w:next w:val="920"/>
    <w:semiHidden/>
    <w:pPr>
      <w:ind w:left="1440"/>
    </w:pPr>
    <w:rPr>
      <w:sz w:val="20"/>
      <w:szCs w:val="20"/>
    </w:rPr>
  </w:style>
  <w:style w:type="paragraph" w:styleId="1115">
    <w:name w:val="toc 9"/>
    <w:basedOn w:val="920"/>
    <w:next w:val="920"/>
    <w:semiHidden/>
    <w:pPr>
      <w:ind w:left="1680"/>
    </w:pPr>
    <w:rPr>
      <w:sz w:val="20"/>
      <w:szCs w:val="20"/>
    </w:rPr>
  </w:style>
  <w:style w:type="paragraph" w:styleId="1116">
    <w:name w:val="TOC Heading"/>
    <w:basedOn w:val="921"/>
    <w:next w:val="920"/>
    <w:uiPriority w:val="39"/>
    <w:unhideWhenUsed/>
    <w:qFormat/>
    <w:pPr>
      <w:ind w:firstLine="0"/>
      <w:jc w:val="left"/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</w:rPr>
  </w:style>
  <w:style w:type="paragraph" w:styleId="1117">
    <w:name w:val="table of figures"/>
    <w:basedOn w:val="920"/>
    <w:next w:val="920"/>
    <w:uiPriority w:val="99"/>
    <w:unhideWhenUsed/>
  </w:style>
  <w:style w:type="character" w:styleId="1118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;Avg"/>
    <w:qFormat/>
    <w:rPr>
      <w:rFonts w:ascii="Times New Roman" w:hAnsi="Times New Roman" w:cs="Times New Roman"/>
      <w:vertAlign w:val="superscript"/>
    </w:rPr>
  </w:style>
  <w:style w:type="paragraph" w:styleId="1119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920"/>
    <w:link w:val="1124"/>
    <w:qFormat/>
    <w:rPr>
      <w:sz w:val="20"/>
      <w:szCs w:val="20"/>
    </w:rPr>
  </w:style>
  <w:style w:type="paragraph" w:styleId="1120" w:customStyle="1">
    <w:name w:val="Нормальный"/>
    <w:rPr>
      <w:rFonts w:ascii="TimesET" w:hAnsi="TimesET"/>
      <w:sz w:val="24"/>
      <w:szCs w:val="24"/>
    </w:rPr>
  </w:style>
  <w:style w:type="paragraph" w:styleId="1121">
    <w:name w:val="Balloon Text"/>
    <w:basedOn w:val="920"/>
    <w:link w:val="1139"/>
    <w:uiPriority w:val="99"/>
    <w:semiHidden/>
    <w:rPr>
      <w:rFonts w:ascii="Tahoma" w:hAnsi="Tahoma" w:cs="Tahoma"/>
      <w:sz w:val="16"/>
      <w:szCs w:val="16"/>
    </w:rPr>
  </w:style>
  <w:style w:type="character" w:styleId="1122" w:customStyle="1">
    <w:name w:val="Без интервала Знак"/>
    <w:link w:val="959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1123" w:customStyle="1">
    <w:name w:val="Основной текст с отступом;Основной текст с отступом Знак1;Основной текст с отступом Знак Знак;Основной текст с отступом Знак1 Знак1 Знак;Основной текст с отступом Знак Знак Знак1 Знак;Основной текст с отступом Знак1 Знак1 Знак Знак Знак;Основной текст 1"/>
    <w:basedOn w:val="920"/>
    <w:rPr>
      <w:sz w:val="22"/>
      <w:szCs w:val="22"/>
    </w:rPr>
  </w:style>
  <w:style w:type="character" w:styleId="1124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19"/>
    <w:rPr>
      <w:lang w:val="ru-RU" w:eastAsia="ru-RU" w:bidi="ar-SA"/>
    </w:rPr>
  </w:style>
  <w:style w:type="paragraph" w:styleId="1125" w:customStyle="1">
    <w:name w:val="Основной текст;Основной текст_отчет;bt"/>
    <w:basedOn w:val="920"/>
    <w:link w:val="1133"/>
    <w:rPr>
      <w:b/>
      <w:bCs/>
      <w:lang w:val="en-US" w:eastAsia="en-US"/>
    </w:rPr>
  </w:style>
  <w:style w:type="paragraph" w:styleId="1126" w:customStyle="1">
    <w:name w:val="Верхний колонтитул;ВерхКолонтитул;Linie;ree.subs;Even;Верхний колонтитул Знак Знак1;Верхний колонтитул Знак Знак Знак;Знак5 Знак Знак Знак;Знак5 Знак Знак1;Верхний колонтитул Знак1 Знак;Верхний колонтитул Знак Знак;Знак5 Знак Знак"/>
    <w:basedOn w:val="920"/>
    <w:link w:val="112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127" w:customStyle="1">
    <w:name w:val="Верхний колонтитул Знак;ВерхКолонтитул Знак;Linie Знак;ree.subs Знак;Even Знак;Верхний колонтитул Знак Знак1 Знак;Верхний колонтитул Знак Знак Знак Знак;Знак5 Знак Знак Знак Знак;Знак5 Знак Знак1 Знак;Верхний колонтитул Знак1 Знак Знак"/>
    <w:link w:val="1126"/>
    <w:uiPriority w:val="99"/>
    <w:rPr>
      <w:sz w:val="24"/>
      <w:szCs w:val="24"/>
    </w:rPr>
  </w:style>
  <w:style w:type="character" w:styleId="1128" w:customStyle="1">
    <w:name w:val="Нижний колонтитул Знак"/>
    <w:link w:val="970"/>
    <w:rPr>
      <w:sz w:val="24"/>
      <w:szCs w:val="24"/>
    </w:rPr>
  </w:style>
  <w:style w:type="paragraph" w:styleId="1129">
    <w:name w:val="Body Text Indent 2"/>
    <w:basedOn w:val="920"/>
    <w:link w:val="1134"/>
    <w:pPr>
      <w:ind w:firstLine="360"/>
      <w:jc w:val="both"/>
    </w:pPr>
    <w:rPr>
      <w:lang w:val="en-US" w:eastAsia="en-US"/>
    </w:rPr>
  </w:style>
  <w:style w:type="paragraph" w:styleId="1130">
    <w:name w:val="Body Text 2"/>
    <w:basedOn w:val="920"/>
    <w:rPr>
      <w:b/>
      <w:bCs/>
      <w:sz w:val="20"/>
      <w:szCs w:val="22"/>
    </w:rPr>
  </w:style>
  <w:style w:type="paragraph" w:styleId="1131" w:customStyle="1">
    <w:name w:val="Default"/>
    <w:rPr>
      <w:color w:val="000000"/>
      <w:sz w:val="24"/>
      <w:szCs w:val="24"/>
    </w:rPr>
  </w:style>
  <w:style w:type="paragraph" w:styleId="1132" w:customStyle="1">
    <w:name w:val="Название"/>
    <w:basedOn w:val="920"/>
    <w:link w:val="1135"/>
    <w:qFormat/>
    <w:pPr>
      <w:jc w:val="center"/>
    </w:pPr>
    <w:rPr>
      <w:b/>
      <w:bCs/>
      <w:sz w:val="28"/>
      <w:szCs w:val="28"/>
      <w:lang w:val="en-US" w:eastAsia="en-US"/>
    </w:rPr>
  </w:style>
  <w:style w:type="character" w:styleId="1133" w:customStyle="1">
    <w:name w:val="Основной текст Знак"/>
    <w:link w:val="1125"/>
    <w:rPr>
      <w:b/>
      <w:bCs/>
      <w:sz w:val="24"/>
      <w:szCs w:val="24"/>
    </w:rPr>
  </w:style>
  <w:style w:type="character" w:styleId="1134" w:customStyle="1">
    <w:name w:val="Основной текст с отступом 2 Знак"/>
    <w:link w:val="1129"/>
    <w:rPr>
      <w:sz w:val="24"/>
      <w:szCs w:val="24"/>
    </w:rPr>
  </w:style>
  <w:style w:type="character" w:styleId="1135" w:customStyle="1">
    <w:name w:val="Название Знак"/>
    <w:link w:val="1132"/>
    <w:rPr>
      <w:b/>
      <w:bCs/>
      <w:sz w:val="28"/>
      <w:szCs w:val="28"/>
    </w:rPr>
  </w:style>
  <w:style w:type="paragraph" w:styleId="1136">
    <w:name w:val="Document Map"/>
    <w:basedOn w:val="920"/>
    <w:link w:val="1137"/>
    <w:rPr>
      <w:rFonts w:ascii="Tahoma" w:hAnsi="Tahoma"/>
      <w:sz w:val="16"/>
      <w:szCs w:val="16"/>
      <w:lang w:val="en-US" w:eastAsia="en-US"/>
    </w:rPr>
  </w:style>
  <w:style w:type="character" w:styleId="1137" w:customStyle="1">
    <w:name w:val="Схема документа Знак"/>
    <w:link w:val="1136"/>
    <w:rPr>
      <w:rFonts w:ascii="Tahoma" w:hAnsi="Tahoma" w:cs="Tahoma"/>
      <w:sz w:val="16"/>
      <w:szCs w:val="16"/>
    </w:rPr>
  </w:style>
  <w:style w:type="paragraph" w:styleId="1138" w:customStyle="1">
    <w:name w:val="ConsNormal"/>
    <w:pPr>
      <w:ind w:firstLine="720"/>
      <w:widowControl w:val="off"/>
    </w:pPr>
    <w:rPr>
      <w:rFonts w:ascii="Arial" w:hAnsi="Arial" w:cs="Arial"/>
    </w:rPr>
  </w:style>
  <w:style w:type="character" w:styleId="1139" w:customStyle="1">
    <w:name w:val="Текст выноски Знак"/>
    <w:link w:val="1121"/>
    <w:uiPriority w:val="99"/>
    <w:semiHidden/>
    <w:rPr>
      <w:rFonts w:ascii="Tahoma" w:hAnsi="Tahoma" w:cs="Tahoma"/>
      <w:sz w:val="16"/>
      <w:szCs w:val="16"/>
    </w:rPr>
  </w:style>
  <w:style w:type="paragraph" w:styleId="1140">
    <w:name w:val="annotation text"/>
    <w:basedOn w:val="920"/>
    <w:link w:val="1141"/>
    <w:uiPriority w:val="99"/>
    <w:unhideWhenUsed/>
    <w:pPr>
      <w:spacing w:after="200" w:line="276" w:lineRule="auto"/>
    </w:pPr>
    <w:rPr>
      <w:rFonts w:ascii="Calibri" w:hAnsi="Calibri" w:eastAsia="Calibri"/>
      <w:sz w:val="20"/>
      <w:szCs w:val="20"/>
      <w:lang w:eastAsia="en-US"/>
    </w:rPr>
  </w:style>
  <w:style w:type="character" w:styleId="1141" w:customStyle="1">
    <w:name w:val="Текст примечания Знак"/>
    <w:link w:val="1140"/>
    <w:uiPriority w:val="99"/>
    <w:rPr>
      <w:rFonts w:ascii="Calibri" w:hAnsi="Calibri" w:eastAsia="Calibri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Grafskaya</dc:creator>
  <cp:revision>93</cp:revision>
  <dcterms:created xsi:type="dcterms:W3CDTF">2023-06-21T08:28:00Z</dcterms:created>
  <dcterms:modified xsi:type="dcterms:W3CDTF">2025-08-13T08:29:19Z</dcterms:modified>
  <cp:version>1048576</cp:version>
</cp:coreProperties>
</file>