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99"/>
      </w:tblGrid>
      <w:tr>
        <w:tblPrEx/>
        <w:trPr>
          <w:jc w:val="center"/>
          <w:trHeight w:val="144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32"/>
                <w:szCs w:val="32"/>
                <w:lang w:eastAsia="en-US"/>
              </w:rPr>
            </w:pPr>
            <w:r/>
            <w:r>
              <w:rPr>
                <w:rFonts w:ascii="Cambria" w:hAnsi="Cambria" w:cs="Cambria"/>
                <w:sz w:val="32"/>
                <w:szCs w:val="32"/>
                <w:lang w:eastAsia="en-US"/>
              </w:rPr>
              <w:t xml:space="preserve">ТУЛЬСКИЙ РЕГИОНАЛЬНЫЙ ФИЛИАЛ</w:t>
            </w:r>
            <w:r>
              <w:rPr>
                <w:rFonts w:ascii="Cambria" w:hAnsi="Cambria" w:cs="Cambria"/>
                <w:sz w:val="32"/>
                <w:szCs w:val="32"/>
                <w:lang w:eastAsia="en-US"/>
              </w:rPr>
            </w:r>
            <w:r>
              <w:rPr>
                <w:rFonts w:ascii="Cambria" w:hAnsi="Cambria" w:cs="Cambria"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32"/>
                <w:szCs w:val="32"/>
                <w:lang w:eastAsia="en-US"/>
              </w:rPr>
            </w:pPr>
            <w:r>
              <w:rPr>
                <w:rFonts w:ascii="Cambria" w:hAnsi="Cambria" w:cs="Cambria"/>
                <w:sz w:val="32"/>
                <w:szCs w:val="32"/>
                <w:lang w:eastAsia="en-US"/>
              </w:rPr>
              <w:t xml:space="preserve">АО «РОССЕЛЬХОЗБАНК»</w:t>
            </w:r>
            <w:r>
              <w:rPr>
                <w:rFonts w:ascii="Cambria" w:hAnsi="Cambria" w:cs="Cambria"/>
                <w:sz w:val="32"/>
                <w:szCs w:val="32"/>
                <w:lang w:eastAsia="en-US"/>
              </w:rPr>
            </w:r>
            <w:r>
              <w:rPr>
                <w:rFonts w:ascii="Cambria" w:hAnsi="Cambria" w:cs="Cambria"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ТАРИФЫ КОМИССИОННОГО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ВОЗНАГРАЖДЕНИЯ НА УСЛУГИ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ЮРИДИЧЕСКИМ ЛИЦАМ, СУБЪЕКТАМ РОССИЙСКОЙ ФЕДЕРАЦИИ, МУНИЦИПАЛЬНЫМ ОБРАЗОВАНИЯМ,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ИНДИВИДУАЛЬНЫМ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ПРЕДПРИНИМАТЕЛЯМ И ФИЗИЧЕСКИМ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ЛИЦАМ, ЗАНИМАЮЩИМСЯ В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УСТАНОВЛЕННОМ ЗАКОНОДАТЕЛЬСТВОМ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РОССИЙКОЙ ФЕДЕРАЦИИ ПОРЯДКЕ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/>
                <w:sz w:val="80"/>
                <w:szCs w:val="80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ЧАСТНОЙ ПРАКТИКОЙ</w:t>
            </w:r>
            <w:r>
              <w:rPr>
                <w:rFonts w:ascii="Cambria" w:hAnsi="Cambria"/>
                <w:sz w:val="80"/>
                <w:szCs w:val="80"/>
                <w:lang w:eastAsia="en-US"/>
              </w:rPr>
            </w:r>
            <w:r>
              <w:rPr>
                <w:rFonts w:ascii="Cambria" w:hAnsi="Cambria"/>
                <w:sz w:val="80"/>
                <w:szCs w:val="80"/>
                <w:lang w:eastAsia="en-US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bCs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  <w:t xml:space="preserve">действуют с 2</w:t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  <w:t xml:space="preserve">7.01.2025г.</w:t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libri" w:hAnsi="Calibri"/>
                <w:bCs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libri" w:hAnsi="Calibri"/>
                <w:bCs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</w:p>
        </w:tc>
      </w:tr>
    </w:tbl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0065" cy="1217295"/>
                <wp:effectExtent l="0" t="0" r="635" b="1905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2448039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790064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0.95pt;height:95.8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/>
      <w:r/>
    </w:p>
    <w:p>
      <w:r>
        <w:br w:type="page" w:clear="all"/>
      </w:r>
      <w:r>
        <w:rPr>
          <w:b/>
          <w:caps/>
          <w:sz w:val="22"/>
        </w:rPr>
        <w:t xml:space="preserve">Содержание:</w:t>
      </w:r>
      <w:r/>
      <w:r/>
    </w:p>
    <w:p>
      <w:r/>
      <w:r/>
      <w:r/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</w:rPr>
      </w:pPr>
      <w:r>
        <w:rPr>
          <w:bCs/>
          <w:color w:val="0000ff"/>
          <w:sz w:val="22"/>
          <w:u w:val="single"/>
        </w:rPr>
        <w:fldChar w:fldCharType="begin"/>
      </w:r>
      <w:r>
        <w:rPr>
          <w:bCs/>
          <w:color w:val="0000ff"/>
          <w:sz w:val="22"/>
          <w:u w:val="single"/>
        </w:rPr>
        <w:instrText xml:space="preserve"> TOC \o "4-4" \h \z \u </w:instrText>
      </w:r>
      <w:r>
        <w:rPr>
          <w:bCs/>
          <w:color w:val="0000ff"/>
          <w:sz w:val="22"/>
          <w:u w:val="single"/>
        </w:rPr>
        <w:fldChar w:fldCharType="separate"/>
      </w:r>
      <w:hyperlink r:id="rId13" w:tooltip="file:///N:\ВЫДЕЛЕННЫЕ%20РЕСУРСЫ\Тарифы\Тарифы%20ЮЛ%202023\Тарифы%20ЮЛ%20изм%20№%20119%20с%2001.10.2023\Новая%20папка\Тар.%20юр.лица%20Тульский%20РФ_%2006-10-23.docx#_Toc64472176" w:anchor="_Toc64472176" w:history="1">
        <w:r>
          <w:rPr>
            <w:rStyle w:val="1126"/>
            <w:b/>
            <w:bCs/>
            <w:sz w:val="22"/>
          </w:rPr>
          <w:t xml:space="preserve">1.</w:t>
        </w:r>
        <w:r>
          <w:rPr>
            <w:rStyle w:val="1126"/>
            <w:rFonts w:ascii="Calibri" w:hAnsi="Calibri"/>
            <w:sz w:val="22"/>
            <w:szCs w:val="22"/>
          </w:rPr>
          <w:tab/>
        </w:r>
        <w:r>
          <w:rPr>
            <w:rStyle w:val="1126"/>
            <w:b/>
            <w:bCs/>
            <w:sz w:val="22"/>
          </w:rPr>
          <w:t xml:space="preserve">Открытие и ведение счетов</w:t>
        </w:r>
        <w:r>
          <w:rPr>
            <w:rStyle w:val="1126"/>
            <w:b/>
            <w:bCs/>
            <w:sz w:val="22"/>
          </w:rPr>
          <w:tab/>
        </w:r>
        <w:r>
          <w:rPr>
            <w:rStyle w:val="1126"/>
            <w:b/>
            <w:bCs/>
            <w:sz w:val="22"/>
          </w:rPr>
          <w:fldChar w:fldCharType="begin"/>
        </w:r>
        <w:r>
          <w:rPr>
            <w:rStyle w:val="1126"/>
            <w:b/>
            <w:bCs/>
            <w:sz w:val="22"/>
          </w:rPr>
          <w:instrText xml:space="preserve"> PAGEREF _Toc64472176 \h </w:instrText>
        </w:r>
        <w:r>
          <w:rPr>
            <w:rStyle w:val="1126"/>
            <w:b/>
            <w:bCs/>
            <w:sz w:val="22"/>
          </w:rPr>
        </w:r>
        <w:r>
          <w:rPr>
            <w:rStyle w:val="1126"/>
            <w:b/>
            <w:bCs/>
            <w:sz w:val="22"/>
          </w:rPr>
          <w:fldChar w:fldCharType="separate"/>
        </w:r>
        <w:r>
          <w:rPr>
            <w:rStyle w:val="1126"/>
            <w:b/>
            <w:bCs/>
            <w:sz w:val="22"/>
          </w:rPr>
          <w:t xml:space="preserve">1</w:t>
        </w:r>
        <w:r>
          <w:rPr>
            <w:rStyle w:val="1126"/>
            <w:b/>
            <w:bCs/>
            <w:sz w:val="22"/>
          </w:rP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  <w:lang w:val="en-US"/>
        </w:rPr>
      </w:pPr>
      <w:r/>
      <w:hyperlink r:id="rId14" w:tooltip="file:///N:\ВЫДЕЛЕННЫЕ%20РЕСУРСЫ\Тарифы\Тарифы%20ЮЛ%202023\Тарифы%20ЮЛ%20изм%20№%20119%20с%2001.10.2023\Новая%20папка\Тар.%20юр.лица%20Тульский%20РФ_%2006-10-23.docx#_Toc64472177" w:anchor="_Toc64472177" w:history="1">
        <w:r>
          <w:rPr>
            <w:rStyle w:val="1126"/>
            <w:b/>
            <w:bCs/>
            <w:sz w:val="22"/>
          </w:rPr>
          <w:t xml:space="preserve">2.</w:t>
        </w:r>
        <w:r>
          <w:rPr>
            <w:rStyle w:val="1126"/>
            <w:rFonts w:ascii="Calibri" w:hAnsi="Calibri"/>
            <w:sz w:val="22"/>
            <w:szCs w:val="22"/>
          </w:rPr>
          <w:tab/>
        </w:r>
        <w:r>
          <w:rPr>
            <w:rStyle w:val="1126"/>
            <w:b/>
            <w:bCs/>
            <w:sz w:val="22"/>
          </w:rPr>
          <w:t xml:space="preserve">Кассовые операции*</w:t>
        </w:r>
        <w:r>
          <w:rPr>
            <w:rStyle w:val="1126"/>
            <w:b/>
            <w:bCs/>
            <w:sz w:val="22"/>
          </w:rPr>
          <w:tab/>
        </w:r>
        <w:r>
          <w:rPr>
            <w:rStyle w:val="1126"/>
            <w:b/>
            <w:bCs/>
            <w:sz w:val="22"/>
          </w:rPr>
          <w:fldChar w:fldCharType="begin"/>
        </w:r>
        <w:r>
          <w:rPr>
            <w:rStyle w:val="1126"/>
            <w:b/>
            <w:bCs/>
            <w:sz w:val="22"/>
          </w:rPr>
          <w:instrText xml:space="preserve"> PAGEREF _Toc64472177 \h </w:instrText>
        </w:r>
        <w:r>
          <w:rPr>
            <w:rStyle w:val="1126"/>
            <w:b/>
            <w:bCs/>
            <w:sz w:val="22"/>
          </w:rPr>
        </w:r>
        <w:r>
          <w:rPr>
            <w:rStyle w:val="1126"/>
            <w:b/>
            <w:bCs/>
            <w:sz w:val="22"/>
          </w:rPr>
          <w:fldChar w:fldCharType="end"/>
        </w:r>
      </w:hyperlink>
      <w:r>
        <w:rPr>
          <w:rStyle w:val="1126"/>
          <w:b/>
          <w:bCs/>
          <w:sz w:val="22"/>
          <w:lang w:val="en-US"/>
        </w:rPr>
        <w:t xml:space="preserve">23</w:t>
      </w:r>
      <w:r>
        <w:rPr>
          <w:rFonts w:ascii="Calibri" w:hAnsi="Calibri"/>
          <w:sz w:val="22"/>
          <w:szCs w:val="22"/>
          <w:lang w:val="en-US"/>
        </w:rPr>
      </w:r>
      <w:r>
        <w:rPr>
          <w:rFonts w:ascii="Calibri" w:hAnsi="Calibri"/>
          <w:sz w:val="22"/>
          <w:szCs w:val="22"/>
          <w:lang w:val="en-US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  <w:lang w:val="en-US"/>
        </w:rPr>
      </w:pPr>
      <w:r/>
      <w:hyperlink r:id="rId15" w:tooltip="file:///N:\ВЫДЕЛЕННЫЕ%20РЕСУРСЫ\Тарифы\Тарифы%20ЮЛ%202023\Тарифы%20ЮЛ%20изм%20№%20119%20с%2001.10.2023\Новая%20папка\Тар.%20юр.лица%20Тульский%20РФ_%2006-10-23.docx#_Toc64472178" w:anchor="_Toc64472178" w:history="1">
        <w:r>
          <w:rPr>
            <w:rStyle w:val="1126"/>
            <w:b/>
            <w:bCs/>
            <w:sz w:val="22"/>
          </w:rPr>
          <w:t xml:space="preserve">3.</w:t>
        </w:r>
        <w:r>
          <w:rPr>
            <w:rStyle w:val="1126"/>
            <w:rFonts w:ascii="Calibri" w:hAnsi="Calibri"/>
            <w:sz w:val="22"/>
            <w:szCs w:val="22"/>
          </w:rPr>
          <w:tab/>
        </w:r>
        <w:r>
          <w:rPr>
            <w:rStyle w:val="1126"/>
            <w:b/>
            <w:bCs/>
            <w:sz w:val="22"/>
          </w:rPr>
          <w:t xml:space="preserve">Выполнение функций агента валютного контроля</w:t>
        </w:r>
        <w:r>
          <w:rPr>
            <w:rStyle w:val="1126"/>
            <w:b/>
            <w:bCs/>
            <w:sz w:val="22"/>
          </w:rPr>
          <w:tab/>
        </w:r>
      </w:hyperlink>
      <w:r>
        <w:rPr>
          <w:rStyle w:val="1126"/>
          <w:b/>
          <w:bCs/>
          <w:sz w:val="22"/>
          <w:lang w:val="en-US"/>
        </w:rPr>
        <w:t xml:space="preserve">27</w:t>
      </w:r>
      <w:r>
        <w:rPr>
          <w:rFonts w:ascii="Calibri" w:hAnsi="Calibri"/>
          <w:sz w:val="22"/>
          <w:szCs w:val="22"/>
          <w:lang w:val="en-US"/>
        </w:rPr>
      </w:r>
      <w:r>
        <w:rPr>
          <w:rFonts w:ascii="Calibri" w:hAnsi="Calibri"/>
          <w:sz w:val="22"/>
          <w:szCs w:val="22"/>
          <w:lang w:val="en-US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  <w:lang w:val="en-US"/>
        </w:rPr>
      </w:pPr>
      <w:r/>
      <w:hyperlink r:id="rId16" w:tooltip="file:///N:\ВЫДЕЛЕННЫЕ%20РЕСУРСЫ\Тарифы\Тарифы%20ЮЛ%202023\Тарифы%20ЮЛ%20изм%20№%20119%20с%2001.10.2023\Новая%20папка\Тар.%20юр.лица%20Тульский%20РФ_%2006-10-23.docx#_Toc64472179" w:anchor="_Toc64472179" w:history="1">
        <w:r>
          <w:rPr>
            <w:rStyle w:val="1126"/>
            <w:b/>
            <w:bCs/>
            <w:sz w:val="22"/>
          </w:rPr>
          <w:t xml:space="preserve">(размер тарифов указан без учета НДС)*</w:t>
        </w:r>
        <w:r>
          <w:rPr>
            <w:rStyle w:val="1126"/>
            <w:b/>
            <w:bCs/>
            <w:sz w:val="22"/>
          </w:rPr>
          <w:tab/>
        </w:r>
      </w:hyperlink>
      <w:r>
        <w:rPr>
          <w:rStyle w:val="1126"/>
          <w:b/>
          <w:bCs/>
          <w:sz w:val="22"/>
          <w:lang w:val="en-US"/>
        </w:rPr>
        <w:t xml:space="preserve">30</w:t>
      </w:r>
      <w:r>
        <w:rPr>
          <w:rFonts w:ascii="Calibri" w:hAnsi="Calibri"/>
          <w:sz w:val="22"/>
          <w:szCs w:val="22"/>
          <w:lang w:val="en-US"/>
        </w:rPr>
      </w:r>
      <w:r>
        <w:rPr>
          <w:rFonts w:ascii="Calibri" w:hAnsi="Calibri"/>
          <w:sz w:val="22"/>
          <w:szCs w:val="22"/>
          <w:lang w:val="en-US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  <w:lang w:val="en-US"/>
        </w:rPr>
      </w:pPr>
      <w:r/>
      <w:hyperlink r:id="rId17" w:tooltip="file:///N:\ВЫДЕЛЕННЫЕ%20РЕСУРСЫ\Тарифы\Тарифы%20ЮЛ%202023\Тарифы%20ЮЛ%20изм%20№%20119%20с%2001.10.2023\Новая%20папка\Тар.%20юр.лица%20Тульский%20РФ_%2006-10-23.docx#_Toc64472180" w:anchor="_Toc64472180" w:history="1">
        <w:r>
          <w:rPr>
            <w:rStyle w:val="1126"/>
            <w:b/>
            <w:bCs/>
            <w:sz w:val="22"/>
            <w:lang w:val="en-US"/>
          </w:rPr>
          <w:t xml:space="preserve">4.</w:t>
        </w:r>
        <w:r>
          <w:rPr>
            <w:rStyle w:val="1126"/>
            <w:rFonts w:ascii="Calibri" w:hAnsi="Calibri"/>
            <w:sz w:val="22"/>
            <w:szCs w:val="22"/>
          </w:rPr>
          <w:tab/>
        </w:r>
        <w:r>
          <w:rPr>
            <w:rStyle w:val="1126"/>
            <w:b/>
            <w:bCs/>
            <w:sz w:val="22"/>
          </w:rPr>
          <w:t xml:space="preserve">Операции с ценными бумагами</w:t>
        </w:r>
        <w:r>
          <w:rPr>
            <w:rStyle w:val="1126"/>
            <w:b/>
            <w:bCs/>
            <w:sz w:val="22"/>
          </w:rPr>
          <w:tab/>
        </w:r>
        <w:r>
          <w:rPr>
            <w:rStyle w:val="1126"/>
            <w:b/>
            <w:bCs/>
            <w:sz w:val="22"/>
            <w:lang w:val="en-US"/>
          </w:rPr>
          <w:t xml:space="preserve">3</w:t>
        </w:r>
      </w:hyperlink>
      <w:r>
        <w:rPr>
          <w:rStyle w:val="1126"/>
          <w:b/>
          <w:bCs/>
          <w:sz w:val="22"/>
          <w:lang w:val="en-US"/>
        </w:rPr>
        <w:t xml:space="preserve">1</w:t>
      </w:r>
      <w:r>
        <w:rPr>
          <w:rFonts w:ascii="Calibri" w:hAnsi="Calibri"/>
          <w:sz w:val="22"/>
          <w:szCs w:val="22"/>
          <w:lang w:val="en-US"/>
        </w:rPr>
      </w:r>
      <w:r>
        <w:rPr>
          <w:rFonts w:ascii="Calibri" w:hAnsi="Calibri"/>
          <w:sz w:val="22"/>
          <w:szCs w:val="22"/>
          <w:lang w:val="en-US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  <w:lang w:val="en-US"/>
        </w:rPr>
      </w:pPr>
      <w:r/>
      <w:hyperlink r:id="rId18" w:tooltip="file:///N:\ВЫДЕЛЕННЫЕ%20РЕСУРСЫ\Тарифы\Тарифы%20ЮЛ%202023\Тарифы%20ЮЛ%20изм%20№%20119%20с%2001.10.2023\Новая%20папка\Тар.%20юр.лица%20Тульский%20РФ_%2006-10-23.docx#_Toc64472181" w:anchor="_Toc64472181" w:history="1">
        <w:r>
          <w:rPr>
            <w:rStyle w:val="1126"/>
            <w:b/>
            <w:bCs/>
            <w:sz w:val="22"/>
          </w:rPr>
          <w:t xml:space="preserve">5.</w:t>
        </w:r>
        <w:r>
          <w:rPr>
            <w:rStyle w:val="1126"/>
            <w:rFonts w:ascii="Calibri" w:hAnsi="Calibri"/>
            <w:sz w:val="22"/>
            <w:szCs w:val="22"/>
          </w:rPr>
          <w:tab/>
        </w:r>
        <w:r>
          <w:rPr>
            <w:rStyle w:val="1126"/>
            <w:b/>
            <w:bCs/>
            <w:sz w:val="22"/>
          </w:rPr>
          <w:t xml:space="preserve">Документарные операции</w:t>
        </w:r>
        <w:r>
          <w:rPr>
            <w:rStyle w:val="1126"/>
            <w:b/>
            <w:bCs/>
            <w:sz w:val="22"/>
          </w:rPr>
          <w:tab/>
        </w:r>
      </w:hyperlink>
      <w:r>
        <w:rPr>
          <w:rStyle w:val="1126"/>
          <w:b/>
          <w:bCs/>
          <w:sz w:val="22"/>
          <w:lang w:val="en-US"/>
        </w:rPr>
        <w:t xml:space="preserve">32</w:t>
      </w:r>
      <w:r>
        <w:rPr>
          <w:rFonts w:ascii="Calibri" w:hAnsi="Calibri"/>
          <w:sz w:val="22"/>
          <w:szCs w:val="22"/>
          <w:lang w:val="en-US"/>
        </w:rPr>
      </w:r>
      <w:r>
        <w:rPr>
          <w:rFonts w:ascii="Calibri" w:hAnsi="Calibri"/>
          <w:sz w:val="22"/>
          <w:szCs w:val="22"/>
          <w:lang w:val="en-US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</w:rPr>
      </w:pPr>
      <w:r/>
      <w:hyperlink r:id="rId19" w:tooltip="file:///N:\ВЫДЕЛЕННЫЕ%20РЕСУРСЫ\Тарифы\Тарифы%20ЮЛ%202023\Тарифы%20ЮЛ%20изм%20№%20119%20с%2001.10.2023\Новая%20папка\Тар.%20юр.лица%20Тульский%20РФ_%2006-10-23.docx#_Toc64472182" w:anchor="_Toc64472182" w:history="1">
        <w:r>
          <w:rPr>
            <w:rStyle w:val="1126"/>
            <w:b/>
            <w:bCs/>
            <w:sz w:val="22"/>
          </w:rPr>
          <w:t xml:space="preserve">6.</w:t>
        </w:r>
        <w:r>
          <w:rPr>
            <w:rStyle w:val="1126"/>
            <w:rFonts w:ascii="Calibri" w:hAnsi="Calibri"/>
            <w:sz w:val="22"/>
            <w:szCs w:val="22"/>
          </w:rPr>
          <w:tab/>
        </w:r>
        <w:r>
          <w:rPr>
            <w:rStyle w:val="1126"/>
            <w:b/>
            <w:bCs/>
            <w:sz w:val="22"/>
          </w:rPr>
          <w:t xml:space="preserve">Гарантийные операции</w:t>
        </w:r>
        <w:r>
          <w:rPr>
            <w:rStyle w:val="1126"/>
            <w:b/>
            <w:bCs/>
            <w:sz w:val="22"/>
          </w:rPr>
          <w:tab/>
        </w:r>
      </w:hyperlink>
      <w:r>
        <w:rPr>
          <w:b/>
          <w:bCs/>
          <w:sz w:val="22"/>
        </w:rPr>
        <w:t xml:space="preserve">39</w: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</w:rPr>
      </w:pPr>
      <w:r/>
      <w:hyperlink r:id="rId20" w:tooltip="file:///N:\ВЫДЕЛЕННЫЕ%20РЕСУРСЫ\Тарифы\Тарифы%20ЮЛ%202023\Тарифы%20ЮЛ%20изм%20№%20119%20с%2001.10.2023\Новая%20папка\Тар.%20юр.лица%20Тульский%20РФ_%2006-10-23.docx#_Toc64472183" w:anchor="_Toc64472183" w:history="1">
        <w:r>
          <w:rPr>
            <w:rStyle w:val="1126"/>
            <w:b/>
            <w:bCs/>
            <w:sz w:val="22"/>
          </w:rPr>
          <w:t xml:space="preserve">7.</w:t>
        </w:r>
        <w:r>
          <w:rPr>
            <w:rStyle w:val="1126"/>
            <w:rFonts w:ascii="Calibri" w:hAnsi="Calibri"/>
            <w:sz w:val="22"/>
            <w:szCs w:val="22"/>
          </w:rPr>
          <w:tab/>
        </w:r>
        <w:r>
          <w:rPr>
            <w:rStyle w:val="1126"/>
            <w:b/>
            <w:bCs/>
            <w:sz w:val="22"/>
          </w:rPr>
          <w:t xml:space="preserve">Дистанционное банковское обслуживание (ДБО)</w:t>
        </w:r>
        <w:r>
          <w:rPr>
            <w:rStyle w:val="1126"/>
            <w:b/>
            <w:bCs/>
            <w:sz w:val="22"/>
          </w:rPr>
          <w:tab/>
        </w:r>
      </w:hyperlink>
      <w:r>
        <w:rPr>
          <w:b/>
          <w:bCs/>
          <w:sz w:val="22"/>
        </w:rPr>
        <w:t xml:space="preserve">42</w: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  <w:lang w:val="en-US"/>
        </w:rPr>
      </w:pPr>
      <w:r/>
      <w:hyperlink r:id="rId21" w:tooltip="file:///N:\ВЫДЕЛЕННЫЕ%20РЕСУРСЫ\Тарифы\Тарифы%20ЮЛ%202023\Тарифы%20ЮЛ%20изм%20№%20119%20с%2001.10.2023\Новая%20папка\Тар.%20юр.лица%20Тульский%20РФ_%2006-10-23.docx#_Toc64472184" w:anchor="_Toc64472184" w:history="1">
        <w:r>
          <w:rPr>
            <w:rStyle w:val="1126"/>
            <w:b/>
            <w:bCs/>
            <w:sz w:val="22"/>
          </w:rPr>
          <w:t xml:space="preserve">8.</w:t>
        </w:r>
        <w:r>
          <w:rPr>
            <w:rStyle w:val="1126"/>
            <w:rFonts w:ascii="Calibri" w:hAnsi="Calibri"/>
            <w:sz w:val="22"/>
            <w:szCs w:val="22"/>
          </w:rPr>
          <w:tab/>
        </w:r>
        <w:r>
          <w:rPr>
            <w:rStyle w:val="1126"/>
            <w:b/>
            <w:bCs/>
            <w:sz w:val="22"/>
          </w:rPr>
          <w:t xml:space="preserve">Хранение ценностей клиентов в хранилище ценностей Банка</w:t>
        </w:r>
        <w:r>
          <w:rPr>
            <w:rStyle w:val="1126"/>
            <w:b/>
            <w:bCs/>
            <w:sz w:val="22"/>
          </w:rPr>
          <w:tab/>
        </w:r>
      </w:hyperlink>
      <w:r>
        <w:rPr>
          <w:rStyle w:val="1126"/>
          <w:b/>
          <w:bCs/>
          <w:sz w:val="22"/>
          <w:lang w:val="en-US"/>
        </w:rPr>
        <w:t xml:space="preserve">48</w:t>
      </w:r>
      <w:r>
        <w:rPr>
          <w:rFonts w:ascii="Calibri" w:hAnsi="Calibri"/>
          <w:sz w:val="22"/>
          <w:szCs w:val="22"/>
          <w:lang w:val="en-US"/>
        </w:rPr>
      </w:r>
      <w:r>
        <w:rPr>
          <w:rFonts w:ascii="Calibri" w:hAnsi="Calibri"/>
          <w:sz w:val="22"/>
          <w:szCs w:val="22"/>
          <w:lang w:val="en-US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  <w:lang w:val="en-US"/>
        </w:rPr>
      </w:pPr>
      <w:r/>
      <w:hyperlink r:id="rId22" w:tooltip="file:///N:\ВЫДЕЛЕННЫЕ%20РЕСУРСЫ\Тарифы\Тарифы%20ЮЛ%202023\Тарифы%20ЮЛ%20изм%20№%20119%20с%2001.10.2023\Новая%20папка\Тар.%20юр.лица%20Тульский%20РФ_%2006-10-23.docx#_Toc64472185" w:anchor="_Toc64472185" w:history="1">
        <w:r>
          <w:rPr>
            <w:rStyle w:val="1126"/>
            <w:b/>
            <w:bCs/>
            <w:sz w:val="22"/>
          </w:rPr>
          <w:t xml:space="preserve">9.</w:t>
        </w:r>
        <w:r>
          <w:rPr>
            <w:rStyle w:val="1126"/>
            <w:rFonts w:ascii="Calibri" w:hAnsi="Calibri"/>
            <w:sz w:val="22"/>
            <w:szCs w:val="22"/>
          </w:rPr>
          <w:tab/>
        </w:r>
        <w:r>
          <w:rPr>
            <w:rStyle w:val="1126"/>
            <w:b/>
            <w:bCs/>
            <w:sz w:val="22"/>
          </w:rPr>
          <w:t xml:space="preserve">Операции по предоставлению клиентам в аренду индивидуальных сейфовых ячеек</w:t>
        </w:r>
        <w:r>
          <w:rPr>
            <w:rStyle w:val="1126"/>
            <w:b/>
            <w:bCs/>
            <w:sz w:val="22"/>
          </w:rPr>
          <w:tab/>
        </w:r>
      </w:hyperlink>
      <w:r>
        <w:rPr>
          <w:rStyle w:val="1126"/>
          <w:b/>
          <w:bCs/>
          <w:sz w:val="22"/>
          <w:lang w:val="en-US"/>
        </w:rPr>
        <w:t xml:space="preserve">49</w:t>
      </w:r>
      <w:r>
        <w:rPr>
          <w:rFonts w:ascii="Calibri" w:hAnsi="Calibri"/>
          <w:sz w:val="22"/>
          <w:szCs w:val="22"/>
          <w:lang w:val="en-US"/>
        </w:rPr>
      </w:r>
      <w:r>
        <w:rPr>
          <w:rFonts w:ascii="Calibri" w:hAnsi="Calibri"/>
          <w:sz w:val="22"/>
          <w:szCs w:val="22"/>
          <w:lang w:val="en-US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</w:rPr>
      </w:pPr>
      <w:r/>
      <w:hyperlink r:id="rId23" w:tooltip="file:///N:\ВЫДЕЛЕННЫЕ%20РЕСУРСЫ\Тарифы\Тарифы%20ЮЛ%202023\Тарифы%20ЮЛ%20изм%20№%20119%20с%2001.10.2023\Новая%20папка\Тар.%20юр.лица%20Тульский%20РФ_%2006-10-23.docx#_Toc64472186" w:anchor="_Toc64472186" w:history="1">
        <w:r>
          <w:rPr>
            <w:rStyle w:val="1126"/>
            <w:b/>
            <w:bCs/>
            <w:sz w:val="22"/>
          </w:rPr>
          <w:t xml:space="preserve">10.</w:t>
        </w:r>
        <w:r>
          <w:rPr>
            <w:rStyle w:val="1126"/>
            <w:rFonts w:ascii="Calibri" w:hAnsi="Calibri"/>
            <w:sz w:val="22"/>
            <w:szCs w:val="22"/>
          </w:rPr>
          <w:tab/>
        </w:r>
        <w:r>
          <w:rPr>
            <w:rStyle w:val="1126"/>
            <w:b/>
            <w:bCs/>
            <w:sz w:val="22"/>
          </w:rPr>
          <w:t xml:space="preserve">Услуги инкассации</w:t>
        </w:r>
        <w:r>
          <w:rPr>
            <w:rStyle w:val="1126"/>
            <w:b/>
            <w:bCs/>
            <w:sz w:val="22"/>
          </w:rPr>
          <w:tab/>
        </w:r>
      </w:hyperlink>
      <w:r>
        <w:rPr>
          <w:b/>
          <w:bCs/>
          <w:sz w:val="22"/>
        </w:rPr>
        <w:t xml:space="preserve">50</w: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  <w:lang w:val="en-US"/>
        </w:rPr>
      </w:pPr>
      <w:r/>
      <w:hyperlink r:id="rId24" w:tooltip="file:///N:\ВЫДЕЛЕННЫЕ%20РЕСУРСЫ\Тарифы\Тарифы%20ЮЛ%202023\Тарифы%20ЮЛ%20изм%20№%20119%20с%2001.10.2023\Новая%20папка\Тар.%20юр.лица%20Тульский%20РФ_%2006-10-23.docx#_Toc64472187" w:anchor="_Toc64472187" w:history="1">
        <w:r>
          <w:rPr>
            <w:rStyle w:val="1126"/>
            <w:b/>
            <w:bCs/>
            <w:sz w:val="22"/>
          </w:rPr>
          <w:t xml:space="preserve">11.</w:t>
        </w:r>
        <w:r>
          <w:rPr>
            <w:rStyle w:val="1126"/>
            <w:rFonts w:ascii="Calibri" w:hAnsi="Calibri"/>
            <w:sz w:val="22"/>
            <w:szCs w:val="22"/>
          </w:rPr>
          <w:tab/>
        </w:r>
        <w:r>
          <w:rPr>
            <w:rStyle w:val="1126"/>
            <w:b/>
            <w:bCs/>
            <w:sz w:val="22"/>
          </w:rPr>
          <w:t xml:space="preserve">Операции по покупке-продаже иностранной валюты¹</w:t>
        </w:r>
        <w:r>
          <w:rPr>
            <w:rStyle w:val="1126"/>
            <w:b/>
            <w:bCs/>
            <w:sz w:val="22"/>
          </w:rPr>
          <w:tab/>
        </w:r>
      </w:hyperlink>
      <w:r>
        <w:rPr>
          <w:rStyle w:val="1126"/>
          <w:b/>
          <w:bCs/>
          <w:sz w:val="22"/>
          <w:lang w:val="en-US"/>
        </w:rPr>
        <w:t xml:space="preserve">51</w:t>
      </w:r>
      <w:r>
        <w:rPr>
          <w:rFonts w:ascii="Calibri" w:hAnsi="Calibri"/>
          <w:sz w:val="22"/>
          <w:szCs w:val="22"/>
          <w:lang w:val="en-US"/>
        </w:rPr>
      </w:r>
      <w:r>
        <w:rPr>
          <w:rFonts w:ascii="Calibri" w:hAnsi="Calibri"/>
          <w:sz w:val="22"/>
          <w:szCs w:val="22"/>
          <w:lang w:val="en-US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</w:rPr>
      </w:pPr>
      <w:r/>
      <w:hyperlink r:id="rId25" w:tooltip="file:///N:\ВЫДЕЛЕННЫЕ%20РЕСУРСЫ\Тарифы\Тарифы%20ЮЛ%202023\Тарифы%20ЮЛ%20изм%20№%20119%20с%2001.10.2023\Новая%20папка\Тар.%20юр.лица%20Тульский%20РФ_%2006-10-23.docx#_Toc64472188" w:anchor="_Toc64472188" w:history="1">
        <w:r>
          <w:rPr>
            <w:rStyle w:val="1126"/>
            <w:b/>
            <w:bCs/>
            <w:sz w:val="22"/>
          </w:rPr>
          <w:t xml:space="preserve">12.</w:t>
        </w:r>
        <w:r>
          <w:rPr>
            <w:rStyle w:val="1126"/>
            <w:rFonts w:ascii="Calibri" w:hAnsi="Calibri"/>
            <w:sz w:val="22"/>
            <w:szCs w:val="22"/>
          </w:rPr>
          <w:tab/>
        </w:r>
        <w:r>
          <w:rPr>
            <w:rStyle w:val="1126"/>
            <w:b/>
            <w:bCs/>
            <w:sz w:val="22"/>
          </w:rPr>
          <w:t xml:space="preserve">Кредитные операции</w:t>
        </w:r>
        <w:r>
          <w:rPr>
            <w:rStyle w:val="1126"/>
            <w:b/>
            <w:bCs/>
            <w:sz w:val="22"/>
          </w:rPr>
          <w:tab/>
        </w:r>
      </w:hyperlink>
      <w:r>
        <w:rPr>
          <w:b/>
          <w:bCs/>
          <w:sz w:val="22"/>
        </w:rPr>
        <w:t xml:space="preserve">52</w: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  <w:lang w:val="en-US"/>
        </w:rPr>
      </w:pPr>
      <w:r/>
      <w:hyperlink r:id="rId26" w:tooltip="file:///N:\ВЫДЕЛЕННЫЕ%20РЕСУРСЫ\Тарифы\Тарифы%20ЮЛ%202023\Тарифы%20ЮЛ%20изм%20№%20119%20с%2001.10.2023\Новая%20папка\Тар.%20юр.лица%20Тульский%20РФ_%2006-10-23.docx#_Toc64472189" w:anchor="_Toc64472189" w:history="1">
        <w:r>
          <w:rPr>
            <w:rStyle w:val="1126"/>
            <w:b/>
            <w:bCs/>
            <w:sz w:val="22"/>
          </w:rPr>
          <w:t xml:space="preserve">13.</w:t>
        </w:r>
        <w:r>
          <w:rPr>
            <w:rStyle w:val="1126"/>
            <w:rFonts w:ascii="Calibri" w:hAnsi="Calibri"/>
            <w:sz w:val="22"/>
            <w:szCs w:val="22"/>
          </w:rPr>
          <w:tab/>
        </w:r>
        <w:r>
          <w:rPr>
            <w:rStyle w:val="1126"/>
            <w:b/>
            <w:bCs/>
            <w:sz w:val="22"/>
          </w:rPr>
          <w:t xml:space="preserve">Обслуживание торгово-сервисных предприятий*, принимающих к оплате платежные карты</w:t>
        </w:r>
        <w:r>
          <w:rPr>
            <w:rStyle w:val="1126"/>
            <w:b/>
            <w:bCs/>
            <w:sz w:val="22"/>
          </w:rPr>
          <w:tab/>
        </w:r>
      </w:hyperlink>
      <w:r>
        <w:rPr>
          <w:rStyle w:val="1126"/>
          <w:b/>
          <w:bCs/>
          <w:sz w:val="22"/>
          <w:lang w:val="en-US"/>
        </w:rPr>
        <w:t xml:space="preserve">63</w:t>
      </w:r>
      <w:r>
        <w:rPr>
          <w:rFonts w:ascii="Calibri" w:hAnsi="Calibri"/>
          <w:sz w:val="22"/>
          <w:szCs w:val="22"/>
          <w:lang w:val="en-US"/>
        </w:rPr>
      </w:r>
      <w:r>
        <w:rPr>
          <w:rFonts w:ascii="Calibri" w:hAnsi="Calibri"/>
          <w:sz w:val="22"/>
          <w:szCs w:val="22"/>
          <w:lang w:val="en-US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  <w:lang w:val="en-US"/>
        </w:rPr>
      </w:pPr>
      <w:r/>
      <w:hyperlink r:id="rId27" w:tooltip="file:///N:\ВЫДЕЛЕННЫЕ%20РЕСУРСЫ\Тарифы\Тарифы%20ЮЛ%202023\Тарифы%20ЮЛ%20изм%20№%20119%20с%2001.10.2023\Новая%20папка\Тар.%20юр.лица%20Тульский%20РФ_%2006-10-23.docx#_Toc64472190" w:anchor="_Toc64472190" w:history="1">
        <w:r>
          <w:rPr>
            <w:rStyle w:val="1126"/>
            <w:b/>
            <w:bCs/>
            <w:sz w:val="22"/>
          </w:rPr>
          <w:t xml:space="preserve">14.</w:t>
        </w:r>
        <w:r>
          <w:rPr>
            <w:rStyle w:val="1126"/>
            <w:rFonts w:ascii="Calibri" w:hAnsi="Calibri"/>
            <w:sz w:val="22"/>
            <w:szCs w:val="22"/>
          </w:rPr>
          <w:tab/>
        </w:r>
        <w:r>
          <w:rPr>
            <w:rStyle w:val="1126"/>
            <w:b/>
            <w:bCs/>
            <w:sz w:val="22"/>
          </w:rPr>
          <w:t xml:space="preserve">Депозитарные услуги </w:t>
        </w:r>
        <w:r>
          <w:rPr>
            <w:rStyle w:val="1126"/>
            <w:b/>
            <w:bCs/>
            <w:sz w:val="22"/>
          </w:rPr>
          <w:tab/>
        </w:r>
      </w:hyperlink>
      <w:r>
        <w:rPr>
          <w:rStyle w:val="1126"/>
          <w:b/>
          <w:bCs/>
          <w:sz w:val="22"/>
          <w:lang w:val="en-US"/>
        </w:rPr>
        <w:t xml:space="preserve">65</w:t>
      </w:r>
      <w:r>
        <w:rPr>
          <w:rFonts w:ascii="Calibri" w:hAnsi="Calibri"/>
          <w:sz w:val="22"/>
          <w:szCs w:val="22"/>
          <w:lang w:val="en-US"/>
        </w:rPr>
      </w:r>
      <w:r>
        <w:rPr>
          <w:rFonts w:ascii="Calibri" w:hAnsi="Calibri"/>
          <w:sz w:val="22"/>
          <w:szCs w:val="22"/>
          <w:lang w:val="en-US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</w:rPr>
      </w:pPr>
      <w:r/>
      <w:hyperlink r:id="rId28" w:tooltip="file:///N:\ВЫДЕЛЕННЫЕ%20РЕСУРСЫ\Тарифы\Тарифы%20ЮЛ%202023\Тарифы%20ЮЛ%20изм%20№%20119%20с%2001.10.2023\Новая%20папка\Тар.%20юр.лица%20Тульский%20РФ_%2006-10-23.docx#_Toc64472191" w:anchor="_Toc64472191" w:history="1">
        <w:r>
          <w:rPr>
            <w:rStyle w:val="1126"/>
            <w:b/>
            <w:bCs/>
            <w:sz w:val="22"/>
          </w:rPr>
          <w:t xml:space="preserve">15.</w:t>
        </w:r>
        <w:r>
          <w:rPr>
            <w:rStyle w:val="1126"/>
            <w:rFonts w:ascii="Calibri" w:hAnsi="Calibri"/>
            <w:sz w:val="22"/>
            <w:szCs w:val="22"/>
          </w:rPr>
          <w:tab/>
        </w:r>
        <w:r>
          <w:rPr>
            <w:rStyle w:val="1126"/>
            <w:b/>
            <w:bCs/>
            <w:sz w:val="22"/>
          </w:rPr>
          <w:t xml:space="preserve">Операции с монетами из драгоценных металлов</w:t>
        </w:r>
        <w:r>
          <w:rPr>
            <w:rStyle w:val="1126"/>
            <w:b/>
            <w:bCs/>
            <w:sz w:val="22"/>
          </w:rPr>
          <w:tab/>
        </w:r>
        <w:r>
          <w:rPr>
            <w:rStyle w:val="1126"/>
            <w:b/>
            <w:bCs/>
            <w:sz w:val="22"/>
            <w:lang w:val="en-US"/>
          </w:rPr>
          <w:t xml:space="preserve">69</w:t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</w:rPr>
      </w:pPr>
      <w:r/>
      <w:hyperlink r:id="rId29" w:tooltip="file:///N:\ВЫДЕЛЕННЫЕ%20РЕСУРСЫ\Тарифы\Тарифы%20ЮЛ%202023\Тарифы%20ЮЛ%20изм%20№%20119%20с%2001.10.2023\Новая%20папка\Тар.%20юр.лица%20Тульский%20РФ_%2006-10-23.docx#_Toc64472192" w:anchor="_Toc64472192" w:history="1">
        <w:r>
          <w:rPr>
            <w:rStyle w:val="1126"/>
            <w:b/>
            <w:bCs/>
            <w:sz w:val="22"/>
          </w:rPr>
          <w:t xml:space="preserve">16.</w:t>
        </w:r>
        <w:r>
          <w:rPr>
            <w:rStyle w:val="1126"/>
            <w:rFonts w:ascii="Calibri" w:hAnsi="Calibri"/>
            <w:sz w:val="22"/>
            <w:szCs w:val="22"/>
          </w:rPr>
          <w:tab/>
        </w:r>
        <w:r>
          <w:rPr>
            <w:rStyle w:val="1126"/>
            <w:b/>
            <w:bCs/>
            <w:sz w:val="22"/>
          </w:rPr>
          <w:t xml:space="preserve">Операции с драгоценными металлами</w:t>
        </w:r>
        <w:r>
          <w:rPr>
            <w:rStyle w:val="1126"/>
            <w:b/>
            <w:bCs/>
            <w:sz w:val="22"/>
          </w:rPr>
          <w:tab/>
        </w:r>
        <w:r>
          <w:rPr>
            <w:rStyle w:val="1126"/>
            <w:b/>
            <w:bCs/>
            <w:sz w:val="22"/>
            <w:lang w:val="en-US"/>
          </w:rPr>
          <w:t xml:space="preserve">70</w:t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b/>
          <w:bCs/>
          <w:sz w:val="22"/>
        </w:rPr>
      </w:pPr>
      <w:r/>
      <w:hyperlink r:id="rId30" w:tooltip="file:///N:\ВЫДЕЛЕННЫЕ%20РЕСУРСЫ\Тарифы\Тарифы%20ЮЛ%202023\Тарифы%20ЮЛ%20изм%20№%20119%20с%2001.10.2023\Новая%20папка\Тар.%20юр.лица%20Тульский%20РФ_%2006-10-23.docx#_Toc64472193" w:anchor="_Toc64472193" w:history="1">
        <w:r>
          <w:rPr>
            <w:rStyle w:val="1126"/>
            <w:b/>
            <w:bCs/>
            <w:sz w:val="22"/>
          </w:rPr>
          <w:t xml:space="preserve">17. Обслуживание с использованием Торговой системы  РСХБ-Дилинг АО «Россельхозбанк», Торговой системы РСХБ-Дилинг 2.0</w:t>
        </w:r>
        <w:r>
          <w:rPr>
            <w:rStyle w:val="1126"/>
            <w:b/>
            <w:bCs/>
            <w:sz w:val="22"/>
          </w:rPr>
          <w:tab/>
        </w:r>
      </w:hyperlink>
      <w:r>
        <w:rPr>
          <w:rStyle w:val="1126"/>
          <w:b/>
          <w:bCs/>
          <w:sz w:val="22"/>
        </w:rPr>
        <w:t xml:space="preserve">71</w:t>
      </w:r>
      <w:r>
        <w:rPr>
          <w:rStyle w:val="1126"/>
          <w:b/>
          <w:bCs/>
          <w:sz w:val="22"/>
        </w:rPr>
      </w:r>
      <w:r>
        <w:rPr>
          <w:rStyle w:val="1126"/>
          <w:b/>
          <w:bCs/>
          <w:sz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</w:pPr>
      <w:r>
        <w:rPr>
          <w:rStyle w:val="1126"/>
          <w:b/>
          <w:bCs/>
          <w:sz w:val="22"/>
        </w:rPr>
        <w:t xml:space="preserve">18. Операции с использованием цифрового рубля</w:t>
      </w:r>
      <w:r>
        <w:rPr>
          <w:bCs/>
          <w:color w:val="0000ff"/>
          <w:u w:val="single"/>
        </w:rPr>
        <w:fldChar w:fldCharType="end"/>
      </w:r>
      <w:r>
        <w:rPr>
          <w:bCs/>
          <w:color w:val="0000ff"/>
          <w:u w:val="single"/>
        </w:rPr>
        <w:t xml:space="preserve">…………………………………………………..73</w:t>
      </w:r>
      <w:r/>
      <w:r/>
    </w:p>
    <w:p>
      <w:r/>
      <w:r/>
      <w:r/>
    </w:p>
    <w:p>
      <w:r/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</w:p>
    <w:p>
      <w:r/>
      <w:r/>
    </w:p>
    <w:p>
      <w:r/>
      <w:r/>
    </w:p>
    <w:p>
      <w:pPr>
        <w:pStyle w:val="1112"/>
        <w:rPr>
          <w:sz w:val="26"/>
          <w:szCs w:val="26"/>
        </w:rPr>
      </w:pPr>
      <w:r>
        <w:rPr>
          <w:sz w:val="26"/>
          <w:szCs w:val="26"/>
        </w:rPr>
        <w:t xml:space="preserve">ТАРИФЫ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12"/>
        <w:rPr>
          <w:sz w:val="26"/>
          <w:szCs w:val="26"/>
        </w:rPr>
      </w:pPr>
      <w:r>
        <w:rPr>
          <w:sz w:val="26"/>
          <w:szCs w:val="26"/>
        </w:rPr>
        <w:t xml:space="preserve">КОМИССИОННОГО ВОЗНАГРАЖДЕНИЯ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12"/>
        <w:rPr>
          <w:sz w:val="26"/>
          <w:szCs w:val="26"/>
        </w:rPr>
      </w:pPr>
      <w:r>
        <w:rPr>
          <w:sz w:val="26"/>
          <w:szCs w:val="26"/>
        </w:rPr>
        <w:t xml:space="preserve">НА УСЛУГИ ТУЛЬСКОГО РЕГИОНАЛЬНОГО ФИЛИАЛА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</w:pPr>
      <w:r>
        <w:rPr>
          <w:b/>
          <w:sz w:val="26"/>
          <w:szCs w:val="26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/>
    </w:p>
    <w:p>
      <w:r/>
      <w:r/>
    </w:p>
    <w:p>
      <w:pPr>
        <w:pStyle w:val="1110"/>
        <w:numPr>
          <w:ilvl w:val="0"/>
          <w:numId w:val="2"/>
        </w:numPr>
      </w:pPr>
      <w:r>
        <w:t xml:space="preserve">Открытие</w:t>
      </w:r>
      <w:r>
        <w:t xml:space="preserve"> </w:t>
      </w:r>
      <w:r>
        <w:t xml:space="preserve">и</w:t>
      </w:r>
      <w:r>
        <w:t xml:space="preserve"> </w:t>
      </w:r>
      <w:r>
        <w:t xml:space="preserve">веде</w:t>
      </w:r>
      <w:r>
        <w:t xml:space="preserve">ние</w:t>
      </w:r>
      <w:r>
        <w:t xml:space="preserve"> </w:t>
      </w:r>
      <w:r>
        <w:t xml:space="preserve">счетов</w:t>
      </w:r>
      <w:bookmarkEnd w:id="0"/>
      <w:r/>
      <w:r/>
    </w:p>
    <w:tbl>
      <w:tblPr>
        <w:tblW w:w="1034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1985"/>
        <w:gridCol w:w="3401"/>
      </w:tblGrid>
      <w:tr>
        <w:tblPrEx/>
        <w:trPr>
          <w:trHeight w:val="233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Открытие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ведение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рублях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РФ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71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51"/>
              <w:numPr>
                <w:ilvl w:val="0"/>
                <w:numId w:val="10"/>
              </w:numPr>
              <w:contextualSpacing/>
              <w:ind w:left="0" w:firstLine="0"/>
              <w:jc w:val="both"/>
              <w:tabs>
                <w:tab w:val="left" w:pos="44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51"/>
              <w:numPr>
                <w:ilvl w:val="0"/>
                <w:numId w:val="10"/>
              </w:numPr>
              <w:contextualSpacing/>
              <w:ind w:left="0" w:firstLine="0"/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Подписание с клиентом договора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Cs/>
                <w:sz w:val="20"/>
                <w:szCs w:val="20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, заключенного с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</w:t>
            </w:r>
            <w:r>
              <w:rPr>
                <w:bCs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клиентам, включенным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клиентам</w:t>
            </w:r>
            <w:r>
              <w:rPr>
                <w:sz w:val="20"/>
                <w:szCs w:val="20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Style w:val="1122"/>
                <w:bCs/>
                <w:sz w:val="20"/>
                <w:szCs w:val="20"/>
              </w:rPr>
              <w:footnoteReference w:id="2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для зачисления возмещения по операциям с использованием платежных карт в рамках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</w:t>
            </w:r>
            <w:r>
              <w:rPr>
                <w:sz w:val="20"/>
                <w:szCs w:val="20"/>
              </w:rPr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  <w:t xml:space="preserve">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подаче заявления: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-клиентами, включенными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клиентами, заключившими договор специального банковского счета для формирования фонда капитального ремонта в рамках требований Жилищного кодекса РФ от 29.12.2004 № 188-ФЗ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клиентами, заключившими договор номинального банковского счета, открываемого организациям, на которые возлагается исполнение обязанностей опекунов или попечителей,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клиентами, в отношении которых введена процедура конкурсного производства в соответствии с ФЗ «О несостоятельности (банкротстве) № 127-ФЗ.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закрытии счета, в связи с применением Банком права расторжения договора банковского счета в одностороннем порядке по причине отсутствия  движения и остатка денежных средств на счете в течение двух лет.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Комиссия не взимается  при закрытии счета Банком в одностороннем порядке, в связи с исключением организации/индивидуального предпринимателя из ЕГРЮЛ/ЕГРИП.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включенных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</w:t>
            </w:r>
            <w:r>
              <w:rPr>
                <w:sz w:val="20"/>
                <w:szCs w:val="20"/>
              </w:rPr>
              <w:t xml:space="preserve">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  <w:sz w:val="20"/>
                <w:szCs w:val="20"/>
              </w:rPr>
              <w:br/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bCs/>
                <w:sz w:val="20"/>
                <w:szCs w:val="20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</w:t>
            </w:r>
            <w:r>
              <w:rPr>
                <w:sz w:val="20"/>
                <w:szCs w:val="20"/>
              </w:rPr>
              <w:t xml:space="preserve">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 </w:t>
            </w:r>
            <w:r>
              <w:rPr>
                <w:bCs/>
                <w:sz w:val="20"/>
                <w:szCs w:val="20"/>
              </w:rPr>
              <w:t xml:space="preserve">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трех</w:t>
            </w:r>
            <w:r>
              <w:rPr>
                <w:sz w:val="20"/>
                <w:szCs w:val="20"/>
              </w:rPr>
              <w:t xml:space="preserve">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четвертого</w:t>
            </w:r>
            <w:r>
              <w:rPr>
                <w:sz w:val="20"/>
                <w:szCs w:val="20"/>
              </w:rPr>
              <w:t xml:space="preserve">) календарного месяца при отсутствии операций по счету комиссия взимается в установленном размере согласно п. 1.1.3,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Style w:val="1122"/>
                <w:bCs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открытого для зачисления возмещения по операциям с использованием платежных карт в рамках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</w:t>
            </w:r>
            <w:r>
              <w:rPr>
                <w:sz w:val="20"/>
                <w:szCs w:val="20"/>
              </w:rPr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51"/>
              <w:numPr>
                <w:ilvl w:val="0"/>
                <w:numId w:val="1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в </w:t>
            </w:r>
            <w:r>
              <w:rPr>
                <w:sz w:val="20"/>
                <w:szCs w:val="20"/>
              </w:rPr>
              <w:t xml:space="preserve">Банке </w:t>
            </w:r>
            <w:r>
              <w:rPr>
                <w:bCs/>
                <w:sz w:val="20"/>
                <w:szCs w:val="20"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 (бизнес-карта </w:t>
            </w:r>
            <w:r>
              <w:rPr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51"/>
              <w:numPr>
                <w:ilvl w:val="0"/>
                <w:numId w:val="1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действующего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с </w:t>
            </w:r>
            <w:r>
              <w:rPr>
                <w:sz w:val="20"/>
                <w:szCs w:val="20"/>
              </w:rPr>
              <w:t xml:space="preserve">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51"/>
              <w:numPr>
                <w:ilvl w:val="0"/>
                <w:numId w:val="1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процентов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остатки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согласованию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дополнительным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соглашением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банковского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</w:t>
            </w:r>
            <w:r>
              <w:rPr>
                <w:sz w:val="20"/>
                <w:szCs w:val="20"/>
              </w:rPr>
              <w:t xml:space="preserve">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</w:t>
            </w:r>
            <w:r>
              <w:rPr>
                <w:sz w:val="20"/>
                <w:szCs w:val="20"/>
              </w:rPr>
              <w:t xml:space="preserve">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</w:t>
            </w:r>
            <w:r>
              <w:rPr>
                <w:sz w:val="20"/>
                <w:szCs w:val="20"/>
              </w:rPr>
              <w:t xml:space="preserve">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</w:t>
            </w:r>
            <w:r>
              <w:rPr>
                <w:sz w:val="20"/>
                <w:szCs w:val="20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до 100 млн.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свыше 100 млн.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и/или в других кредитных организациях, взимается в соответствии с п. 1.1.8 Тарифов</w:t>
            </w:r>
            <w:r>
              <w:t xml:space="preserve">.</w:t>
            </w:r>
            <w:r/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исполнении: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оплате страховых взносов на счета Фонда</w:t>
            </w:r>
            <w:r>
              <w:rPr>
                <w:sz w:val="20"/>
                <w:szCs w:val="20"/>
              </w:rPr>
              <w:t xml:space="preserve"> пенсионного и</w:t>
            </w:r>
            <w:r>
              <w:rPr>
                <w:sz w:val="20"/>
                <w:szCs w:val="20"/>
              </w:rPr>
              <w:t xml:space="preserve">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счетам клиентов, </w:t>
            </w:r>
            <w:r>
              <w:rPr>
                <w:sz w:val="20"/>
                <w:szCs w:val="20"/>
              </w:rPr>
              <w:t xml:space="preserve">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сделкам***, в отношении которых введена любая </w:t>
            </w:r>
            <w:r>
              <w:rPr>
                <w:sz w:val="20"/>
                <w:szCs w:val="20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 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</w:t>
            </w:r>
            <w:r>
              <w:rPr>
                <w:sz w:val="20"/>
                <w:szCs w:val="20"/>
              </w:rPr>
              <w:t xml:space="preserve">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bCs/>
                <w:sz w:val="20"/>
                <w:szCs w:val="20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0"/>
                <w:szCs w:val="20"/>
              </w:rPr>
              <w:t xml:space="preserve">из-за отсутствия денежн</w:t>
            </w:r>
            <w:r>
              <w:rPr>
                <w:sz w:val="20"/>
                <w:szCs w:val="20"/>
              </w:rPr>
              <w:t xml:space="preserve">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</w:t>
            </w:r>
            <w:r>
              <w:rPr>
                <w:sz w:val="20"/>
                <w:szCs w:val="20"/>
              </w:rPr>
              <w:t xml:space="preserve">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0 руб. 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 дополнительного соглашения к договору банковского счета, сост</w:t>
            </w:r>
            <w:r>
              <w:rPr>
                <w:sz w:val="20"/>
                <w:szCs w:val="20"/>
              </w:rPr>
              <w:t xml:space="preserve">оящего из Условий проведения в </w:t>
            </w: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операций по срочному </w:t>
            </w:r>
            <w:r>
              <w:rPr>
                <w:sz w:val="20"/>
                <w:szCs w:val="20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</w:t>
            </w:r>
            <w:r>
              <w:rPr>
                <w:sz w:val="20"/>
                <w:szCs w:val="20"/>
              </w:rPr>
              <w:t xml:space="preserve">т.ч</w:t>
            </w:r>
            <w:r>
              <w:rPr>
                <w:sz w:val="20"/>
                <w:szCs w:val="20"/>
              </w:rPr>
              <w:t xml:space="preserve">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</w:t>
            </w:r>
            <w:r>
              <w:rPr>
                <w:rFonts w:eastAsia="Calibri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 п. 1.1.5 Тарифов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1.1.7.1.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sz w:val="22"/>
                <w:szCs w:val="22"/>
              </w:rPr>
              <w:t xml:space="preserve">субъектов Российской Федерации, муниципальных образований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согласованию сторон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Оформляется отдельным договором либо дополнительным соглашением к договору банковского счета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и/или </w:t>
            </w:r>
            <w:r>
              <w:rPr>
                <w:sz w:val="20"/>
                <w:szCs w:val="20"/>
              </w:rPr>
              <w:br/>
              <w:t xml:space="preserve">в других кредитных организациях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руб. </w:t>
            </w:r>
            <w:r>
              <w:rPr>
                <w:sz w:val="20"/>
                <w:szCs w:val="20"/>
              </w:rPr>
              <w:br/>
              <w:t xml:space="preserve">при ОБЩЕЙ СУММЕ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1%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150 000,01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300 000,00 руб. (включительно);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1,7%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/>
              <w:t xml:space="preserve">до 2 000 000,00 руб. (включительно);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3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  <w:br/>
              <w:t xml:space="preserve">до 5 000 000,00 руб. (включительно);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6% от суммы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5 000 000,00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 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</w:t>
            </w:r>
            <w:r>
              <w:rPr>
                <w:sz w:val="20"/>
                <w:szCs w:val="20"/>
              </w:rPr>
              <w:br/>
              <w:t xml:space="preserve">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на счета кредитных организаций </w:t>
            </w:r>
            <w:r>
              <w:rPr>
                <w:sz w:val="20"/>
                <w:szCs w:val="20"/>
              </w:rPr>
              <w:br/>
              <w:t xml:space="preserve">с балансо</w:t>
            </w:r>
            <w:r>
              <w:rPr>
                <w:sz w:val="20"/>
                <w:szCs w:val="20"/>
              </w:rPr>
              <w:t xml:space="preserve">вой позицией 30102, 30109,</w:t>
            </w:r>
            <w:r>
              <w:rPr>
                <w:sz w:val="20"/>
                <w:szCs w:val="20"/>
              </w:rPr>
              <w:t xml:space="preserve"> 30232, 30301, 30302, 47422 для последующего зачисления денежных средств на счета физических лиц.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 При осуществлении следующих операций комиссия взимается согласно п. 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перевод денежных средств </w:t>
            </w:r>
            <w:r>
              <w:rPr>
                <w:sz w:val="20"/>
                <w:szCs w:val="20"/>
              </w:rPr>
              <w:br/>
              <w:t xml:space="preserve">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перечисление заработной платы </w:t>
            </w:r>
            <w:r>
              <w:rPr>
                <w:sz w:val="20"/>
                <w:szCs w:val="20"/>
              </w:rPr>
              <w:br/>
              <w:t xml:space="preserve">и приравненных к ней платежей </w:t>
            </w:r>
            <w:r>
              <w:rPr>
                <w:sz w:val="20"/>
                <w:szCs w:val="20"/>
              </w:rPr>
              <w:br/>
              <w:t xml:space="preserve">(вне рамок отдельных договоров/дополнительных соглашений к договору банковского счета, заключенных клиентами </w:t>
            </w:r>
            <w:r>
              <w:rPr>
                <w:sz w:val="20"/>
                <w:szCs w:val="20"/>
              </w:rPr>
              <w:br/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перечисление дохода лицам,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</w:t>
            </w:r>
            <w:r>
              <w:rPr>
                <w:sz w:val="20"/>
                <w:szCs w:val="20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 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</w:t>
            </w:r>
            <w:r>
              <w:rPr>
                <w:sz w:val="20"/>
                <w:szCs w:val="20"/>
              </w:rPr>
              <w:t xml:space="preserve">ьких оснований для перевода денежных средств, комиссионное вознаграждение взимается согласно п. 1.1.5 Тарифов только в том случае, если все указанные в поле «Назначение платежа» основания соответствуют операциям, перечисленным в п. 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 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с номинального банковского счета, открываемого организациям, </w:t>
            </w:r>
            <w:r>
              <w:rPr>
                <w:sz w:val="20"/>
                <w:szCs w:val="20"/>
              </w:rPr>
              <w:br/>
              <w:t xml:space="preserve">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в благотворительных целях (при наличии решения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 приеме </w:t>
            </w:r>
            <w:r>
              <w:rPr>
                <w:sz w:val="20"/>
                <w:szCs w:val="20"/>
              </w:rPr>
              <w:br/>
              <w:t xml:space="preserve">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br/>
              <w:t xml:space="preserve">в деле о банкротстве в соответствии с Федеральным законом 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 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</w:t>
            </w:r>
            <w:r>
              <w:rPr>
                <w:sz w:val="20"/>
                <w:szCs w:val="20"/>
              </w:rPr>
              <w:br/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комиссионное вознаграждение взимается </w:t>
            </w:r>
            <w:r>
              <w:rPr>
                <w:sz w:val="20"/>
                <w:szCs w:val="20"/>
              </w:rPr>
              <w:br/>
              <w:t xml:space="preserve">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</w:t>
            </w:r>
            <w:r>
              <w:rPr>
                <w:sz w:val="20"/>
                <w:szCs w:val="20"/>
              </w:rPr>
              <w:br/>
              <w:t xml:space="preserve">в текущем календарном месяце </w:t>
            </w:r>
            <w:r>
              <w:rPr>
                <w:sz w:val="20"/>
                <w:szCs w:val="20"/>
              </w:rPr>
              <w:br/>
              <w:t xml:space="preserve">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</w:t>
            </w:r>
            <w:r>
              <w:rPr>
                <w:sz w:val="20"/>
                <w:szCs w:val="20"/>
              </w:rPr>
              <w:br/>
              <w:t xml:space="preserve">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</w:t>
            </w:r>
            <w:r>
              <w:rPr>
                <w:sz w:val="20"/>
                <w:szCs w:val="20"/>
              </w:rPr>
              <w:br/>
              <w:t xml:space="preserve">не учитываются операции, указанные в пунктах 2, 3, 4 настоящего примечания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</w:t>
            </w:r>
            <w:r>
              <w:rPr>
                <w:sz w:val="20"/>
                <w:szCs w:val="20"/>
              </w:rPr>
              <w:t xml:space="preserve">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«Перевод денежных средств со счета клиента на счета физических лиц, открытые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и/или в других кредитных организациях»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00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bCs/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производится бесплатно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(ООО «Мое дело» ИНН </w:t>
            </w:r>
            <w:r>
              <w:rPr>
                <w:sz w:val="20"/>
                <w:szCs w:val="20"/>
              </w:rPr>
              <w:t xml:space="preserve">7701889831</w:t>
            </w:r>
            <w:r>
              <w:rPr>
                <w:sz w:val="20"/>
                <w:szCs w:val="20"/>
              </w:rPr>
              <w:t xml:space="preserve">, ООО </w:t>
            </w:r>
            <w:r>
              <w:rPr>
                <w:sz w:val="20"/>
                <w:szCs w:val="20"/>
              </w:rPr>
              <w:t xml:space="preserve">«Юридические решения» ИНН 9718083320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    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</w:t>
            </w:r>
            <w:r>
              <w:rPr>
                <w:sz w:val="20"/>
                <w:szCs w:val="20"/>
              </w:rPr>
              <w:t xml:space="preserve"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</w:t>
            </w:r>
            <w:r>
              <w:rPr>
                <w:sz w:val="20"/>
                <w:szCs w:val="20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gridSpan w:val="4"/>
            <w:tcBorders>
              <w:bottom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Открытие и ведение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3000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подаче заявления: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клиентами, в отношении которых введена процедура конкурсного производства в соответствии с ФЗ «О несостоятельности (банкротстве) № 127-ФЗ.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закрытии счета, в связи с применением Банком права расторжения договора банковского счета в одностороннем порядке по причине отсутствия движения и остатка денежных средств на счете в течение двух лет.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Комиссия не взимается при закрытии счета Банком в одностороннем порядке, в связи с исключением организации/индивидуального предпринимателя из ЕГРЮЛ/ЕГРИП.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счета, кроме счета в евро и в долларах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bCs/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</w:t>
            </w:r>
            <w:r>
              <w:rPr>
                <w:sz w:val="20"/>
                <w:szCs w:val="20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</w:t>
            </w:r>
            <w:r>
              <w:rPr>
                <w:sz w:val="20"/>
                <w:szCs w:val="20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bCs/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bCs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100 000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2 750</w:t>
            </w:r>
            <w:r>
              <w:rPr>
                <w:sz w:val="20"/>
                <w:szCs w:val="20"/>
              </w:rPr>
              <w:t xml:space="preserve">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</w:t>
            </w:r>
            <w:r>
              <w:rPr>
                <w:sz w:val="20"/>
                <w:szCs w:val="20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</w:t>
            </w:r>
            <w:r>
              <w:rPr>
                <w:sz w:val="20"/>
                <w:szCs w:val="20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bCs/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bCs/>
              </w:rPr>
              <w:t xml:space="preserve">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100 000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0,6% от совокупного среднедневного остатка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1.2.3.3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соответствующей иностранной валюте. Комиссия взимается ежемесячно в последний рабочий день мес</w:t>
            </w:r>
            <w:r>
              <w:rPr>
                <w:sz w:val="20"/>
                <w:szCs w:val="20"/>
              </w:rPr>
              <w:t xml:space="preserve">яца/в день закрытия счета, включая месяц, в котором открыт счет. Комиссия взимается независимо от наличия/отсутствия операций в течение календарного месяца. Комиссия взимается по ставке тарифа, действующей на дату начисления комиссии. Комиссия не взимается</w:t>
            </w:r>
            <w:r>
              <w:rPr>
                <w:sz w:val="20"/>
                <w:szCs w:val="20"/>
              </w:rPr>
              <w:t xml:space="preserve"> если совокупный среднедневной остаток равен нулю. 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</w:t>
            </w:r>
            <w:r>
              <w:rPr>
                <w:sz w:val="20"/>
                <w:szCs w:val="20"/>
              </w:rPr>
              <w:t xml:space="preserve">награждения Банку и на котором имеется доступный остаток, достаточный для оплаты комиссии. При расчете совокупного среднедневного остатка учитываются остатки на расчетном счете в иностранной валюте и соответствующем ему транзитном счете. Совокупный среднед</w:t>
            </w:r>
            <w:r>
              <w:rPr>
                <w:sz w:val="20"/>
                <w:szCs w:val="20"/>
              </w:rPr>
              <w:t xml:space="preserve">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</w:t>
            </w:r>
            <w:r>
              <w:rPr>
                <w:sz w:val="20"/>
                <w:szCs w:val="20"/>
              </w:rPr>
              <w:t xml:space="preserve">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16 http://www.rshb.ru/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</w:t>
            </w:r>
            <w:r>
              <w:rPr>
                <w:sz w:val="20"/>
                <w:szCs w:val="20"/>
              </w:rPr>
              <w:t xml:space="preserve">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99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 Валюта перевода – доллары США.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bCs/>
                <w:sz w:val="20"/>
                <w:szCs w:val="20"/>
              </w:rPr>
              <w:t xml:space="preserve"> Услуга оказывается при наличии технической возможности у Банка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41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ind w:left="3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возврат перевода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 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6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лист, но 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целью 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</w:t>
            </w:r>
            <w:r>
              <w:rPr>
                <w:sz w:val="20"/>
                <w:szCs w:val="20"/>
              </w:rPr>
              <w:t xml:space="preserve">руб.за</w:t>
            </w:r>
            <w:r>
              <w:rPr>
                <w:sz w:val="20"/>
                <w:szCs w:val="20"/>
              </w:rPr>
              <w:t xml:space="preserve">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r>
              <w:rPr>
                <w:sz w:val="20"/>
                <w:szCs w:val="20"/>
              </w:rPr>
              <w:t xml:space="preserve">руб.за</w:t>
            </w:r>
            <w:r>
              <w:rPr>
                <w:sz w:val="20"/>
                <w:szCs w:val="20"/>
              </w:rPr>
              <w:t xml:space="preserve">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9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</w:t>
            </w:r>
            <w:r>
              <w:rPr>
                <w:rFonts w:eastAsia="Calibri"/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286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.3.14.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sz w:val="20"/>
                <w:szCs w:val="2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пп</w:t>
            </w:r>
            <w:r>
              <w:rPr>
                <w:sz w:val="20"/>
                <w:szCs w:val="20"/>
              </w:rPr>
              <w:t xml:space="preserve">. 1.3.1-1.3.3, 1.3.5-1.3.13 Тарифов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2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1.3.15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1080" w:leader="none"/>
        </w:tabs>
        <w:rPr>
          <w:sz w:val="16"/>
          <w:szCs w:val="16"/>
        </w:rPr>
      </w:pPr>
      <w:r>
        <w:rPr>
          <w:iCs/>
          <w:sz w:val="20"/>
          <w:szCs w:val="20"/>
        </w:rPr>
        <w:t xml:space="preserve">* </w:t>
      </w:r>
      <w:r>
        <w:rPr>
          <w:sz w:val="16"/>
          <w:szCs w:val="16"/>
        </w:rPr>
        <w:t xml:space="preserve">Срок действия – до 31 декабря 2025 года (включительно).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pacing w:before="60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** Комиссия по п.1.2.3.3 взимается за ведение счетов в следующих иностранных валютах: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Австралийский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>
        <w:rPr>
          <w:sz w:val="16"/>
          <w:szCs w:val="16"/>
        </w:rPr>
        <w:t xml:space="preserve">Багамский</w:t>
      </w:r>
      <w:r>
        <w:rPr>
          <w:sz w:val="16"/>
          <w:szCs w:val="16"/>
        </w:rPr>
        <w:t xml:space="preserve">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Болгарский лев;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Венгерский форинт;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Вон Республики Корея;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Гонконгский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Датская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Исландская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Канадский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Албанский лек;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Македонский </w:t>
      </w:r>
      <w:r>
        <w:rPr>
          <w:sz w:val="16"/>
          <w:szCs w:val="16"/>
        </w:rPr>
        <w:t xml:space="preserve">денар</w:t>
      </w:r>
      <w:r>
        <w:rPr>
          <w:sz w:val="16"/>
          <w:szCs w:val="16"/>
        </w:rPr>
        <w:t xml:space="preserve">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Новозеландский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Норвежская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Польский злотый;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Румынский лей;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Сингапурский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Украинская гривна;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Фунт стерлингов Соединенного королевства;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Хорватская куна;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Чешская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Шведская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Швейцарский франк;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Японская йена.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121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Под обязательствами перед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по кредитным сделкам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21"/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21"/>
        <w:ind w:firstLine="709"/>
        <w:rPr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по вышеуказанным договорам, в том числе </w:t>
      </w:r>
      <w:r>
        <w:rPr>
          <w:i/>
          <w:sz w:val="16"/>
          <w:szCs w:val="16"/>
        </w:rPr>
        <w:br/>
        <w:t xml:space="preserve">по договорам залога, договорам поручительства (в том числе прекратившим свое действие)</w:t>
      </w:r>
      <w:r>
        <w:rPr>
          <w:i/>
        </w:rPr>
        <w:t xml:space="preserve">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spacing w:before="120"/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</w:r>
      <w:r>
        <w:rPr>
          <w:bCs/>
          <w:i/>
          <w:sz w:val="16"/>
          <w:szCs w:val="16"/>
        </w:rPr>
        <w:t xml:space="preserve">Без взимания комиссии в Банке открываются и обслуживаются: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бюджетные счета (счета, открываемые на балансовых позициях 401-404);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счета бюджетных учреждений/казенных учреждений/автономных учреждений;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депозитные счета нотариусов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головного исполнителя;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публичные депозитные счета;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счета </w:t>
      </w:r>
      <w:r>
        <w:rPr>
          <w:bCs/>
          <w:i/>
          <w:sz w:val="16"/>
          <w:szCs w:val="16"/>
        </w:rPr>
        <w:t xml:space="preserve">эскроу</w:t>
      </w:r>
      <w:r>
        <w:rPr>
          <w:bCs/>
          <w:i/>
          <w:sz w:val="16"/>
          <w:szCs w:val="16"/>
        </w:rPr>
        <w:t xml:space="preserve"> для расчетов по договору участия в долевом строительстве.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i/>
          <w:sz w:val="16"/>
          <w:szCs w:val="16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after="40"/>
        <w:tabs>
          <w:tab w:val="left" w:pos="0" w:leader="none"/>
          <w:tab w:val="left" w:pos="284" w:leader="none"/>
          <w:tab w:val="left" w:pos="1134" w:leader="none"/>
          <w:tab w:val="center" w:pos="1260" w:leader="none"/>
          <w:tab w:val="left" w:pos="1560" w:leader="none"/>
        </w:tabs>
        <w:rPr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4.</w:t>
      </w:r>
      <w:r>
        <w:rPr>
          <w:i/>
          <w:sz w:val="16"/>
          <w:szCs w:val="16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jc w:val="both"/>
        <w:spacing w:after="40"/>
        <w:tabs>
          <w:tab w:val="left" w:pos="0" w:leader="none"/>
          <w:tab w:val="left" w:pos="284" w:leader="none"/>
          <w:tab w:val="left" w:pos="1134" w:leader="none"/>
          <w:tab w:val="center" w:pos="1260" w:leader="none"/>
          <w:tab w:val="left" w:pos="1560" w:leader="none"/>
        </w:tabs>
        <w:rPr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jc w:val="both"/>
        <w:spacing w:before="40"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10"/>
        <w:numPr>
          <w:ilvl w:val="0"/>
          <w:numId w:val="2"/>
        </w:numPr>
      </w:pPr>
      <w:r/>
      <w:bookmarkStart w:id="1" w:name="_Toc64472177"/>
      <w:r>
        <w:t xml:space="preserve">Кассовые</w:t>
      </w:r>
      <w:r>
        <w:t xml:space="preserve"> </w:t>
      </w:r>
      <w:r>
        <w:t xml:space="preserve">операции</w:t>
      </w:r>
      <w:r>
        <w:t xml:space="preserve">*</w:t>
      </w:r>
      <w:bookmarkEnd w:id="1"/>
      <w:r/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39"/>
        <w:gridCol w:w="3865"/>
        <w:gridCol w:w="1957"/>
        <w:gridCol w:w="3452"/>
        <w:gridCol w:w="235"/>
      </w:tblGrid>
      <w:tr>
        <w:tblPrEx/>
        <w:trPr>
          <w:gridAfter w:val="1"/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чековой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листов-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листов-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bCs/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</w:t>
            </w:r>
            <w:r>
              <w:rPr>
                <w:bCs/>
                <w:sz w:val="20"/>
                <w:szCs w:val="20"/>
              </w:rPr>
              <w:t xml:space="preserve">9</w:t>
            </w:r>
            <w:r>
              <w:rPr>
                <w:bCs/>
                <w:sz w:val="20"/>
                <w:szCs w:val="20"/>
              </w:rPr>
              <w:t xml:space="preserve">% от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руб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 </w:t>
            </w:r>
            <w:r>
              <w:rPr>
                <w:bCs/>
                <w:sz w:val="20"/>
                <w:szCs w:val="20"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300 000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3,5%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300 000,01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1 500 000,00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6,5%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1 500 000,01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4 000 000,00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10% от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4 000 000,01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 выше в течение календарного месяц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</w:t>
            </w:r>
            <w:r>
              <w:rPr>
                <w:bCs/>
              </w:rPr>
              <w:t xml:space="preserve"> предпринимателям, относящимся к агропромышленному </w:t>
            </w:r>
            <w:r>
              <w:rPr>
                <w:bCs/>
                <w:sz w:val="20"/>
                <w:szCs w:val="20"/>
              </w:rPr>
              <w:t xml:space="preserve">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,3</w:t>
            </w:r>
            <w:r>
              <w:rPr>
                <w:sz w:val="20"/>
                <w:szCs w:val="20"/>
              </w:rPr>
              <w:t xml:space="preserve">% от суммы</w:t>
            </w:r>
            <w:r>
              <w:rPr>
                <w:sz w:val="20"/>
                <w:szCs w:val="20"/>
              </w:rPr>
              <w:br/>
              <w:t xml:space="preserve">до 3 500 000,00 руб. (включительно) 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/>
              <w:t xml:space="preserve">с 3 500 000,01</w:t>
            </w:r>
            <w:r>
              <w:rPr>
                <w:sz w:val="20"/>
                <w:szCs w:val="20"/>
              </w:rPr>
              <w:br/>
              <w:t xml:space="preserve">до 6 000 000,00 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  <w:br/>
              <w:t xml:space="preserve">с 6 000 000,01</w:t>
            </w:r>
            <w:r>
              <w:rPr>
                <w:sz w:val="20"/>
                <w:szCs w:val="20"/>
              </w:rPr>
              <w:br/>
              <w:t xml:space="preserve">до 10 000 000,00 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/>
              <w:t xml:space="preserve">с 10 000 000,01</w:t>
            </w:r>
            <w:r>
              <w:rPr>
                <w:sz w:val="20"/>
                <w:szCs w:val="20"/>
              </w:rPr>
              <w:br/>
              <w:t xml:space="preserve">до 15 000 000,00 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/>
              <w:t xml:space="preserve">c 15 000 000,01 руб. и выше в течение календарного месяца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</w:t>
            </w:r>
            <w:r>
              <w:rPr>
                <w:sz w:val="20"/>
                <w:szCs w:val="20"/>
              </w:rPr>
              <w:t xml:space="preserve">паевый</w:t>
            </w:r>
            <w:r>
              <w:rPr>
                <w:sz w:val="20"/>
                <w:szCs w:val="20"/>
              </w:rPr>
              <w:t xml:space="preserve">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</w:t>
            </w:r>
            <w:r>
              <w:rPr>
                <w:sz w:val="20"/>
                <w:szCs w:val="20"/>
              </w:rPr>
              <w:t xml:space="preserve">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rFonts w:ascii="Helv" w:hAnsi="Helv" w:cs="Helv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  <w:t xml:space="preserve">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  <w:br/>
              <w:t xml:space="preserve">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3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116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пересчет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наличности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Российской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Федерации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результате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образовавшегося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излишка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недостачи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вине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знаков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вызывающих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сомнение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подлинности,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направления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экспертизу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ветхих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дефектной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годные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11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банкнот/монет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другого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52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подразделениями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письменному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заявлению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наличии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достаточном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количестве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операционной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кассе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подразделения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банкнот/монет,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требуемых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размена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5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5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другого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постоянной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письменной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предварительной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заявке**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получения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монеты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наличной иностранной валюты (за исключением монет)</w:t>
            </w:r>
            <w:r>
              <w:rPr>
                <w:bCs/>
                <w:sz w:val="20"/>
                <w:szCs w:val="20"/>
              </w:rPr>
              <w:t xml:space="preserve">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государства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(группы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государств),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вызывающих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сомнение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подлинности,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направления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</w:t>
            </w:r>
            <w:r>
              <w:rPr>
                <w:sz w:val="20"/>
                <w:szCs w:val="20"/>
              </w:rPr>
              <w:t xml:space="preserve">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Операции по обслуживанию счетов, открытых бюджетным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</w:t>
      </w:r>
      <w:r>
        <w:rPr>
          <w:bCs/>
          <w:i/>
          <w:sz w:val="16"/>
          <w:szCs w:val="16"/>
        </w:rPr>
        <w:t xml:space="preserve">эскроу</w:t>
      </w:r>
      <w:r>
        <w:rPr>
          <w:bCs/>
          <w:i/>
          <w:sz w:val="16"/>
          <w:szCs w:val="16"/>
        </w:rPr>
        <w:t xml:space="preserve"> для расчетов по договору участия в долевом строительстве осуществляются без взимания Банком комиссии</w:t>
      </w:r>
      <w:r>
        <w:rPr>
          <w:bCs/>
          <w:i/>
          <w:sz w:val="16"/>
          <w:szCs w:val="16"/>
        </w:rPr>
        <w:t xml:space="preserve">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Плата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за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услуги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взимается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момент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совершения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операции,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если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конкретным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пунктом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Тарифов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предусмотрено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Предварительная заявка клиента – это письменное заявление</w:t>
      </w:r>
      <w:r>
        <w:rPr>
          <w:i/>
          <w:sz w:val="16"/>
          <w:szCs w:val="16"/>
        </w:rPr>
        <w:t xml:space="preserve">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</w:t>
      </w:r>
      <w:r>
        <w:rPr>
          <w:i/>
          <w:sz w:val="16"/>
          <w:szCs w:val="16"/>
        </w:rPr>
        <w:t xml:space="preserve">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</w:t>
      </w:r>
      <w:r>
        <w:rPr>
          <w:i/>
          <w:sz w:val="16"/>
          <w:szCs w:val="16"/>
        </w:rPr>
        <w:t xml:space="preserve">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sz w:val="16"/>
          <w:szCs w:val="16"/>
        </w:rPr>
        <w:t xml:space="preserve">*****) </w:t>
      </w:r>
      <w:r>
        <w:rPr>
          <w:bCs/>
          <w:i/>
          <w:sz w:val="16"/>
          <w:szCs w:val="16"/>
        </w:rPr>
        <w:t xml:space="preserve">В соответствии с Федеральным законом от 10 июля 2023 года № 304-ФЗ </w:t>
      </w:r>
      <w:r>
        <w:rPr>
          <w:bCs/>
          <w:i/>
          <w:sz w:val="16"/>
          <w:szCs w:val="16"/>
        </w:rPr>
        <w:br/>
        <w:t xml:space="preserve">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</w:t>
      </w:r>
      <w:r>
        <w:rPr>
          <w:bCs/>
          <w:i/>
          <w:sz w:val="16"/>
          <w:szCs w:val="16"/>
        </w:rPr>
        <w:t xml:space="preserve">ли)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426" w:leader="none"/>
          <w:tab w:val="left" w:pos="1080" w:leader="none"/>
          <w:tab w:val="left" w:pos="1134" w:leader="none"/>
        </w:tabs>
        <w:rPr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******) Банк не принимает поврежденные банкноты иностранных государств.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10 - Производство пищевых продуктов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46.21.11 - Торговля оптовая зерном.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46.21.12 - Торговля оптовая семенами, кроме семян масличных культур.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группировки.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46.22 - Торговля оптовая цветами и растениями.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46.23 - Торговля оптовая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46.31 - Торговля оптовая фруктами 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46.31.1 - Торговля оптовая свежими овощами,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46.31.11 - Торговля оптовая свежим картофелем.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46.31.12 - Торговля оптовая прочими свежими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46.31.13 - Торговля оптовая свежими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46.32 - Торговля оптовая мясом и мясными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46.32.2 - Торговля оптовая продуктами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46.32.3 - Торговля оптовая консервами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46.33 - Торговля оптовая молочными продуктами, яйцами и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46.33.1 - Торговля оптовая молочными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46.33.2 - Торговля оптовая яйцами.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46.33.3 - Торговля оптовая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47.29.1 - Торговля розничная молочными продуктами и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47.29.2 - Торговля розничная пищевыми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r/>
      <w:r/>
    </w:p>
    <w:p>
      <w:r/>
      <w:r/>
    </w:p>
    <w:p>
      <w:pPr>
        <w:pStyle w:val="1110"/>
        <w:numPr>
          <w:ilvl w:val="0"/>
          <w:numId w:val="2"/>
        </w:numPr>
      </w:pPr>
      <w:r/>
      <w:bookmarkStart w:id="2" w:name="_Toc64472178"/>
      <w:r>
        <w:t xml:space="preserve">Выполнение</w:t>
      </w:r>
      <w:r>
        <w:t xml:space="preserve"> </w:t>
      </w:r>
      <w:r>
        <w:t xml:space="preserve">функций</w:t>
      </w:r>
      <w:r>
        <w:t xml:space="preserve"> </w:t>
      </w:r>
      <w:r>
        <w:t xml:space="preserve">агента</w:t>
      </w:r>
      <w:r>
        <w:t xml:space="preserve"> </w:t>
      </w:r>
      <w:r>
        <w:t xml:space="preserve">валютного</w:t>
      </w:r>
      <w:r>
        <w:t xml:space="preserve"> </w:t>
      </w:r>
      <w:r>
        <w:t xml:space="preserve">контроля</w:t>
      </w:r>
      <w:bookmarkEnd w:id="2"/>
      <w:r/>
      <w:r/>
    </w:p>
    <w:p>
      <w:pPr>
        <w:pStyle w:val="1110"/>
        <w:rPr>
          <w:i/>
        </w:rPr>
      </w:pPr>
      <w:r>
        <w:t xml:space="preserve">                         </w:t>
      </w:r>
      <w:bookmarkStart w:id="3" w:name="_Toc64472179"/>
      <w:r>
        <w:t xml:space="preserve">(размер</w:t>
      </w:r>
      <w:r>
        <w:t xml:space="preserve"> </w:t>
      </w:r>
      <w:r>
        <w:t xml:space="preserve">тарифов</w:t>
      </w:r>
      <w:r>
        <w:t xml:space="preserve"> </w:t>
      </w:r>
      <w:r>
        <w:t xml:space="preserve">указан</w:t>
      </w:r>
      <w:r>
        <w:t xml:space="preserve"> </w:t>
      </w:r>
      <w:r>
        <w:t xml:space="preserve">без</w:t>
      </w:r>
      <w:r>
        <w:t xml:space="preserve"> </w:t>
      </w:r>
      <w:r>
        <w:t xml:space="preserve">учета</w:t>
      </w:r>
      <w:r>
        <w:t xml:space="preserve"> </w:t>
      </w:r>
      <w:r>
        <w:t xml:space="preserve">НДС)*</w:t>
      </w:r>
      <w:bookmarkEnd w:id="3"/>
      <w:r>
        <w:rPr>
          <w:i/>
        </w:rPr>
      </w:r>
      <w:r>
        <w:rPr>
          <w:i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tbl>
      <w:tblPr>
        <w:tblW w:w="1023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431"/>
      </w:tblGrid>
      <w:tr>
        <w:tblPrEx/>
        <w:trPr>
          <w:trHeight w:val="227"/>
          <w:tblHeader/>
        </w:trPr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         миниму</w:t>
            </w:r>
            <w:r>
              <w:rPr>
                <w:sz w:val="20"/>
                <w:szCs w:val="20"/>
              </w:rPr>
              <w:t xml:space="preserve">м 500 руб., </w:t>
            </w:r>
            <w:r>
              <w:rPr>
                <w:sz w:val="20"/>
                <w:szCs w:val="20"/>
              </w:rPr>
              <w:t xml:space="preserve">для головного офиса (далее – ГО), </w:t>
            </w:r>
            <w:r>
              <w:rPr>
                <w:sz w:val="20"/>
                <w:szCs w:val="20"/>
              </w:rPr>
              <w:t xml:space="preserve">РФ </w:t>
            </w: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- Центр розничного и малого бизнеса</w:t>
            </w:r>
            <w:r>
              <w:rPr>
                <w:sz w:val="20"/>
                <w:szCs w:val="20"/>
              </w:rPr>
              <w:t xml:space="preserve"> (далее – </w:t>
            </w:r>
            <w:r>
              <w:rPr>
                <w:sz w:val="20"/>
                <w:szCs w:val="20"/>
              </w:rPr>
              <w:t xml:space="preserve">ЦРМБ</w:t>
            </w:r>
            <w:r>
              <w:rPr>
                <w:sz w:val="20"/>
                <w:szCs w:val="20"/>
              </w:rPr>
              <w:t xml:space="preserve">) и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- «ЦКБ» (далее – ЦКБ),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максимум 80 000 руб. для других региональных филиалов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(далее – РФ Банка)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 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 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38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 использованием системы дистанционного банковского обслуживания;                                                 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  <w:t xml:space="preserve">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дополнительно к комиссии по пункта</w:t>
            </w:r>
            <w:r>
              <w:rPr>
                <w:bCs/>
                <w:sz w:val="20"/>
                <w:szCs w:val="20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</w:t>
            </w:r>
            <w:r>
              <w:rPr>
                <w:bCs/>
                <w:sz w:val="20"/>
                <w:szCs w:val="20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38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</w:t>
            </w:r>
            <w:r>
              <w:rPr>
                <w:sz w:val="20"/>
                <w:szCs w:val="20"/>
              </w:rPr>
              <w:t xml:space="preserve">верждающих документах (далее – </w:t>
            </w:r>
            <w:r>
              <w:rPr>
                <w:sz w:val="20"/>
                <w:szCs w:val="20"/>
              </w:rPr>
              <w:t xml:space="preserve">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restart"/>
            <w:textDirection w:val="lrTb"/>
            <w:noWrap w:val="false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385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регионального филиала Банка в головной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</w:t>
            </w:r>
            <w:r>
              <w:rPr>
                <w:bCs/>
                <w:sz w:val="20"/>
                <w:szCs w:val="20"/>
              </w:rPr>
              <w:t xml:space="preserve">контракта (кредитного договора) на учет </w:t>
            </w:r>
            <w:r>
              <w:rPr>
                <w:sz w:val="20"/>
                <w:szCs w:val="20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минимум 500 руб., максимум      80 000 руб. для ГО, ЦРМБ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максимум 80 000 руб. 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ГО, ЦРМБ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20"/>
                <w:szCs w:val="20"/>
              </w:rPr>
              <w:t xml:space="preserve">оказания услуги</w:t>
            </w:r>
            <w:r>
              <w:rPr>
                <w:sz w:val="20"/>
                <w:szCs w:val="20"/>
              </w:rPr>
              <w:t xml:space="preserve">*</w:t>
            </w:r>
            <w:r>
              <w:rPr>
                <w:bCs/>
                <w:sz w:val="20"/>
                <w:szCs w:val="20"/>
              </w:rPr>
              <w:t xml:space="preserve">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22"/>
        </w:trPr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22"/>
        </w:trPr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sz w:val="20"/>
                <w:szCs w:val="20"/>
              </w:rPr>
              <w:br/>
              <w:t xml:space="preserve">к услуге.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sz w:val="20"/>
                <w:szCs w:val="20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sz w:val="20"/>
                <w:szCs w:val="20"/>
              </w:rPr>
              <w:br/>
              <w:t xml:space="preserve">и предоставляется только резидентам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spacing w:before="120"/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</w:t>
      </w:r>
      <w:r>
        <w:rPr>
          <w:bCs/>
          <w:i/>
          <w:sz w:val="16"/>
          <w:szCs w:val="16"/>
        </w:rPr>
        <w:t xml:space="preserve">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i/>
          <w:sz w:val="16"/>
          <w:szCs w:val="16"/>
        </w:rPr>
        <w:t xml:space="preserve">–</w:t>
      </w:r>
      <w:r>
        <w:rPr>
          <w:bCs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Инструкция Банка России № 181-И)</w:t>
      </w:r>
      <w:r>
        <w:rPr>
          <w:bCs/>
          <w:i/>
          <w:sz w:val="16"/>
          <w:szCs w:val="16"/>
        </w:rPr>
        <w:t xml:space="preserve">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bCs/>
          <w:i/>
          <w:sz w:val="16"/>
          <w:szCs w:val="16"/>
        </w:rPr>
        <w:t xml:space="preserve">Регламентом взаимодействия клиентов с АО «</w:t>
      </w:r>
      <w:r>
        <w:rPr>
          <w:bCs/>
          <w:i/>
          <w:sz w:val="16"/>
          <w:szCs w:val="16"/>
        </w:rPr>
        <w:t xml:space="preserve">Россельхозбанк</w:t>
      </w:r>
      <w:r>
        <w:rPr>
          <w:bCs/>
          <w:i/>
          <w:sz w:val="16"/>
          <w:szCs w:val="16"/>
        </w:rPr>
        <w:t xml:space="preserve">» при осуществлении операций, подлежащих валютному контролю.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right="-2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</w:t>
      </w:r>
      <w:r>
        <w:rPr>
          <w:i/>
          <w:sz w:val="16"/>
          <w:szCs w:val="16"/>
        </w:rPr>
        <w:t xml:space="preserve">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i/>
          <w:sz w:val="16"/>
          <w:szCs w:val="16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</w:t>
      </w:r>
      <w:r>
        <w:rPr>
          <w:i/>
          <w:sz w:val="16"/>
          <w:szCs w:val="16"/>
        </w:rPr>
        <w:t xml:space="preserve">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</w:t>
      </w:r>
      <w:r>
        <w:rPr>
          <w:i/>
          <w:sz w:val="16"/>
          <w:szCs w:val="16"/>
        </w:rPr>
        <w:t xml:space="preserve">ия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 В случае перевода (зачисления) денежных средств общей суммой: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Комиссионное вознаграждение взимается: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bCs/>
          <w:i/>
          <w:sz w:val="16"/>
          <w:szCs w:val="16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bCs/>
          <w:i/>
          <w:sz w:val="16"/>
          <w:szCs w:val="16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 w:firstLine="567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взимается, в том числе, при использовании резидентом аккре</w:t>
      </w:r>
      <w:r>
        <w:rPr>
          <w:i/>
          <w:sz w:val="16"/>
          <w:szCs w:val="16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Днем оказания услуги по валютному контролю является: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numPr>
          <w:ilvl w:val="0"/>
          <w:numId w:val="5"/>
        </w:numPr>
        <w:contextualSpacing/>
        <w:ind w:left="0" w:firstLine="567"/>
        <w:tabs>
          <w:tab w:val="left" w:pos="851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По операциям резидентов, в том числе</w:t>
      </w:r>
      <w:r>
        <w:rPr>
          <w:bCs/>
          <w:i/>
          <w:sz w:val="16"/>
          <w:szCs w:val="16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день списания денежных средств с расчетного счета клиента-резидента;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об уникальном номере контракта (кредитного договора);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документов, связанных с проведением валютной операции;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сведений уполномоченного банка о проведенной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numPr>
          <w:ilvl w:val="0"/>
          <w:numId w:val="5"/>
        </w:numPr>
        <w:ind w:left="0"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резиденту информации о коде вида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присвоения Банком экспортному контракту уникального номера.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firstLine="567"/>
        <w:tabs>
          <w:tab w:val="left" w:pos="709" w:leader="none"/>
          <w:tab w:val="left" w:pos="851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4.</w:t>
      </w:r>
      <w:r>
        <w:rPr>
          <w:bCs/>
          <w:i/>
          <w:sz w:val="16"/>
          <w:szCs w:val="16"/>
        </w:rPr>
        <w:tab/>
        <w:t xml:space="preserve">При проверке СПД: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567"/>
        <w:tabs>
          <w:tab w:val="left" w:pos="851" w:leader="none"/>
          <w:tab w:val="left" w:pos="1134" w:leader="none"/>
        </w:tabs>
        <w:rPr>
          <w:b/>
          <w:bCs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 xml:space="preserve">- день принятия Банком СПД.</w:t>
      </w:r>
      <w:r>
        <w:rPr>
          <w:b/>
          <w:bCs/>
          <w:i/>
          <w:sz w:val="16"/>
          <w:szCs w:val="16"/>
        </w:rPr>
      </w:r>
      <w:r>
        <w:rPr>
          <w:b/>
          <w:bCs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При оформлении Банком СПД за клиента: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оформления Банком СПД.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</w:t>
      </w:r>
      <w:r>
        <w:rPr>
          <w:i/>
          <w:sz w:val="16"/>
          <w:szCs w:val="16"/>
        </w:rPr>
        <w:tab/>
        <w:t xml:space="preserve">При снятии контракта (кредитного договора) с учета: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снятия Банком контракта (кредитного договора) с учета.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</w:t>
      </w:r>
      <w:r>
        <w:rPr>
          <w:i/>
          <w:sz w:val="16"/>
          <w:szCs w:val="16"/>
        </w:rPr>
        <w:tab/>
        <w:t xml:space="preserve">При списании денежных средств с расчетного счета клиента-нерезидента </w:t>
      </w:r>
      <w:r>
        <w:rPr>
          <w:i/>
          <w:sz w:val="16"/>
          <w:szCs w:val="16"/>
        </w:rPr>
        <w:t xml:space="preserve">–</w:t>
      </w:r>
      <w:r>
        <w:rPr>
          <w:i/>
          <w:sz w:val="16"/>
          <w:szCs w:val="16"/>
        </w:rPr>
        <w:t xml:space="preserve"> юридического лица в валюте Российской Федерации: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списания денежных средств с расчетного счета клиента-нерезидента.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8.</w:t>
      </w:r>
      <w:r>
        <w:rPr>
          <w:i/>
          <w:sz w:val="16"/>
          <w:szCs w:val="16"/>
        </w:rPr>
        <w:tab/>
        <w:t xml:space="preserve">При представлении клиенту копий документов из досье валютного контроля: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клиенту копий документов.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В случае перевода </w:t>
      </w:r>
      <w:r>
        <w:rPr>
          <w:bCs/>
          <w:i/>
          <w:sz w:val="16"/>
          <w:szCs w:val="16"/>
        </w:rPr>
        <w:t xml:space="preserve">контракта (кредитного договора) на учет </w:t>
      </w:r>
      <w:r>
        <w:rPr>
          <w:i/>
          <w:sz w:val="16"/>
          <w:szCs w:val="16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</w:t>
      </w:r>
      <w:r>
        <w:rPr>
          <w:i/>
          <w:sz w:val="16"/>
          <w:szCs w:val="16"/>
        </w:rPr>
        <w:t xml:space="preserve">троля сведений о </w:t>
      </w:r>
      <w:r>
        <w:rPr>
          <w:i/>
          <w:sz w:val="16"/>
          <w:szCs w:val="16"/>
        </w:rPr>
        <w:t xml:space="preserve">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1110"/>
        <w:numPr>
          <w:ilvl w:val="0"/>
          <w:numId w:val="2"/>
        </w:numPr>
        <w:rPr>
          <w:lang w:val="en-US"/>
        </w:rPr>
      </w:pPr>
      <w:r/>
      <w:bookmarkStart w:id="4" w:name="_Toc64472180"/>
      <w:r>
        <w:t xml:space="preserve">Операции</w:t>
      </w:r>
      <w:r>
        <w:t xml:space="preserve"> </w:t>
      </w:r>
      <w:r>
        <w:t xml:space="preserve">с</w:t>
      </w:r>
      <w:r>
        <w:t xml:space="preserve"> </w:t>
      </w:r>
      <w:r>
        <w:t xml:space="preserve">ценными</w:t>
      </w:r>
      <w:r>
        <w:t xml:space="preserve"> </w:t>
      </w:r>
      <w:r>
        <w:t xml:space="preserve">бумагами</w:t>
      </w:r>
      <w:bookmarkEnd w:id="4"/>
      <w:r>
        <w:rPr>
          <w:lang w:val="en-US"/>
        </w:rPr>
      </w:r>
      <w:r>
        <w:rPr>
          <w:lang w:val="en-US"/>
        </w:rPr>
      </w:r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289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головном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офисе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целевым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назначением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приобретение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региональных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филиалах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целевым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назначением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приобретение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«Д»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облагается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которого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предъявлении,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ранее»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предъявлении,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ранее»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</w:t>
            </w:r>
            <w:r>
              <w:rPr>
                <w:sz w:val="20"/>
                <w:szCs w:val="20"/>
              </w:rPr>
              <w:t xml:space="preserve">алоговых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56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проверка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головным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офисом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региональным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филиалом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передаче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заклад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96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4.4.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sz w:val="20"/>
                <w:szCs w:val="20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один лист с односторонним расположением текста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соответствующего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владельцам ценных бумаг и иным лицам в соответствии с законодательством), представлены на сайте Банка сети Интернет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r/>
      <w:r/>
    </w:p>
    <w:p>
      <w:pPr>
        <w:pStyle w:val="1110"/>
        <w:numPr>
          <w:ilvl w:val="0"/>
          <w:numId w:val="2"/>
        </w:numPr>
      </w:pPr>
      <w:r/>
      <w:bookmarkStart w:id="5" w:name="_Toc64472181"/>
      <w:r>
        <w:t xml:space="preserve">Документарные</w:t>
      </w:r>
      <w:r>
        <w:t xml:space="preserve"> </w:t>
      </w:r>
      <w:r>
        <w:t xml:space="preserve">операции</w:t>
      </w:r>
      <w:bookmarkEnd w:id="5"/>
      <w:r/>
      <w:r/>
    </w:p>
    <w:p>
      <w:r/>
      <w:r/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260"/>
        <w:gridCol w:w="2552"/>
        <w:gridCol w:w="3431"/>
      </w:tblGrid>
      <w:tr>
        <w:tblPrEx/>
        <w:trPr/>
        <w:tc>
          <w:tcPr>
            <w:tcW w:w="82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43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243" w:type="dxa"/>
            <w:textDirection w:val="lrTb"/>
            <w:noWrap w:val="false"/>
          </w:tcPr>
          <w:p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Аккредитивы  для расчетов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аккредитива;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условий ранее авизованного аккредитива, связанного с увеличением его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минимум 1 000 руб.,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10 000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bCs/>
                <w:sz w:val="20"/>
                <w:szCs w:val="20"/>
              </w:rPr>
              <w:t xml:space="preserve">авизования</w:t>
            </w:r>
            <w:r>
              <w:rPr>
                <w:bCs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431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  <w:t xml:space="preserve">с отсрочкой платежа).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iCs/>
                <w:sz w:val="22"/>
                <w:szCs w:val="22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2"/>
                <w:szCs w:val="22"/>
              </w:rPr>
              <w:br/>
              <w:t xml:space="preserve">в дату открытия аккредитива/ </w:t>
            </w:r>
            <w:r>
              <w:rPr>
                <w:iCs/>
                <w:sz w:val="22"/>
                <w:szCs w:val="22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аккредит</w:t>
            </w:r>
            <w:r>
              <w:rPr>
                <w:iCs/>
                <w:sz w:val="22"/>
                <w:szCs w:val="22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2"/>
                <w:szCs w:val="22"/>
              </w:rPr>
              <w:br/>
              <w:t xml:space="preserve">не пересчитывается и не возвращается Банком.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в рублях Российской Федерации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5 000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максимум 50 000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31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- в долларах США, евро и иной валюте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5 000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31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аккредитива, открытого другим банком,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  <w:t xml:space="preserve">с отсрочкой платежа).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2"/>
                <w:szCs w:val="22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szCs w:val="22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2"/>
                <w:szCs w:val="22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2"/>
                <w:szCs w:val="22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szCs w:val="22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szCs w:val="22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10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изменений условий ранее авизованного аккредитива, не связанных с увеличением его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согласия на аннуляцию/отзыв аккредитива, открытого другим банком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bCs/>
                <w:sz w:val="20"/>
                <w:szCs w:val="20"/>
              </w:rPr>
              <w:t xml:space="preserve">авизования</w:t>
            </w:r>
            <w:r>
              <w:rPr>
                <w:bCs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его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подлежащей оплате, минимум 5000 руб., максимум 100 000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обработку/проверку одного комплекта документов (в </w:t>
            </w:r>
            <w:r>
              <w:rPr>
                <w:bCs/>
                <w:sz w:val="20"/>
                <w:szCs w:val="20"/>
              </w:rPr>
              <w:t xml:space="preserve">т.ч</w:t>
            </w:r>
            <w:r>
              <w:rPr>
                <w:bCs/>
                <w:sz w:val="20"/>
                <w:szCs w:val="20"/>
              </w:rPr>
              <w:t xml:space="preserve">. если документы не приняты к оплате), исходя из суммы, подлежащей оплате 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2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Документарные аккредитивы, открытые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для расчетов по внешнеторговым сделкам (импортные аккредитивы)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iCs/>
                <w:sz w:val="22"/>
                <w:szCs w:val="22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</w:t>
            </w:r>
            <w:r>
              <w:rPr>
                <w:iCs/>
                <w:sz w:val="22"/>
                <w:szCs w:val="22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</w:t>
            </w:r>
            <w:r>
              <w:rPr>
                <w:iCs/>
                <w:sz w:val="22"/>
                <w:szCs w:val="22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  <w:t xml:space="preserve">и не возвращается Банком.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 в рублях Российской Федерации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3431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в долларах США, евро и иной валюте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350 000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sz w:val="20"/>
                <w:szCs w:val="20"/>
              </w:rPr>
              <w:br/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sz w:val="20"/>
                <w:szCs w:val="20"/>
              </w:rPr>
              <w:br/>
              <w:t xml:space="preserve">на основании требования Банка.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Перевод аккредитива в пользу другого бенефициара (</w:t>
            </w:r>
            <w:r>
              <w:rPr>
                <w:bCs/>
                <w:sz w:val="22"/>
                <w:szCs w:val="22"/>
              </w:rPr>
              <w:t xml:space="preserve">трансферация</w:t>
            </w:r>
            <w:r>
              <w:rPr>
                <w:bCs/>
                <w:sz w:val="22"/>
                <w:szCs w:val="22"/>
              </w:rPr>
              <w:t xml:space="preserve">);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</w:t>
            </w:r>
            <w:r>
              <w:rPr>
                <w:bCs/>
                <w:sz w:val="22"/>
                <w:szCs w:val="22"/>
              </w:rPr>
              <w:t xml:space="preserve">трансферированного</w:t>
            </w:r>
            <w:r>
              <w:rPr>
                <w:bCs/>
                <w:sz w:val="22"/>
                <w:szCs w:val="22"/>
              </w:rPr>
              <w:t xml:space="preserve"> аккредитива, связанное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</w:t>
            </w:r>
            <w:r>
              <w:rPr>
                <w:bCs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sz w:val="20"/>
                <w:szCs w:val="20"/>
              </w:rPr>
              <w:t xml:space="preserve"> суммы или суммы её увеличения,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100 000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аккредитива, не связанное с увеличением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согласия на аннуляцию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иных сообщений по </w:t>
            </w:r>
            <w:r>
              <w:rPr>
                <w:bCs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sz w:val="20"/>
                <w:szCs w:val="20"/>
              </w:rPr>
              <w:t xml:space="preserve">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</w:t>
            </w:r>
            <w:r>
              <w:rPr>
                <w:bCs/>
                <w:sz w:val="20"/>
                <w:szCs w:val="20"/>
              </w:rPr>
              <w:t xml:space="preserve">трансферированному</w:t>
            </w:r>
            <w:r>
              <w:rPr>
                <w:bCs/>
                <w:sz w:val="20"/>
                <w:szCs w:val="20"/>
              </w:rPr>
              <w:t xml:space="preserve"> аккредитиву по распоряжению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9243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Предварительное </w:t>
            </w: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аккредитива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условий ранее авизованного аккредитива, связанного с увеличением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75 000 руб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аккредитива,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2"/>
                <w:szCs w:val="22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szCs w:val="22"/>
              </w:rPr>
              <w:br/>
              <w:t xml:space="preserve">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2"/>
                <w:szCs w:val="22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szCs w:val="22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szCs w:val="22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  <w:t xml:space="preserve">и не возвращается Банком.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изменений условий аккредитива, не связанных с увеличением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запроса на аннуляцию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иных сообщений по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обработку/проверку одного комплекта документов (в т. ч. если документы не приняты к оплате), исходя из суммы, подлежащей оплате 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bCs/>
                <w:sz w:val="20"/>
                <w:szCs w:val="20"/>
              </w:rPr>
              <w:t xml:space="preserve">трансферация</w:t>
            </w:r>
            <w:r>
              <w:rPr>
                <w:bCs/>
                <w:sz w:val="20"/>
                <w:szCs w:val="20"/>
              </w:rPr>
              <w:t xml:space="preserve">);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</w:t>
            </w:r>
            <w:r>
              <w:rPr>
                <w:bCs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sz w:val="20"/>
                <w:szCs w:val="20"/>
              </w:rPr>
              <w:t xml:space="preserve"> суммы или суммы </w:t>
            </w:r>
            <w:r>
              <w:rPr>
                <w:bCs/>
                <w:sz w:val="20"/>
                <w:szCs w:val="20"/>
              </w:rPr>
              <w:br/>
              <w:t xml:space="preserve">ее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аккредитива, не связанное с увеличением суммы;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запроса на аннуляцию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иных сообщений по </w:t>
            </w:r>
            <w:r>
              <w:rPr>
                <w:bCs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sz w:val="20"/>
                <w:szCs w:val="20"/>
              </w:rPr>
              <w:t xml:space="preserve">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</w:t>
            </w:r>
            <w:r>
              <w:rPr>
                <w:bCs/>
                <w:sz w:val="20"/>
                <w:szCs w:val="20"/>
              </w:rPr>
              <w:t xml:space="preserve">трансферированному</w:t>
            </w:r>
            <w:r>
              <w:rPr>
                <w:bCs/>
                <w:sz w:val="20"/>
                <w:szCs w:val="20"/>
              </w:rPr>
              <w:t xml:space="preserve"> аккредитиву по распоряжению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243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1006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Документарное инкассо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При указании в наименовании услуги двух и более операций к</w:t>
      </w:r>
      <w:r>
        <w:rPr>
          <w:bCs/>
          <w:i/>
          <w:sz w:val="16"/>
          <w:szCs w:val="16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i/>
          <w:sz w:val="16"/>
          <w:szCs w:val="16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Комиссионное вознаграждение по Разделам 5.2 «Документарные аккредитивы, открытые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для расчетов по внешнеторговым сделкам (импортные аккредитивы)», </w:t>
      </w:r>
      <w:r>
        <w:rPr>
          <w:i/>
          <w:sz w:val="16"/>
          <w:szCs w:val="16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i/>
          <w:sz w:val="16"/>
          <w:szCs w:val="16"/>
        </w:rPr>
        <w:br/>
        <w:t xml:space="preserve">По аккредитивам и инкассо в иностранной валюте ко</w:t>
      </w:r>
      <w:r>
        <w:rPr>
          <w:i/>
          <w:sz w:val="16"/>
          <w:szCs w:val="16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i/>
          <w:sz w:val="16"/>
          <w:szCs w:val="16"/>
        </w:rPr>
        <w:br/>
        <w:t xml:space="preserve">за период), если иное не предусмотрено соглашением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i/>
          <w:sz w:val="16"/>
          <w:szCs w:val="16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i/>
          <w:sz w:val="16"/>
          <w:szCs w:val="16"/>
        </w:rPr>
        <w:br/>
        <w:t xml:space="preserve">к комиссионному вознаграждению, указанному в Тарифах.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 </w:t>
      </w:r>
      <w:r>
        <w:rPr>
          <w:bCs/>
          <w:i/>
          <w:iCs/>
          <w:sz w:val="16"/>
          <w:szCs w:val="16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8. Комиссионное вознаграждение, уплаченное Банку за оказание услуг (кроме ошибочно удержанного), возврату не подлежит.».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1110"/>
        <w:numPr>
          <w:ilvl w:val="0"/>
          <w:numId w:val="2"/>
        </w:numPr>
      </w:pPr>
      <w:r/>
      <w:bookmarkStart w:id="6" w:name="_Toc64472182"/>
      <w:r>
        <w:t xml:space="preserve">Гарантийные</w:t>
      </w:r>
      <w:r>
        <w:t xml:space="preserve"> </w:t>
      </w:r>
      <w:r>
        <w:t xml:space="preserve">операции</w:t>
      </w:r>
      <w:bookmarkEnd w:id="6"/>
      <w:r/>
      <w:r/>
    </w:p>
    <w:p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289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банковской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банковской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соглашению сторон,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52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/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  <w:t xml:space="preserve">к приказу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от 01.08.2013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 Изменение условий выдачи банковской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суммы и/или срока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соглашению сторон,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52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от 01.08.2013 </w:t>
            </w:r>
            <w:r>
              <w:rPr>
                <w:sz w:val="20"/>
                <w:szCs w:val="20"/>
              </w:rPr>
              <w:br/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/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/>
              <w:t xml:space="preserve">от суммы увеличения обязательства по гарантии за период с даты у</w:t>
            </w:r>
            <w:r>
              <w:rPr>
                <w:sz w:val="20"/>
                <w:szCs w:val="20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сумма),так 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Изменение условий Генерального соглашения о выдаче банковских гарантий/Соглашения о порядке и условиях выдачи банковской гарантии, а также условий гарантии, не указанных в п. 6.2.1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5 000 руб.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52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/>
              <w:t xml:space="preserve">за выдачу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/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/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гарантии, </w:t>
            </w: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гарантии,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связанного с увеличением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ее суммы, без обязательств со стороны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20 000 руб.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изменения гарантии, не связанного 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увеличением ее суммы/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запроса 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аннуляцию гарантии/ </w:t>
            </w: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сообщения по гарантии без обязательств со стороны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6.5.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3 500 руб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284" w:leader="none"/>
        </w:tabs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 к пунктам 6.3-6.7 Тарифов: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1. Если уплата комиссионного вознаграж</w:t>
      </w:r>
      <w:r>
        <w:rPr>
          <w:bCs/>
          <w:i/>
          <w:iCs/>
          <w:sz w:val="16"/>
          <w:szCs w:val="16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i/>
          <w:sz w:val="16"/>
          <w:szCs w:val="16"/>
        </w:rPr>
        <w:t xml:space="preserve">.».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r/>
      <w:r/>
    </w:p>
    <w:p>
      <w:r/>
      <w:r/>
    </w:p>
    <w:p>
      <w:pPr>
        <w:pStyle w:val="1110"/>
        <w:numPr>
          <w:ilvl w:val="0"/>
          <w:numId w:val="2"/>
        </w:numPr>
      </w:pPr>
      <w:r/>
      <w:bookmarkStart w:id="7" w:name="_Toc64472183"/>
      <w:r>
        <w:t xml:space="preserve">Дистанционное банковское обслуживание (ДБО)</w:t>
      </w:r>
      <w:bookmarkEnd w:id="7"/>
      <w:r/>
      <w:r/>
    </w:p>
    <w:p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289"/>
      </w:tblGrid>
      <w:tr>
        <w:tblPrEx/>
        <w:trPr>
          <w:trHeight w:val="161"/>
          <w:tblHeader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28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5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г. Туле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Тульской области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000,00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000,00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 </w:t>
            </w:r>
            <w:r>
              <w:rPr>
                <w:bCs/>
                <w:sz w:val="20"/>
                <w:szCs w:val="20"/>
              </w:rPr>
              <w:br/>
              <w:t xml:space="preserve">«Банк-Клиент»/«Интернет-Клиент/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«Не взимается»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9243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системы 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168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ind w:hanging="838"/>
              <w:jc w:val="both"/>
              <w:spacing w:after="120"/>
              <w:widowControl w:val="off"/>
              <w:tabs>
                <w:tab w:val="num" w:pos="306" w:leader="none"/>
                <w:tab w:val="clear" w:pos="96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ind w:hanging="838"/>
              <w:jc w:val="both"/>
              <w:spacing w:after="120"/>
              <w:widowControl w:val="off"/>
              <w:tabs>
                <w:tab w:val="num" w:pos="306" w:leader="none"/>
                <w:tab w:val="clear" w:pos="96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ind w:hanging="838"/>
              <w:jc w:val="both"/>
              <w:spacing w:after="120"/>
              <w:widowControl w:val="off"/>
              <w:tabs>
                <w:tab w:val="num" w:pos="306" w:leader="none"/>
                <w:tab w:val="clear" w:pos="96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ind w:hanging="838"/>
              <w:jc w:val="both"/>
              <w:spacing w:after="120"/>
              <w:widowControl w:val="off"/>
              <w:tabs>
                <w:tab w:val="num" w:pos="306" w:leader="none"/>
                <w:tab w:val="clear" w:pos="96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5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-для клиентов «Банк-Клиент»/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«Интернет-Клиент»/«Мобильный банк»/ 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для клиентов «Интернет-Клиент»/ «Свой бизнес», являющихся </w:t>
            </w:r>
            <w:r>
              <w:rPr>
                <w:bCs/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по кредитным сделкам*,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5 000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line="360" w:lineRule="auto"/>
              <w:widowControl w:val="off"/>
              <w:rPr>
                <w:bCs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      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sz w:val="20"/>
                <w:szCs w:val="20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</w:t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7.3.2-7.3.3 комиссия по    п. 7.3.1 Банком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</w:t>
            </w:r>
            <w:r>
              <w:rPr>
                <w:sz w:val="20"/>
                <w:szCs w:val="20"/>
              </w:rPr>
              <w:t xml:space="preserve">Мобайл</w:t>
            </w:r>
            <w:r>
              <w:rPr>
                <w:sz w:val="20"/>
                <w:szCs w:val="20"/>
              </w:rPr>
              <w:t xml:space="preserve">» возможно только при условии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более одного клиента к одному автоматизиро</w:t>
            </w:r>
            <w:r>
              <w:rPr>
                <w:bCs/>
                <w:sz w:val="20"/>
                <w:szCs w:val="20"/>
              </w:rPr>
              <w:t xml:space="preserve">ванному рабочему месту системы </w:t>
            </w:r>
            <w:r>
              <w:rPr>
                <w:bCs/>
                <w:sz w:val="20"/>
                <w:szCs w:val="20"/>
              </w:rPr>
              <w:t xml:space="preserve">ДБО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2 000,00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с каждого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hanging="766"/>
              <w:jc w:val="both"/>
              <w:spacing w:after="120"/>
              <w:widowControl w:val="off"/>
              <w:tabs>
                <w:tab w:val="clear" w:pos="964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2 000,00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за каждое автоматизированное рабочее место,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 не более 5 000 руб. с одного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924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2 050,00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«Интернет-Клиент»/ «Свой Бизнес»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21"/>
              <w:jc w:val="both"/>
              <w:tabs>
                <w:tab w:val="left" w:pos="1134" w:leader="none"/>
              </w:tabs>
              <w:rPr>
                <w:bCs/>
              </w:rPr>
            </w:pPr>
            <w:r>
              <w:rPr>
                <w:bCs/>
              </w:rPr>
              <w:t xml:space="preserve">Тариф включает в себя НДС (дополнительно не взимается).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121"/>
              <w:jc w:val="both"/>
              <w:tabs>
                <w:tab w:val="left" w:pos="1134" w:leader="none"/>
              </w:tabs>
              <w:rPr>
                <w:bCs/>
              </w:rPr>
            </w:pPr>
            <w: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815,00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«Интернет-Клиент»/ «Свой Бизнес» с использованием Личного кабинета услуга предоставляется в соответствии с        п. 7.4.2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</w:t>
            </w:r>
            <w:r>
              <w:rPr>
                <w:sz w:val="20"/>
                <w:szCs w:val="20"/>
              </w:rPr>
              <w:t xml:space="preserve">ие 45 дней </w:t>
            </w:r>
            <w:r>
              <w:rPr>
                <w:sz w:val="20"/>
                <w:szCs w:val="20"/>
              </w:rPr>
              <w:t xml:space="preserve">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«Интернет-Клиент»/ «Свой Бизнес»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2 050,00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получения клиентом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«Интернет-Клиент»/ «Свой Бизнес»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</w:t>
            </w:r>
            <w:r>
              <w:rPr>
                <w:sz w:val="20"/>
                <w:szCs w:val="20"/>
              </w:rPr>
              <w:t xml:space="preserve">вления Субъекту информационного </w:t>
            </w:r>
            <w:r>
              <w:rPr>
                <w:sz w:val="20"/>
                <w:szCs w:val="20"/>
              </w:rPr>
              <w:t xml:space="preserve">обмена  сертификата ключа проверки электронной подписи.                   </w:t>
            </w: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»/заключения экспертной группы.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924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92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127"/>
              <w:jc w:val="center"/>
              <w:widowControl w:val="off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2 050,00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27"/>
              <w:jc w:val="center"/>
              <w:widowControl w:val="off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 «Свой Бизнес» с использованием Личного кабинета услуга предоставляется в соответствии с        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</w:t>
            </w:r>
            <w:r>
              <w:rPr>
                <w:sz w:val="20"/>
                <w:szCs w:val="20"/>
              </w:rPr>
              <w:t xml:space="preserve"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 «Свой Бизнес» с использованием Личного кабинета предоставляется в соответствии с п.7.6.2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«Интернет-Клиент», «Мобильный банк»,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7.8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-сообщения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7.9.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«</w:t>
            </w:r>
            <w:r>
              <w:rPr>
                <w:sz w:val="20"/>
                <w:szCs w:val="20"/>
                <w:lang w:val="en-US"/>
              </w:rPr>
              <w:t xml:space="preserve">SMS </w:t>
            </w:r>
            <w:r>
              <w:rPr>
                <w:sz w:val="20"/>
                <w:szCs w:val="20"/>
              </w:rPr>
              <w:t xml:space="preserve">информирование»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7.9.1.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Комиссионное вознаграждение (абонентская плата) </w:t>
            </w:r>
            <w:r>
              <w:br/>
              <w:t xml:space="preserve">за сервис </w:t>
            </w:r>
            <w:r>
              <w:t xml:space="preserve">«</w:t>
            </w:r>
            <w:r>
              <w:rPr>
                <w:lang w:val="en-US"/>
              </w:rPr>
              <w:t xml:space="preserve">SMS</w:t>
            </w:r>
            <w:r>
              <w:t xml:space="preserve"> информирование» (далее – Сервис) в рамках операций по счетам Клиента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189 руб. ежемесячно за каждый банковский счет, подключенный </w:t>
            </w:r>
            <w:r>
              <w:br/>
              <w:t xml:space="preserve">к Сервису, </w:t>
            </w:r>
            <w:r>
              <w:br/>
              <w:t xml:space="preserve">и за каждый телефонный номер</w:t>
            </w:r>
            <w:r/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</w:rPr>
            </w:pPr>
            <w: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</w:t>
            </w:r>
            <w:r>
              <w:t xml:space="preserve">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При подключении Сервиса до 15-го числа календарного месяца комиссия за текущий месяц взимается </w:t>
            </w:r>
            <w:r>
              <w:br/>
              <w:t xml:space="preserve">в размере 100%. При подключении Сервиса с 15-го числа календарного месяца и позднее, комиссия </w:t>
            </w:r>
            <w:r>
              <w:br/>
              <w:t xml:space="preserve">за текущий месяц взимается в размере 50% от расчетной величины. </w:t>
            </w:r>
            <w:r/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независимо </w:t>
            </w:r>
            <w:r>
              <w:br/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счету).».</w:t>
            </w:r>
            <w:r/>
          </w:p>
        </w:tc>
      </w:tr>
    </w:tbl>
    <w:p>
      <w:pPr>
        <w:rPr>
          <w:i/>
          <w:iCs/>
          <w:sz w:val="16"/>
          <w:szCs w:val="16"/>
          <w:u w:val="single"/>
        </w:rPr>
      </w:pPr>
      <w:r>
        <w:rPr>
          <w:i/>
          <w:iCs/>
          <w:sz w:val="16"/>
          <w:szCs w:val="16"/>
          <w:u w:val="single"/>
        </w:rPr>
        <w:t xml:space="preserve">Примечание:</w:t>
      </w:r>
      <w:r>
        <w:rPr>
          <w:i/>
          <w:iCs/>
          <w:sz w:val="16"/>
          <w:szCs w:val="16"/>
          <w:u w:val="single"/>
        </w:rPr>
      </w:r>
      <w:r>
        <w:rPr>
          <w:i/>
          <w:iCs/>
          <w:sz w:val="16"/>
          <w:szCs w:val="16"/>
          <w:u w:val="single"/>
        </w:rPr>
      </w:r>
    </w:p>
    <w:p>
      <w:pPr>
        <w:rPr>
          <w:bCs/>
          <w:i/>
          <w:iCs/>
          <w:sz w:val="16"/>
          <w:szCs w:val="16"/>
          <w:u w:val="single"/>
        </w:rPr>
      </w:pPr>
      <w:r>
        <w:rPr>
          <w:bCs/>
          <w:i/>
          <w:sz w:val="16"/>
          <w:szCs w:val="16"/>
        </w:rPr>
        <w:t xml:space="preserve">Отдельные счета головного исполнителя, отдельные счета исп</w:t>
      </w:r>
      <w:r>
        <w:rPr>
          <w:bCs/>
          <w:i/>
          <w:sz w:val="16"/>
          <w:szCs w:val="16"/>
        </w:rPr>
        <w:t xml:space="preserve">олнителя государственного оборонного заказа, специальные банковские счета для размещения саморегулируемыми организациями средств компенсационного фонда, специальные банковские счета для размещения саморегулируемыми организациями средств компенсационного фо</w:t>
      </w:r>
      <w:r>
        <w:rPr>
          <w:bCs/>
          <w:i/>
          <w:sz w:val="16"/>
          <w:szCs w:val="16"/>
        </w:rPr>
        <w:t xml:space="preserve">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 открытые в Банке, обслуживаются без взимания Банком комиссии.</w:t>
      </w:r>
      <w:r>
        <w:rPr>
          <w:bCs/>
          <w:i/>
          <w:iCs/>
          <w:sz w:val="16"/>
          <w:szCs w:val="16"/>
          <w:u w:val="single"/>
        </w:rPr>
      </w:r>
      <w:r>
        <w:rPr>
          <w:bCs/>
          <w:i/>
          <w:iCs/>
          <w:sz w:val="16"/>
          <w:szCs w:val="16"/>
          <w:u w:val="single"/>
        </w:rPr>
      </w:r>
    </w:p>
    <w:p>
      <w:pPr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1.</w:t>
      </w:r>
      <w:r>
        <w:rPr>
          <w:bCs/>
          <w:i/>
          <w:iCs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</w:t>
      </w:r>
      <w:r>
        <w:rPr>
          <w:bCs/>
          <w:i/>
          <w:iCs/>
          <w:sz w:val="16"/>
          <w:szCs w:val="16"/>
        </w:rPr>
        <w:tab/>
        <w:t xml:space="preserve">Дистанционное банковское обслуживание бюджетных (некоммерческих) учреждений осуществляется бесплатно. 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3.</w:t>
      </w:r>
      <w:r>
        <w:rPr>
          <w:bCs/>
          <w:i/>
          <w:iCs/>
          <w:sz w:val="16"/>
          <w:szCs w:val="16"/>
        </w:rPr>
        <w:tab/>
      </w:r>
      <w:r>
        <w:rPr>
          <w:bCs/>
          <w:i/>
          <w:iCs/>
          <w:sz w:val="16"/>
          <w:szCs w:val="16"/>
        </w:rPr>
        <w:t xml:space="preserve"> В </w:t>
      </w:r>
      <w:r>
        <w:rPr>
          <w:bCs/>
          <w:i/>
          <w:iCs/>
          <w:sz w:val="16"/>
          <w:szCs w:val="16"/>
        </w:rPr>
        <w:t xml:space="preserve">случае если на момент оказания услуги клиент не имеет счетов, открытых в АО «</w:t>
      </w:r>
      <w:r>
        <w:rPr>
          <w:bCs/>
          <w:i/>
          <w:iCs/>
          <w:sz w:val="16"/>
          <w:szCs w:val="16"/>
        </w:rPr>
        <w:t xml:space="preserve">Россельхозбанк</w:t>
      </w:r>
      <w:r>
        <w:rPr>
          <w:bCs/>
          <w:i/>
          <w:iCs/>
          <w:sz w:val="16"/>
          <w:szCs w:val="16"/>
        </w:rPr>
        <w:t xml:space="preserve"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4.</w:t>
      </w:r>
      <w:r>
        <w:rPr>
          <w:bCs/>
          <w:i/>
          <w:iCs/>
          <w:sz w:val="16"/>
          <w:szCs w:val="16"/>
        </w:rPr>
        <w:tab/>
      </w:r>
      <w:r>
        <w:rPr>
          <w:i/>
          <w:sz w:val="16"/>
          <w:szCs w:val="16"/>
        </w:rPr>
        <w:t xml:space="preserve">По операциям, совершаемым через «Мобильный банк»/ «Мобильное приложение «Свой Бизнес </w:t>
      </w:r>
      <w:r>
        <w:rPr>
          <w:i/>
          <w:sz w:val="16"/>
          <w:szCs w:val="16"/>
        </w:rPr>
        <w:t xml:space="preserve">Мобайл</w:t>
      </w:r>
      <w:r>
        <w:rPr>
          <w:i/>
          <w:sz w:val="16"/>
          <w:szCs w:val="16"/>
        </w:rPr>
        <w:t xml:space="preserve">», установлены следующие лимиты: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операцию – 5 000 000 (Пять миллионов) рублей;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- 10 000 000 (Десять миллионов) рублей. Сутки – с 0:00 до 24:00 по московскому времени.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21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Под обязательствами перед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по кредитным сделкам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21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по вышеуказанным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10"/>
        <w:numPr>
          <w:ilvl w:val="0"/>
          <w:numId w:val="2"/>
        </w:numPr>
      </w:pPr>
      <w:r/>
      <w:bookmarkStart w:id="8" w:name="_Toc64472184"/>
      <w:r>
        <w:t xml:space="preserve">Хранение</w:t>
      </w:r>
      <w:r>
        <w:t xml:space="preserve"> </w:t>
      </w:r>
      <w:r>
        <w:t xml:space="preserve">ценностей</w:t>
      </w:r>
      <w:r>
        <w:t xml:space="preserve"> </w:t>
      </w:r>
      <w:r>
        <w:t xml:space="preserve">клиентов</w:t>
      </w:r>
      <w:r>
        <w:t xml:space="preserve"> </w:t>
      </w:r>
      <w:r>
        <w:t xml:space="preserve">в</w:t>
      </w:r>
      <w:r>
        <w:t xml:space="preserve"> </w:t>
      </w:r>
      <w:r>
        <w:t xml:space="preserve">хранилище</w:t>
      </w:r>
      <w:r>
        <w:t xml:space="preserve"> </w:t>
      </w:r>
      <w:r>
        <w:t xml:space="preserve">ценностей</w:t>
      </w:r>
      <w:r>
        <w:t xml:space="preserve"> </w:t>
      </w:r>
      <w:r>
        <w:t xml:space="preserve">Банка</w:t>
      </w:r>
      <w:bookmarkEnd w:id="8"/>
      <w:r/>
      <w:r/>
    </w:p>
    <w:p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(с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учетом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НДС)</w:t>
      </w: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</w:p>
    <w:p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</w:p>
    <w:tbl>
      <w:tblPr>
        <w:tblW w:w="995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147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мест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$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месяц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r/>
      <w:r/>
    </w:p>
    <w:p>
      <w:pPr>
        <w:pStyle w:val="1110"/>
        <w:numPr>
          <w:ilvl w:val="0"/>
          <w:numId w:val="2"/>
        </w:numPr>
      </w:pPr>
      <w:r/>
      <w:bookmarkStart w:id="9" w:name="_Toc64472185"/>
      <w:r>
        <w:t xml:space="preserve">Операции по предоставлению клиентам в аренду индивидуальных сейфовых ячеек</w:t>
      </w:r>
      <w:bookmarkEnd w:id="9"/>
      <w:r/>
      <w:r/>
    </w:p>
    <w:p>
      <w:r/>
      <w:r/>
    </w:p>
    <w:tbl>
      <w:tblPr>
        <w:tblW w:w="995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147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9.1.Предоставление в аренду индивидуальных сейфовых ячеек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  <w:t xml:space="preserve">от 50 до 74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оказывается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76,2 х 254 х 465 (мм)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127 х 254 х 465 (мм)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254 х 254 х 465 (мм)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381 х 254 х 465 (мм)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  <w:t xml:space="preserve">от 516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оказывается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  <w:t xml:space="preserve">0 руб. за каждое посещение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 за единицу банковской техники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и уплачивается в момент предоставления услуги»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r/>
      <w:r/>
    </w:p>
    <w:p>
      <w:pPr>
        <w:pStyle w:val="1110"/>
        <w:numPr>
          <w:ilvl w:val="0"/>
          <w:numId w:val="2"/>
        </w:numPr>
      </w:pPr>
      <w:r/>
      <w:bookmarkStart w:id="10" w:name="_Toc64472186"/>
      <w:r>
        <w:t xml:space="preserve">Услуги</w:t>
      </w:r>
      <w:r>
        <w:t xml:space="preserve"> </w:t>
      </w:r>
      <w:r>
        <w:t xml:space="preserve">инкассации</w:t>
      </w:r>
      <w:bookmarkEnd w:id="10"/>
      <w:r>
        <w:t xml:space="preserve"> </w:t>
      </w:r>
      <w:r/>
    </w:p>
    <w:p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290"/>
      </w:tblGrid>
      <w:tr>
        <w:tblPrEx/>
        <w:trPr>
          <w:trHeight w:val="332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по договору с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(включительно),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0 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  <w:br/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/>
              <w:t xml:space="preserve">от суммы с 5 000 000,01** руб. </w:t>
            </w:r>
            <w:r>
              <w:rPr>
                <w:sz w:val="20"/>
                <w:szCs w:val="20"/>
              </w:rPr>
              <w:br/>
              <w:t xml:space="preserve">и выше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ind w:left="-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-51" w:firstLine="51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», с переводом денежных средств на счет клиента, открытый в другой кредитной организации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0,2% </w:t>
            </w:r>
            <w:r>
              <w:rPr>
                <w:sz w:val="20"/>
                <w:szCs w:val="20"/>
              </w:rPr>
              <w:br/>
              <w:t xml:space="preserve">от суммы, минимум 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34" w:hanging="34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</w:p>
    <w:p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  <w:u w:val="single"/>
        </w:rPr>
        <w:t xml:space="preserve">Примечание</w:t>
      </w:r>
      <w:r>
        <w:rPr>
          <w:bCs/>
          <w:i/>
          <w:sz w:val="16"/>
          <w:szCs w:val="16"/>
        </w:rPr>
        <w:t xml:space="preserve">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* </w:t>
      </w:r>
      <w:r>
        <w:rPr>
          <w:bCs/>
          <w:i/>
          <w:sz w:val="16"/>
          <w:szCs w:val="16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276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</w:t>
      </w:r>
      <w:r>
        <w:rPr>
          <w:b/>
          <w:i/>
          <w:sz w:val="16"/>
          <w:szCs w:val="16"/>
        </w:rPr>
        <w:t xml:space="preserve">Заезд</w:t>
      </w:r>
      <w:r>
        <w:rPr>
          <w:i/>
          <w:sz w:val="16"/>
          <w:szCs w:val="16"/>
        </w:rPr>
        <w:t xml:space="preserve"> – прибытие бригады инка</w:t>
      </w:r>
      <w:r>
        <w:rPr>
          <w:i/>
          <w:sz w:val="16"/>
          <w:szCs w:val="16"/>
        </w:rPr>
        <w:t xml:space="preserve">ссаторских работников в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</w:t>
      </w:r>
      <w:r>
        <w:rPr>
          <w:b/>
          <w:i/>
          <w:sz w:val="16"/>
          <w:szCs w:val="16"/>
        </w:rPr>
        <w:t xml:space="preserve">Объект инкассации</w:t>
      </w:r>
      <w:r>
        <w:rPr>
          <w:i/>
          <w:sz w:val="16"/>
          <w:szCs w:val="16"/>
        </w:rPr>
        <w:t xml:space="preserve"> –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терминал.».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10"/>
        <w:numPr>
          <w:ilvl w:val="0"/>
          <w:numId w:val="2"/>
        </w:numPr>
      </w:pPr>
      <w:r/>
      <w:bookmarkStart w:id="11" w:name="_Toc64472187"/>
      <w:r>
        <w:t xml:space="preserve">Операции</w:t>
      </w:r>
      <w:r>
        <w:t xml:space="preserve"> </w:t>
      </w:r>
      <w:r>
        <w:t xml:space="preserve">по</w:t>
      </w:r>
      <w:r>
        <w:t xml:space="preserve"> </w:t>
      </w:r>
      <w:r>
        <w:t xml:space="preserve">покупке-продаже</w:t>
      </w:r>
      <w:r>
        <w:t xml:space="preserve"> </w:t>
      </w:r>
      <w:r>
        <w:t xml:space="preserve">иностранной</w:t>
      </w:r>
      <w:r>
        <w:t xml:space="preserve"> </w:t>
      </w:r>
      <w:r>
        <w:t xml:space="preserve">валюты</w:t>
      </w:r>
      <w:r>
        <w:t xml:space="preserve">¹</w:t>
      </w:r>
      <w:bookmarkEnd w:id="11"/>
      <w:r/>
      <w:r/>
    </w:p>
    <w:p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701"/>
        <w:gridCol w:w="1588"/>
      </w:tblGrid>
      <w:tr>
        <w:tblPrEx/>
        <w:trPr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%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от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суммы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0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российские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рубли*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установленным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размером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расчетной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операции²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Операция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пятницам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предпраздничные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уменьшается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соответствующее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сокращение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рабочего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времени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Банка).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принимаются.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Списание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зачисление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4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пятницам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предпраздничные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уменьшается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соответствующее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сокращение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рабочего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времени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Банка).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принимаются.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Списание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зачисление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094" w:type="dxa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Операции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по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обязательной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продаже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части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валютной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выручки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на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внутреннем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валютном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рынке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Российской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Федерации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осуществляются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Банком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по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правилам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11.1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настоящих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Тарифов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с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учетом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требований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нормативных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документов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Банка России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0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российские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установленным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размером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расчетной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комиссии,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действующим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соответствующую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дату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совершения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операции²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4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предоставленной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пятницам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предпраздничные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уменьшается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соответствующее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сокращение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рабочего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времени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Банка).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принимаются.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Списание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зачисление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tcW w:w="924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предоставленной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пятницам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предпраздничные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уменьшается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соответствующее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сокращение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рабочего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времени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Банка).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принимаются.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Списание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зачисление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i/>
          <w:sz w:val="18"/>
          <w:szCs w:val="18"/>
        </w:rPr>
      </w:pPr>
      <w:r>
        <w:rPr>
          <w:i/>
          <w:sz w:val="18"/>
          <w:szCs w:val="18"/>
        </w:rPr>
      </w:r>
      <w:r>
        <w:rPr>
          <w:i/>
          <w:sz w:val="18"/>
          <w:szCs w:val="18"/>
        </w:rPr>
      </w:r>
      <w:r>
        <w:rPr>
          <w:i/>
          <w:sz w:val="18"/>
          <w:szCs w:val="18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</w:t>
      </w:r>
      <w:r>
        <w:rPr>
          <w:i/>
          <w:sz w:val="16"/>
          <w:szCs w:val="16"/>
        </w:rPr>
        <w:t xml:space="preserve">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1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Покупка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продажа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валюты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непосредственно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осуществляется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только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тем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видам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валют,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которым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головным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офисом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установлены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соответствующие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курсы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(Курс(ы)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2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имеет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право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изменять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Курс(ы)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и/или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размер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расчетной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комиссии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течение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дня.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3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совершении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операций,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указанных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п.п.11.1-11.2,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Курс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и/или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размер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расчетной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комиссии,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действующий(</w:t>
      </w:r>
      <w:r>
        <w:rPr>
          <w:i/>
          <w:sz w:val="16"/>
          <w:szCs w:val="16"/>
        </w:rPr>
        <w:t xml:space="preserve">ие</w:t>
      </w:r>
      <w:r>
        <w:rPr>
          <w:i/>
          <w:sz w:val="16"/>
          <w:szCs w:val="16"/>
        </w:rPr>
        <w:t xml:space="preserve">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дату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время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совершения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операции,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сообщаются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клиенту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после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приема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исполнению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color w:val="ff0000"/>
          <w:sz w:val="16"/>
          <w:szCs w:val="16"/>
        </w:rPr>
      </w:pPr>
      <w:r>
        <w:rPr>
          <w:i/>
          <w:color w:val="ff0000"/>
          <w:sz w:val="16"/>
          <w:szCs w:val="16"/>
        </w:rPr>
      </w:r>
      <w:r>
        <w:rPr>
          <w:i/>
          <w:color w:val="ff0000"/>
          <w:sz w:val="16"/>
          <w:szCs w:val="16"/>
        </w:rPr>
      </w:r>
      <w:r>
        <w:rPr>
          <w:i/>
          <w:color w:val="ff0000"/>
          <w:sz w:val="16"/>
          <w:szCs w:val="16"/>
        </w:rPr>
      </w:r>
    </w:p>
    <w:p>
      <w:pPr>
        <w:pStyle w:val="1110"/>
        <w:numPr>
          <w:ilvl w:val="0"/>
          <w:numId w:val="2"/>
        </w:numPr>
        <w:rPr>
          <w:color w:val="ff0000"/>
        </w:rPr>
      </w:pPr>
      <w:r/>
      <w:bookmarkStart w:id="12" w:name="_Toc64472188"/>
      <w:r>
        <w:rPr>
          <w:color w:val="ff0000"/>
        </w:rPr>
        <w:t xml:space="preserve">Кредитные</w:t>
      </w:r>
      <w:r>
        <w:rPr>
          <w:color w:val="ff0000"/>
        </w:rPr>
        <w:t xml:space="preserve"> </w:t>
      </w:r>
      <w:r>
        <w:rPr>
          <w:color w:val="ff0000"/>
        </w:rPr>
        <w:t xml:space="preserve">операции</w:t>
      </w:r>
      <w:bookmarkEnd w:id="12"/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289"/>
      </w:tblGrid>
      <w:tr>
        <w:tblPrEx/>
        <w:trPr>
          <w:trHeight w:val="254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12.1.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кредита,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том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числе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способами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открытия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кредитной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линии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кредитованием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банковского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счета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(овердрафт)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менее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0,8%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при кредитовании в рамках кредитного продукта «Стань фермером» в соответствии с Положением о кредитовании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начинающих фермеров № 423-П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rFonts w:eastAsia="Calibri"/>
                <w:sz w:val="20"/>
                <w:szCs w:val="20"/>
              </w:rPr>
              <w:t xml:space="preserve">Агростарт</w:t>
            </w:r>
            <w:r>
              <w:rPr>
                <w:rFonts w:eastAsia="Calibri"/>
                <w:sz w:val="20"/>
                <w:szCs w:val="20"/>
              </w:rPr>
              <w:t xml:space="preserve">» в соответствии с Положением о кредитовании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начинающих фермеров № 423-П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0,1%</w:t>
            </w:r>
            <w:r>
              <w:t xml:space="preserve">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 работ, </w:t>
            </w:r>
            <w:r>
              <w:rPr>
                <w:bCs/>
                <w:sz w:val="20"/>
                <w:szCs w:val="20"/>
              </w:rPr>
              <w:br/>
              <w:t xml:space="preserve">№ 411-П, Порядка предоставления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</w:t>
            </w:r>
            <w:r>
              <w:rPr>
                <w:bCs/>
                <w:sz w:val="20"/>
                <w:szCs w:val="20"/>
              </w:rPr>
              <w:t xml:space="preserve"> интервенционного фонда № 372-П.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</w:t>
            </w:r>
            <w:r>
              <w:rPr>
                <w:sz w:val="20"/>
                <w:szCs w:val="20"/>
              </w:rPr>
              <w:t xml:space="preserve"> на период действия льготных условий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 656-П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</w:t>
            </w:r>
            <w:r>
              <w:rPr>
                <w:bCs/>
                <w:sz w:val="20"/>
                <w:szCs w:val="20"/>
              </w:rPr>
              <w:t xml:space="preserve">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«Сезонны</w:t>
            </w:r>
            <w:r>
              <w:rPr>
                <w:bCs/>
                <w:sz w:val="20"/>
                <w:szCs w:val="20"/>
              </w:rPr>
              <w:t xml:space="preserve">й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  <w:t xml:space="preserve">,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 приобретения залогового имущества с торгов/имущества Банка № 694-П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t xml:space="preserve">АО«Россельхозбанк</w:t>
            </w:r>
            <w:r>
              <w:rPr>
                <w:bCs/>
                <w:sz w:val="20"/>
                <w:szCs w:val="20"/>
              </w:rPr>
              <w:t xml:space="preserve">» № 738-П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рефинансировании (реструктурировании) за счет средств АО «МСП Банк» кредитов, предоставленных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12.2.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Обслуживание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кредита,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кредитной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линии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форме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«овердрафт»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течение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всего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периода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действия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менее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0,5%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годовых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9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sz w:val="20"/>
                <w:szCs w:val="20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при кредитовании в рамках кредитного продукта «</w:t>
            </w:r>
            <w:r>
              <w:rPr>
                <w:rFonts w:eastAsia="Calibri"/>
                <w:sz w:val="20"/>
                <w:szCs w:val="20"/>
              </w:rPr>
              <w:t xml:space="preserve">Агростарт</w:t>
            </w:r>
            <w:r>
              <w:rPr>
                <w:rFonts w:eastAsia="Calibri"/>
                <w:sz w:val="20"/>
                <w:szCs w:val="20"/>
              </w:rPr>
              <w:t xml:space="preserve">» в соответствии с Положением о кредитовании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начинающих фермеров № 423-П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 работ, </w:t>
            </w:r>
            <w:r>
              <w:rPr>
                <w:bCs/>
                <w:sz w:val="20"/>
                <w:szCs w:val="20"/>
              </w:rPr>
              <w:br/>
              <w:t xml:space="preserve">№ 411-П, Порядка предоставления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</w:t>
            </w:r>
            <w:r>
              <w:rPr>
                <w:bCs/>
                <w:sz w:val="20"/>
                <w:szCs w:val="20"/>
              </w:rPr>
              <w:t xml:space="preserve"> интервенционного фонда № 372-П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при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кредитовании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использованием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связанного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финансирования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</w:t>
            </w:r>
            <w:r>
              <w:rPr>
                <w:sz w:val="20"/>
                <w:szCs w:val="20"/>
              </w:rPr>
              <w:t xml:space="preserve">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656-П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«Сезонный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»,</w:t>
            </w:r>
            <w:r>
              <w:rPr>
                <w:bCs/>
                <w:sz w:val="20"/>
                <w:szCs w:val="20"/>
              </w:rPr>
              <w:t xml:space="preserve">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при кредитовании в рамках Порядка кредитования клиентов </w:t>
            </w:r>
            <w:r>
              <w:rPr>
                <w:sz w:val="20"/>
                <w:szCs w:val="20"/>
              </w:rPr>
              <w:t xml:space="preserve">микробизнеса</w:t>
            </w:r>
            <w:r>
              <w:rPr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 738-П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Резервирование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(бронирование)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9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22"/>
                <w:sz w:val="20"/>
                <w:szCs w:val="20"/>
              </w:rPr>
              <w:footnoteReference w:id="4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51"/>
              <w:numPr>
                <w:ilvl w:val="0"/>
                <w:numId w:val="3"/>
              </w:numPr>
              <w:contextualSpacing/>
              <w:ind w:left="0" w:firstLine="0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открытии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линии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форме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«овердрафт»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более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1% годовых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срока(-</w:t>
            </w:r>
            <w:r>
              <w:rPr>
                <w:sz w:val="20"/>
                <w:szCs w:val="20"/>
              </w:rPr>
              <w:t xml:space="preserve">ов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возврата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(основного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долга)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инициативе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заемщика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bCs/>
                <w:color w:val="auto"/>
                <w:sz w:val="20"/>
                <w:szCs w:val="20"/>
              </w:rPr>
              <w:t xml:space="preserve">микробизнеса</w:t>
            </w:r>
            <w:r>
              <w:rPr>
                <w:bCs/>
                <w:color w:val="auto"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№ 738-П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</w:rPr>
              <w:t xml:space="preserve">- </w:t>
            </w:r>
            <w:r>
              <w:rPr>
                <w:color w:val="auto"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color w:val="auto"/>
                <w:sz w:val="20"/>
                <w:szCs w:val="20"/>
              </w:rPr>
              <w:br/>
              <w:t xml:space="preserve">АО «МСП Банк» № 547-П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</w:t>
            </w:r>
            <w:r>
              <w:rPr>
                <w:bCs/>
                <w:color w:val="auto"/>
                <w:sz w:val="20"/>
                <w:szCs w:val="20"/>
              </w:rPr>
              <w:t xml:space="preserve">при кредитовании в рамках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bCs/>
                <w:color w:val="auto"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№ 598-П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</w:t>
            </w:r>
            <w:r>
              <w:rPr>
                <w:color w:val="auto"/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color w:val="auto"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122"/>
                <w:color w:val="auto"/>
                <w:sz w:val="20"/>
                <w:szCs w:val="20"/>
              </w:rPr>
              <w:footnoteReference w:id="5"/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-при кредитовании по договору об </w:t>
            </w:r>
            <w:r>
              <w:rPr>
                <w:bCs/>
                <w:color w:val="auto"/>
                <w:sz w:val="20"/>
                <w:szCs w:val="20"/>
              </w:rPr>
              <w:t xml:space="preserve">открытии кредитной линии, </w:t>
            </w:r>
            <w:r>
              <w:rPr>
                <w:bCs/>
                <w:color w:val="auto"/>
                <w:sz w:val="20"/>
                <w:szCs w:val="20"/>
              </w:rPr>
              <w:t xml:space="preserve">заключенному </w:t>
            </w:r>
            <w:r>
              <w:rPr>
                <w:color w:val="auto"/>
                <w:sz w:val="20"/>
                <w:szCs w:val="20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  <w:color w:val="auto"/>
                <w:sz w:val="20"/>
                <w:szCs w:val="20"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более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1% годовых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</w:t>
            </w:r>
            <w:r>
              <w:rPr>
                <w:bCs/>
                <w:sz w:val="20"/>
                <w:szCs w:val="20"/>
              </w:rPr>
              <w:t xml:space="preserve">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/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89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условий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сделки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инициативе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заемщика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изменении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процентной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ставки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сумме,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которую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начисляется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</w:t>
            </w:r>
            <w:r>
              <w:rPr>
                <w:bCs/>
                <w:sz w:val="20"/>
                <w:szCs w:val="20"/>
              </w:rPr>
              <w:t xml:space="preserve">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hanging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hanging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досрочного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(основного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долга)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инициативе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заемщика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без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соблюдения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процедуры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предварительного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письменного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согласования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сделкам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сроком(-</w:t>
            </w:r>
            <w:r>
              <w:rPr>
                <w:sz w:val="20"/>
                <w:szCs w:val="20"/>
              </w:rPr>
              <w:t xml:space="preserve">ами</w:t>
            </w:r>
            <w:r>
              <w:rPr>
                <w:sz w:val="20"/>
                <w:szCs w:val="20"/>
              </w:rPr>
              <w:t xml:space="preserve">),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оставшимся(-</w:t>
            </w:r>
            <w:r>
              <w:rPr>
                <w:sz w:val="20"/>
                <w:szCs w:val="20"/>
              </w:rPr>
              <w:t xml:space="preserve">ися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графиком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(возврата)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(основного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долга/окончательной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возврата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отсутствии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графика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(возврата)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(основного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долга)):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календарных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181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365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календарных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-свыше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365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календарных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использованием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связного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вышеуказанной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взимаются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финансирующего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досрочное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</w:t>
            </w:r>
            <w:r>
              <w:rPr>
                <w:color w:val="auto"/>
                <w:sz w:val="20"/>
                <w:szCs w:val="20"/>
              </w:rPr>
              <w:t xml:space="preserve">осрочный возврат кредита (основного долга) по инициативе заемщика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по договору об открытии кредитной линии с лимитом задолженности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в рамках Порядка предоставления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кредитов на цели, связанные с проведением сезонных работ, № 411-П 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</w:t>
            </w:r>
            <w:r>
              <w:rPr>
                <w:bCs/>
                <w:color w:val="auto"/>
                <w:sz w:val="20"/>
                <w:szCs w:val="20"/>
              </w:rPr>
              <w:t xml:space="preserve">при кредитовании в рамках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bCs/>
                <w:color w:val="auto"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bCs/>
                <w:color w:val="auto"/>
                <w:sz w:val="20"/>
                <w:szCs w:val="20"/>
              </w:rPr>
              <w:t xml:space="preserve">Микро_АПК</w:t>
            </w:r>
            <w:r>
              <w:rPr>
                <w:bCs/>
                <w:color w:val="auto"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color w:val="auto"/>
                <w:sz w:val="20"/>
                <w:szCs w:val="20"/>
              </w:rPr>
              <w:t xml:space="preserve">микробизнеса</w:t>
            </w:r>
            <w:r>
              <w:rPr>
                <w:bCs/>
                <w:color w:val="auto"/>
                <w:sz w:val="20"/>
                <w:szCs w:val="20"/>
              </w:rPr>
              <w:t xml:space="preserve"> в АО 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№ 656-П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 при кредитовании в соответствии с Порядком рефинансирования АО «</w:t>
            </w:r>
            <w:r>
              <w:rPr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color w:val="auto"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«Сезонный </w:t>
            </w:r>
            <w:r>
              <w:rPr>
                <w:color w:val="auto"/>
                <w:sz w:val="20"/>
                <w:szCs w:val="20"/>
              </w:rPr>
              <w:t xml:space="preserve">Рефинанс</w:t>
            </w:r>
            <w:r>
              <w:rPr>
                <w:color w:val="auto"/>
                <w:sz w:val="20"/>
                <w:szCs w:val="20"/>
              </w:rPr>
              <w:t xml:space="preserve">»,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при кредитовании в рамках Порядка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кредитования клиентов </w:t>
            </w:r>
            <w:r>
              <w:rPr>
                <w:color w:val="auto"/>
                <w:sz w:val="20"/>
                <w:szCs w:val="20"/>
              </w:rPr>
              <w:t xml:space="preserve">микробизнеса</w:t>
            </w:r>
            <w:r>
              <w:rPr>
                <w:color w:val="auto"/>
                <w:sz w:val="20"/>
                <w:szCs w:val="20"/>
              </w:rPr>
              <w:t xml:space="preserve"> по кредитному продукту «Бизнес-карта с лимитом кредитования» в АО «</w:t>
            </w:r>
            <w:r>
              <w:rPr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color w:val="auto"/>
                <w:sz w:val="20"/>
                <w:szCs w:val="20"/>
              </w:rPr>
              <w:t xml:space="preserve">» № 738-П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 </w:t>
            </w:r>
            <w:r>
              <w:rPr>
                <w:bCs/>
                <w:color w:val="auto"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color w:val="auto"/>
                <w:sz w:val="20"/>
                <w:szCs w:val="20"/>
              </w:rPr>
              <w:t xml:space="preserve"> </w:t>
            </w:r>
            <w:r>
              <w:rPr>
                <w:bCs/>
                <w:color w:val="auto"/>
                <w:sz w:val="20"/>
                <w:szCs w:val="20"/>
              </w:rPr>
              <w:t xml:space="preserve">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юридических лиц – публичных обществ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в рамках Генерального соглашения о порядке заключения кредитных сделок № 447-П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color w:val="auto"/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color w:val="auto"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-при кредитовании в рамках решен</w:t>
            </w:r>
            <w:r>
              <w:rPr>
                <w:bCs/>
                <w:color w:val="auto"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color w:val="auto"/>
                <w:sz w:val="20"/>
                <w:szCs w:val="20"/>
                <w:vertAlign w:val="superscript"/>
              </w:rPr>
              <w:footnoteReference w:id="6"/>
            </w:r>
            <w:r>
              <w:rPr>
                <w:color w:val="auto"/>
                <w:sz w:val="20"/>
                <w:szCs w:val="20"/>
                <w:vertAlign w:val="superscript"/>
              </w:rPr>
              <w:t xml:space="preserve">,</w:t>
            </w:r>
            <w:r>
              <w:rPr>
                <w:color w:val="auto"/>
                <w:sz w:val="20"/>
                <w:szCs w:val="20"/>
                <w:vertAlign w:val="superscript"/>
              </w:rPr>
              <w:footnoteReference w:id="7"/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 договоренности сторон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 договоренности сторон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 договоренности сторон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взимается,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  <w:t xml:space="preserve">              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</w:t>
            </w:r>
            <w:r>
              <w:rPr>
                <w:color w:val="auto"/>
                <w:sz w:val="20"/>
                <w:szCs w:val="20"/>
              </w:rPr>
              <w:t xml:space="preserve">более 1,5%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более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1,5% годовых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 в случаях, предусмотренных договором о залоге/ ипотеке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</w:t>
            </w:r>
            <w:r>
              <w:rPr>
                <w:bCs/>
                <w:sz w:val="20"/>
                <w:szCs w:val="20"/>
              </w:rPr>
              <w:t xml:space="preserve">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>
              <w:rPr>
                <w:sz w:val="20"/>
                <w:szCs w:val="20"/>
              </w:rPr>
              <w:t xml:space="preserve">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</w:t>
            </w:r>
            <w:r>
              <w:rPr>
                <w:sz w:val="20"/>
                <w:szCs w:val="20"/>
              </w:rPr>
              <w:t xml:space="preserve">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</w:t>
            </w:r>
            <w:r>
              <w:rPr>
                <w:sz w:val="20"/>
                <w:szCs w:val="20"/>
              </w:rPr>
              <w:t xml:space="preserve">- 15</w:t>
            </w:r>
            <w:r>
              <w:rPr>
                <w:sz w:val="20"/>
                <w:szCs w:val="20"/>
              </w:rPr>
              <w:t xml:space="preserve">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5" w:leader="none"/>
                <w:tab w:val="center" w:pos="88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  <w:u w:val="single"/>
        </w:rPr>
        <w:t xml:space="preserve">Лимит кредитования</w:t>
      </w:r>
      <w:r>
        <w:rPr>
          <w:bCs/>
          <w:i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i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/>
          <w:iCs/>
          <w:sz w:val="20"/>
          <w:szCs w:val="20"/>
          <w:u w:val="single"/>
        </w:rPr>
        <w:t xml:space="preserve">Примечание</w:t>
      </w:r>
      <w:r>
        <w:rPr>
          <w:bCs/>
          <w:i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1.</w:t>
      </w:r>
      <w:r>
        <w:rPr>
          <w:i/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20"/>
        </w:rPr>
      </w:pPr>
      <w:r>
        <w:rPr>
          <w:bCs/>
          <w:i/>
          <w:iCs/>
          <w:sz w:val="20"/>
          <w:szCs w:val="20"/>
        </w:rPr>
        <w:t xml:space="preserve">2.</w:t>
      </w:r>
      <w:r>
        <w:rPr>
          <w:bCs/>
          <w:i/>
          <w:iCs/>
          <w:sz w:val="20"/>
          <w:szCs w:val="20"/>
        </w:rPr>
        <w:tab/>
        <w:t xml:space="preserve">Установление размера(</w:t>
      </w:r>
      <w:r>
        <w:rPr>
          <w:bCs/>
          <w:i/>
          <w:iCs/>
          <w:sz w:val="20"/>
          <w:szCs w:val="20"/>
        </w:rPr>
        <w:t xml:space="preserve">ов</w:t>
      </w:r>
      <w:r>
        <w:rPr>
          <w:bCs/>
          <w:i/>
          <w:iCs/>
          <w:sz w:val="20"/>
          <w:szCs w:val="20"/>
        </w:rPr>
        <w:t xml:space="preserve">) комиссии(</w:t>
      </w:r>
      <w:r>
        <w:rPr>
          <w:bCs/>
          <w:i/>
          <w:iCs/>
          <w:sz w:val="20"/>
          <w:szCs w:val="20"/>
        </w:rPr>
        <w:t xml:space="preserve">ий</w:t>
      </w:r>
      <w:r>
        <w:rPr>
          <w:bCs/>
          <w:i/>
          <w:iCs/>
          <w:sz w:val="20"/>
          <w:szCs w:val="20"/>
        </w:rPr>
        <w:t xml:space="preserve">) и/или иного порядка её(их) уплаты, не предусмотренных настоящим разделом Тарифов, при на</w:t>
      </w:r>
      <w:r>
        <w:rPr>
          <w:bCs/>
          <w:i/>
          <w:iCs/>
          <w:sz w:val="20"/>
          <w:szCs w:val="20"/>
        </w:rPr>
        <w:t xml:space="preserve">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управлению активами и пассивами АО «</w:t>
      </w:r>
      <w:r>
        <w:rPr>
          <w:bCs/>
          <w:i/>
          <w:iCs/>
          <w:sz w:val="20"/>
          <w:szCs w:val="20"/>
        </w:rPr>
        <w:t xml:space="preserve">Россельхозбанк</w:t>
      </w:r>
      <w:r>
        <w:rPr>
          <w:bCs/>
          <w:i/>
          <w:iCs/>
          <w:sz w:val="20"/>
          <w:szCs w:val="20"/>
        </w:rPr>
        <w:t xml:space="preserve">» либо Кредитного комитета АО «</w:t>
      </w:r>
      <w:r>
        <w:rPr>
          <w:bCs/>
          <w:i/>
          <w:iCs/>
          <w:sz w:val="20"/>
          <w:szCs w:val="20"/>
        </w:rPr>
        <w:t xml:space="preserve">Россельхозбанк</w:t>
      </w:r>
      <w:r>
        <w:rPr>
          <w:bCs/>
          <w:i/>
          <w:iCs/>
          <w:sz w:val="20"/>
          <w:szCs w:val="20"/>
        </w:rPr>
        <w:t xml:space="preserve">», либо Правления АО «</w:t>
      </w:r>
      <w:r>
        <w:rPr>
          <w:bCs/>
          <w:i/>
          <w:iCs/>
          <w:sz w:val="20"/>
          <w:szCs w:val="20"/>
        </w:rPr>
        <w:t xml:space="preserve">Россельхозбанк</w:t>
      </w:r>
      <w:r>
        <w:rPr>
          <w:bCs/>
          <w:i/>
          <w:iCs/>
          <w:sz w:val="20"/>
          <w:szCs w:val="20"/>
        </w:rPr>
        <w:t xml:space="preserve">») и оформляется отдельным соглашением между Банком и Клиентом.</w:t>
      </w:r>
      <w:r>
        <w:rPr>
          <w:i/>
          <w:sz w:val="20"/>
        </w:rPr>
      </w:r>
      <w:r>
        <w:rPr>
          <w:i/>
          <w:sz w:val="20"/>
        </w:rPr>
      </w:r>
    </w:p>
    <w:p>
      <w:pPr>
        <w:jc w:val="both"/>
        <w:spacing w:before="120"/>
        <w:rPr>
          <w:b/>
          <w:bCs/>
          <w:i/>
          <w:iCs/>
          <w:sz w:val="20"/>
          <w:szCs w:val="20"/>
          <w:u w:val="single"/>
        </w:rPr>
        <w:outlineLvl w:val="5"/>
      </w:pPr>
      <w:r>
        <w:rPr>
          <w:b/>
          <w:bCs/>
          <w:i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/>
          <w:iCs/>
          <w:sz w:val="20"/>
          <w:szCs w:val="20"/>
          <w:u w:val="single"/>
        </w:rPr>
      </w:r>
      <w:r>
        <w:rPr>
          <w:b/>
          <w:bCs/>
          <w:i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возмещения кредитным организациям недополученных дохо</w:t>
      </w:r>
      <w:r>
        <w:rPr>
          <w:bCs/>
          <w:i/>
          <w:iCs/>
          <w:sz w:val="20"/>
          <w:szCs w:val="20"/>
        </w:rPr>
        <w:t xml:space="preserve">дов по кредитам, выданным в целях реализации проектов жилищного строительства, и правил предоставления субсидий из федерального бюджета акционерному обществу «ДОМ.РФ» в виде вклада в имущество акционерного общества «ДОМ.РФ», не увеличивающего его уставный </w:t>
      </w:r>
      <w:r>
        <w:rPr>
          <w:bCs/>
          <w:i/>
          <w:iCs/>
          <w:sz w:val="20"/>
          <w:szCs w:val="20"/>
        </w:rPr>
        <w:t xml:space="preserve">капитал, для возмещения кредитным организациям недополученных доходов по кредитам, выданным в целях реализации проектов жилищного строительства (утв. постановлением Правительства Российской Федерации от 30.04.2020 № 629) (далее – ППРФ от 30.04.2020 № 629);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</w:t>
      </w:r>
      <w:r>
        <w:rPr>
          <w:bCs/>
          <w:i/>
          <w:iCs/>
          <w:sz w:val="20"/>
          <w:szCs w:val="20"/>
        </w:rPr>
        <w:t xml:space="preserve">ходов по кредитам, выданным в 2021 году юридическим лицам и индивидуальным предпринимателям на восстановление предпринимательской деятельности (утв. постановлением Правительства Российской Федерации от 27.02.2021 № 279) (далее – ППРФ от 27.02.2021 № 279);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</w:t>
      </w:r>
      <w:r>
        <w:rPr>
          <w:bCs/>
          <w:i/>
          <w:iCs/>
          <w:sz w:val="20"/>
          <w:szCs w:val="20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bCs/>
          <w:i/>
          <w:iCs/>
          <w:sz w:val="20"/>
          <w:szCs w:val="20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по льготной ставке </w:t>
      </w:r>
      <w:r>
        <w:rPr>
          <w:bCs/>
          <w:i/>
          <w:iCs/>
          <w:sz w:val="20"/>
          <w:szCs w:val="20"/>
        </w:rPr>
        <w:t xml:space="preserve">системообразующим организациям и (или) их дочерним обществам, занятым в агропромышленном комплексе, на осуществление операционной деятельности (утв. постановлением Правительства Российской Федерации от 16.03.2022 № 375) (далее – ППРФ от 16.03.2022 № 375);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</w:t>
      </w:r>
      <w:r>
        <w:rPr>
          <w:bCs/>
          <w:i/>
          <w:iCs/>
          <w:sz w:val="20"/>
          <w:szCs w:val="20"/>
        </w:rPr>
        <w:t xml:space="preserve">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(далее – ППРФ от 17.03.2022 № 393);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</w:t>
      </w:r>
      <w:r>
        <w:rPr>
          <w:bCs/>
          <w:i/>
          <w:iCs/>
          <w:sz w:val="20"/>
          <w:szCs w:val="20"/>
        </w:rPr>
        <w:t xml:space="preserve">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</w:t>
      </w:r>
      <w:r>
        <w:rPr>
          <w:bCs/>
          <w:i/>
          <w:iCs/>
          <w:sz w:val="20"/>
          <w:szCs w:val="20"/>
        </w:rPr>
        <w:t xml:space="preserve"> № 574) (далее – ППРФ от 02.04.2022 № 574);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</w:t>
      </w:r>
      <w:r>
        <w:rPr>
          <w:bCs/>
          <w:i/>
          <w:iCs/>
          <w:sz w:val="20"/>
          <w:szCs w:val="20"/>
        </w:rPr>
        <w:t xml:space="preserve">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(далее ППРФ </w:t>
      </w:r>
      <w:r>
        <w:rPr>
          <w:bCs/>
          <w:i/>
          <w:iCs/>
          <w:sz w:val="20"/>
          <w:szCs w:val="20"/>
        </w:rPr>
        <w:t xml:space="preserve">от 18.05.2022 № 895);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правила пр</w:t>
      </w:r>
      <w:r>
        <w:rPr>
          <w:bCs/>
          <w:i/>
          <w:iCs/>
          <w:sz w:val="20"/>
          <w:szCs w:val="20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</w:t>
      </w:r>
      <w:r>
        <w:rPr>
          <w:bCs/>
          <w:i/>
          <w:iCs/>
          <w:sz w:val="20"/>
          <w:szCs w:val="20"/>
        </w:rPr>
        <w:t xml:space="preserve">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bCs/>
          <w:i/>
          <w:iCs/>
          <w:sz w:val="20"/>
          <w:szCs w:val="20"/>
        </w:rPr>
        <w:t xml:space="preserve"> на возмещение недополученных ими доходов по кредитам, выданным в 2017 году субъектам малого и среднего предпринимательства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из федерального бюджета с</w:t>
      </w:r>
      <w:r>
        <w:rPr>
          <w:bCs/>
          <w:i/>
          <w:iCs/>
          <w:sz w:val="20"/>
          <w:szCs w:val="20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bCs/>
          <w:i/>
          <w:iCs/>
          <w:sz w:val="20"/>
          <w:szCs w:val="20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/>
          <w:iCs/>
          <w:sz w:val="20"/>
          <w:szCs w:val="20"/>
        </w:rPr>
        <w:br/>
        <w:t xml:space="preserve">(утв. постановлением Правительства Российской Федерации от 29.12.2016 № 1528) (далее – ППРФ от 29.12.2016 </w:t>
      </w:r>
      <w:r>
        <w:rPr>
          <w:bCs/>
          <w:i/>
          <w:iCs/>
          <w:sz w:val="20"/>
          <w:szCs w:val="20"/>
        </w:rPr>
        <w:t xml:space="preserve">№ 1528);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i/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i/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i/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i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i/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/>
          <w:iCs/>
          <w:sz w:val="20"/>
          <w:szCs w:val="20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i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i/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</w:t>
      </w:r>
      <w:r>
        <w:rPr>
          <w:bCs/>
          <w:i/>
          <w:iCs/>
          <w:sz w:val="20"/>
          <w:szCs w:val="20"/>
        </w:rPr>
        <w:t xml:space="preserve"> № 1764);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 w:after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i/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</w:t>
      </w:r>
      <w:r>
        <w:rPr>
          <w:i/>
          <w:sz w:val="20"/>
          <w:szCs w:val="20"/>
        </w:rPr>
        <w:br/>
        <w:t xml:space="preserve">(утв. постановлением Правительства Российской Федерации от 06.09.2022 № 1570) (далее – ППРФ от 06.09.2022 </w:t>
      </w:r>
      <w:r>
        <w:rPr>
          <w:i/>
          <w:sz w:val="20"/>
          <w:szCs w:val="20"/>
        </w:rPr>
        <w:t xml:space="preserve">№ 1570)</w:t>
      </w:r>
      <w:r>
        <w:rPr>
          <w:bCs/>
          <w:i/>
          <w:iCs/>
          <w:sz w:val="20"/>
          <w:szCs w:val="20"/>
        </w:rPr>
        <w:t xml:space="preserve">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rPr>
          <w:i/>
          <w:color w:val="auto"/>
          <w:sz w:val="20"/>
          <w:szCs w:val="20"/>
        </w:rPr>
        <w:outlineLvl w:val="5"/>
      </w:pPr>
      <w:r>
        <w:rPr>
          <w:i/>
          <w:color w:val="auto"/>
          <w:sz w:val="20"/>
          <w:szCs w:val="20"/>
        </w:rPr>
        <w:t xml:space="preserve">- при кредитовании в рамках решения М</w:t>
      </w:r>
      <w:r>
        <w:rPr>
          <w:i/>
          <w:color w:val="auto"/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i/>
          <w:color w:val="auto"/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  <w:r>
        <w:rPr>
          <w:i/>
          <w:color w:val="auto"/>
          <w:sz w:val="20"/>
          <w:szCs w:val="20"/>
        </w:rPr>
      </w:r>
      <w:r>
        <w:rPr>
          <w:i/>
          <w:color w:val="auto"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/>
          <w:color w:val="auto"/>
          <w:sz w:val="20"/>
          <w:szCs w:val="20"/>
          <w:highlight w:val="none"/>
        </w:rPr>
      </w:pPr>
      <w:r>
        <w:rPr>
          <w:i/>
          <w:color w:val="auto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</w:t>
      </w:r>
      <w:r>
        <w:rPr>
          <w:i/>
          <w:color w:val="auto"/>
          <w:sz w:val="20"/>
          <w:szCs w:val="20"/>
        </w:rPr>
        <w:t xml:space="preserve">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</w:t>
      </w:r>
      <w:r>
        <w:rPr>
          <w:i/>
          <w:color w:val="auto"/>
          <w:sz w:val="20"/>
          <w:szCs w:val="20"/>
        </w:rPr>
        <w:t xml:space="preserve">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</w:t>
      </w:r>
      <w:r>
        <w:rPr>
          <w:i/>
          <w:color w:val="auto"/>
          <w:sz w:val="20"/>
          <w:szCs w:val="20"/>
        </w:rPr>
        <w:t xml:space="preserve"> с ППРФ </w:t>
      </w:r>
      <w:r>
        <w:rPr>
          <w:i/>
          <w:color w:val="auto"/>
          <w:sz w:val="20"/>
          <w:szCs w:val="20"/>
        </w:rPr>
        <w:t xml:space="preserve">от</w:t>
      </w:r>
      <w:r>
        <w:rPr>
          <w:i/>
          <w:color w:val="auto"/>
          <w:sz w:val="20"/>
          <w:szCs w:val="20"/>
        </w:rPr>
        <w:t xml:space="preserve"> </w:t>
      </w:r>
      <w:r>
        <w:rPr>
          <w:i/>
          <w:color w:val="auto"/>
          <w:sz w:val="20"/>
          <w:szCs w:val="20"/>
        </w:rPr>
        <w:t xml:space="preserve">25.10.2023</w:t>
      </w:r>
      <w:r>
        <w:rPr>
          <w:i/>
          <w:color w:val="auto"/>
          <w:sz w:val="20"/>
          <w:szCs w:val="20"/>
        </w:rPr>
        <w:t xml:space="preserve"> </w:t>
      </w:r>
      <w:r>
        <w:rPr>
          <w:i/>
          <w:color w:val="auto"/>
          <w:sz w:val="20"/>
          <w:szCs w:val="20"/>
        </w:rPr>
        <w:t xml:space="preserve">№ 1780.</w:t>
      </w:r>
      <w:r>
        <w:rPr>
          <w:bCs/>
          <w:i/>
          <w:color w:val="auto"/>
          <w:sz w:val="20"/>
          <w:szCs w:val="20"/>
          <w:highlight w:val="none"/>
        </w:rPr>
      </w:r>
      <w:r>
        <w:rPr>
          <w:bCs/>
          <w:i/>
          <w:color w:val="auto"/>
          <w:sz w:val="20"/>
          <w:szCs w:val="20"/>
          <w:highlight w:val="none"/>
        </w:rPr>
      </w:r>
    </w:p>
    <w:p>
      <w:pPr>
        <w:ind w:firstLine="0"/>
        <w:jc w:val="both"/>
        <w:spacing w:before="40" w:after="0" w:line="240" w:lineRule="auto"/>
        <w:rPr>
          <w:rFonts w:ascii="Times New Roman" w:hAnsi="Times New Roman"/>
          <w:color w:val="ff0000"/>
          <w:sz w:val="20"/>
          <w:szCs w:val="20"/>
        </w:rPr>
        <w:outlineLvl w:val="5"/>
      </w:pPr>
      <w:r>
        <w:rPr>
          <w:rFonts w:ascii="Times New Roman" w:hAnsi="Times New Roman" w:eastAsia="Times New Roman"/>
          <w:b w:val="0"/>
          <w:bCs w:val="0"/>
          <w:i/>
          <w:iCs/>
          <w:color w:val="ff0000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</w:t>
      </w:r>
      <w:hyperlink w:history="1">
        <w:r>
          <w:rPr>
            <w:rFonts w:ascii="Times New Roman" w:hAnsi="Times New Roman" w:eastAsia="Times New Roman"/>
            <w:b w:val="0"/>
            <w:bCs w:val="0"/>
            <w:i/>
            <w:iCs/>
            <w:color w:val="ff0000"/>
            <w:sz w:val="20"/>
            <w:szCs w:val="20"/>
          </w:rPr>
          <w:t xml:space="preserve">25-66428-01969-Р</w:t>
        </w:r>
      </w:hyperlink>
      <w:r>
        <w:rPr>
          <w:rFonts w:ascii="Times New Roman" w:hAnsi="Times New Roman" w:eastAsia="Times New Roman"/>
          <w:b w:val="0"/>
          <w:bCs w:val="0"/>
          <w:i/>
          <w:iCs/>
          <w:color w:val="ff0000"/>
          <w:sz w:val="20"/>
          <w:szCs w:val="20"/>
        </w:rPr>
        <w:t xml:space="preserve"> «Возмещение недополученных российскими кредитными организациями, международ</w:t>
      </w:r>
      <w:r>
        <w:rPr>
          <w:rFonts w:ascii="Times New Roman" w:hAnsi="Times New Roman" w:eastAsia="Times New Roman"/>
          <w:b w:val="0"/>
          <w:bCs w:val="0"/>
          <w:i/>
          <w:iCs/>
          <w:color w:val="ff0000"/>
          <w:sz w:val="20"/>
          <w:szCs w:val="20"/>
        </w:rPr>
        <w:t xml:space="preserve">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</w:t>
      </w:r>
      <w:r>
        <w:rPr>
          <w:rFonts w:ascii="Times New Roman" w:hAnsi="Times New Roman" w:eastAsia="Times New Roman"/>
          <w:b w:val="0"/>
          <w:bCs w:val="0"/>
          <w:i/>
          <w:iCs/>
          <w:color w:val="ff0000"/>
          <w:sz w:val="20"/>
          <w:szCs w:val="20"/>
        </w:rPr>
        <w:t xml:space="preserve">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1969-Р), принятого в соответствии с ППРФ от 25.10.2023 № 1780;</w:t>
      </w:r>
      <w:r>
        <w:rPr>
          <w:rFonts w:ascii="Times New Roman" w:hAnsi="Times New Roman"/>
          <w:b w:val="0"/>
          <w:bCs w:val="0"/>
          <w:i/>
          <w:iCs/>
          <w:color w:val="ff0000"/>
          <w:sz w:val="20"/>
          <w:szCs w:val="20"/>
        </w:rPr>
      </w:r>
      <w:r>
        <w:rPr>
          <w:rFonts w:ascii="Times New Roman" w:hAnsi="Times New Roman"/>
          <w:color w:val="ff0000"/>
          <w:sz w:val="20"/>
          <w:szCs w:val="20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color w:val="ff0000"/>
          <w:sz w:val="24"/>
          <w:szCs w:val="24"/>
        </w:rPr>
        <w:outlineLvl w:val="5"/>
      </w:pPr>
      <w:r>
        <w:rPr>
          <w:rFonts w:ascii="Times New Roman" w:hAnsi="Times New Roman" w:eastAsia="Times New Roman"/>
          <w:b w:val="0"/>
          <w:bCs w:val="0"/>
          <w:i/>
          <w:iCs/>
          <w:color w:val="ff0000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25-68850-01698-Р «Возмещение недополученных российскими кредитными организациями, международны</w:t>
      </w:r>
      <w:r>
        <w:rPr>
          <w:rFonts w:ascii="Times New Roman" w:hAnsi="Times New Roman" w:eastAsia="Times New Roman"/>
          <w:b w:val="0"/>
          <w:bCs w:val="0"/>
          <w:i/>
          <w:iCs/>
          <w:color w:val="ff0000"/>
          <w:sz w:val="20"/>
          <w:szCs w:val="20"/>
        </w:rPr>
        <w:t xml:space="preserve">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</w:t>
      </w:r>
      <w:r>
        <w:rPr>
          <w:rFonts w:ascii="Times New Roman" w:hAnsi="Times New Roman" w:eastAsia="Times New Roman"/>
          <w:b w:val="0"/>
          <w:bCs w:val="0"/>
          <w:i/>
          <w:iCs/>
          <w:color w:val="ff0000"/>
          <w:sz w:val="20"/>
          <w:szCs w:val="20"/>
        </w:rPr>
        <w:t xml:space="preserve">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 1698-Р), принятого в соответствии с ППРФ от 25.10.2023 № 1780.».</w:t>
      </w:r>
      <w:r>
        <w:rPr>
          <w:rFonts w:ascii="Times New Roman" w:hAnsi="Times New Roman"/>
          <w:b w:val="0"/>
          <w:bCs w:val="0"/>
          <w:i/>
          <w:iCs/>
          <w:color w:val="ff0000"/>
          <w:sz w:val="20"/>
          <w:szCs w:val="20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jc w:val="both"/>
        <w:tabs>
          <w:tab w:val="left" w:pos="1134" w:leader="none"/>
        </w:tabs>
        <w:rPr>
          <w:bCs/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  <w:highlight w:val="none"/>
        </w:rPr>
      </w:r>
      <w:r>
        <w:rPr>
          <w:i/>
          <w:color w:val="ff0000"/>
          <w:sz w:val="20"/>
          <w:szCs w:val="20"/>
          <w:highlight w:val="none"/>
        </w:rPr>
      </w:r>
      <w:r>
        <w:rPr>
          <w:bCs/>
          <w:i/>
          <w:color w:val="ff0000"/>
          <w:sz w:val="20"/>
          <w:szCs w:val="20"/>
        </w:rPr>
      </w:r>
    </w:p>
    <w:p>
      <w:pPr>
        <w:jc w:val="both"/>
        <w:spacing w:before="40" w:after="120"/>
        <w:rPr>
          <w:bCs/>
          <w:i/>
          <w:iCs/>
          <w:color w:val="auto"/>
          <w:sz w:val="20"/>
          <w:szCs w:val="20"/>
        </w:rPr>
        <w:outlineLvl w:val="5"/>
      </w:pPr>
      <w:r>
        <w:rPr>
          <w:bCs/>
          <w:i/>
          <w:iCs/>
          <w:color w:val="auto"/>
          <w:sz w:val="20"/>
          <w:szCs w:val="20"/>
        </w:rPr>
      </w:r>
      <w:r>
        <w:rPr>
          <w:bCs/>
          <w:i/>
          <w:iCs/>
          <w:color w:val="auto"/>
          <w:sz w:val="20"/>
          <w:szCs w:val="20"/>
        </w:rPr>
      </w:r>
      <w:r>
        <w:rPr>
          <w:bCs/>
          <w:i/>
          <w:iCs/>
          <w:color w:val="auto"/>
          <w:sz w:val="20"/>
          <w:szCs w:val="20"/>
        </w:rPr>
      </w: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8"/>
        <w:gridCol w:w="3828"/>
      </w:tblGrid>
      <w:tr>
        <w:tblPrEx/>
        <w:trPr/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</w:rPr>
              <w:outlineLvl w:val="5"/>
            </w:pPr>
            <w:r>
              <w:rPr>
                <w:b/>
                <w:bCs/>
                <w:iCs/>
              </w:rPr>
              <w:t xml:space="preserve">Перечень льготных программ</w: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30.12.2018 № 1764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09.02.2021 № 141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09.02.2021 № 141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05.12.2019 № 1598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05.12.2019 № 1598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30.12.2017 № 1706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06.092022 № 1570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9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358-Р (в рамках 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1201-Р (в рамках </w:t>
            </w:r>
            <w:bookmarkStart w:id="13" w:name="_GoBack"/>
            <w:r>
              <w:rPr>
                <w:color w:val="auto"/>
              </w:rPr>
            </w:r>
            <w:bookmarkEnd w:id="13"/>
            <w:r>
              <w:rPr>
                <w:bCs/>
                <w:iCs/>
                <w:color w:val="auto"/>
                <w:sz w:val="20"/>
                <w:szCs w:val="20"/>
              </w:rPr>
              <w:t xml:space="preserve">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982-Р (в рамках ППРФ от 25.10.2023 № 1780) »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665-Р (в рамках 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1780)»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t xml:space="preserve">- Решение №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t xml:space="preserve">-Р (в рамках ППРФ </w:t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t xml:space="preserve">- Решение №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t xml:space="preserve">-Р (в рамках ППРФ </w:t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t xml:space="preserve">- Решение № 1698-Р (в рамках ППРФ </w:t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t xml:space="preserve">- Решение № 1698-Р (в рамках ППРФ </w:t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br/>
              <w:t xml:space="preserve">от 25.10.2023 № 1780)».</w:t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</w:r>
          </w:p>
        </w:tc>
      </w:tr>
    </w:tbl>
    <w:p>
      <w:pPr>
        <w:jc w:val="both"/>
        <w:spacing w:before="60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*Льготные программы кредитования в рамках решени</w:t>
      </w:r>
      <w:r>
        <w:rPr>
          <w:bCs/>
          <w:i/>
          <w:iCs/>
          <w:sz w:val="20"/>
          <w:szCs w:val="20"/>
        </w:rPr>
        <w:t xml:space="preserve">й о порядке предоставления субсидии, разработанных в соответствии с требованиями постановления Правительства Российской Федерации от 25.10.2023 № 1780 «Об утверждении Правил предоставления из бюджетов бюджетной системы Российской Федерации субсидий, в том </w:t>
      </w:r>
      <w:r>
        <w:rPr>
          <w:bCs/>
          <w:i/>
          <w:iCs/>
          <w:sz w:val="20"/>
          <w:szCs w:val="20"/>
        </w:rPr>
        <w:t xml:space="preserve">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540"/>
        <w:jc w:val="both"/>
        <w:spacing w:before="40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1143"/>
        <w:jc w:val="left"/>
        <w:rPr>
          <w:b w:val="0"/>
          <w:bCs w:val="0"/>
          <w:i/>
          <w:sz w:val="16"/>
          <w:szCs w:val="16"/>
        </w:rPr>
        <w:outlineLvl w:val="0"/>
      </w:pPr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</w:p>
    <w:p>
      <w:pPr>
        <w:pStyle w:val="1110"/>
        <w:numPr>
          <w:ilvl w:val="0"/>
          <w:numId w:val="2"/>
        </w:numPr>
      </w:pPr>
      <w:r>
        <w:t xml:space="preserve">Обслуживание торгово-сервисных предприятий</w:t>
      </w:r>
      <w:r>
        <w:rPr>
          <w:rStyle w:val="1122"/>
        </w:rPr>
        <w:footnoteReference w:id="8"/>
      </w:r>
      <w: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/>
    </w:p>
    <w:tbl>
      <w:tblPr>
        <w:tblW w:w="1046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3969"/>
        <w:gridCol w:w="2864"/>
        <w:gridCol w:w="2664"/>
      </w:tblGrid>
      <w:tr>
        <w:tblPrEx/>
        <w:trPr>
          <w:trHeight w:val="227"/>
          <w:tblHeader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46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Комиссия за услугу «Торговый </w:t>
            </w:r>
            <w:r>
              <w:rPr>
                <w:bCs/>
                <w:sz w:val="20"/>
                <w:szCs w:val="20"/>
              </w:rPr>
              <w:t xml:space="preserve">эквайринг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rStyle w:val="1122"/>
                <w:bCs/>
                <w:sz w:val="20"/>
                <w:szCs w:val="20"/>
              </w:rPr>
              <w:footnoteReference w:id="9"/>
            </w:r>
            <w:r>
              <w:rPr>
                <w:bCs/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», </w:t>
            </w:r>
            <w:r>
              <w:rPr>
                <w:iCs/>
                <w:sz w:val="20"/>
                <w:szCs w:val="20"/>
              </w:rPr>
              <w:t xml:space="preserve">подключенную путем присоединения к</w:t>
            </w:r>
            <w:r>
              <w:rPr>
                <w:sz w:val="20"/>
                <w:szCs w:val="20"/>
              </w:rPr>
              <w:t xml:space="preserve"> Правилам </w:t>
            </w:r>
            <w:r>
              <w:rPr>
                <w:sz w:val="20"/>
                <w:szCs w:val="20"/>
              </w:rPr>
              <w:t xml:space="preserve">эквайрингового</w:t>
            </w:r>
            <w:r>
              <w:rPr>
                <w:sz w:val="20"/>
                <w:szCs w:val="20"/>
              </w:rPr>
              <w:t xml:space="preserve"> обслуживания клиентов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с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за услугу «Торговый </w:t>
            </w:r>
            <w:r>
              <w:rPr>
                <w:iCs/>
                <w:sz w:val="20"/>
                <w:szCs w:val="20"/>
              </w:rPr>
              <w:t xml:space="preserve">эквайринг</w:t>
            </w:r>
            <w:r>
              <w:rPr>
                <w:iCs/>
                <w:sz w:val="20"/>
                <w:szCs w:val="20"/>
              </w:rPr>
              <w:t xml:space="preserve">», подключенную путем присоединения к Условиям </w:t>
            </w:r>
            <w:r>
              <w:rPr>
                <w:iCs/>
                <w:sz w:val="20"/>
                <w:szCs w:val="20"/>
              </w:rPr>
              <w:t xml:space="preserve">эквайрингового</w:t>
            </w:r>
            <w:r>
              <w:rPr>
                <w:iCs/>
                <w:sz w:val="20"/>
                <w:szCs w:val="20"/>
              </w:rPr>
              <w:t xml:space="preserve"> обслуживания клиентов АО «</w:t>
            </w:r>
            <w:r>
              <w:rPr>
                <w:iCs/>
                <w:sz w:val="20"/>
                <w:szCs w:val="20"/>
              </w:rPr>
              <w:t xml:space="preserve">Россельхозбанк</w:t>
            </w:r>
            <w:r>
              <w:rPr>
                <w:iCs/>
                <w:sz w:val="20"/>
                <w:szCs w:val="20"/>
              </w:rPr>
              <w:t xml:space="preserve">» </w:t>
            </w:r>
            <w:r>
              <w:rPr>
                <w:iCs/>
                <w:sz w:val="20"/>
                <w:szCs w:val="20"/>
              </w:rPr>
              <w:br/>
              <w:t xml:space="preserve">в соответствии с тарифами Банка*, </w:t>
            </w:r>
            <w:r>
              <w:rPr>
                <w:iCs/>
                <w:sz w:val="20"/>
                <w:szCs w:val="20"/>
              </w:rPr>
              <w:br/>
              <w:t xml:space="preserve">с использованием карты JCB </w:t>
            </w:r>
            <w:r>
              <w:rPr>
                <w:iCs/>
                <w:sz w:val="20"/>
                <w:szCs w:val="20"/>
              </w:rPr>
              <w:t xml:space="preserve">International</w:t>
            </w:r>
            <w:r>
              <w:rPr>
                <w:iCs/>
                <w:sz w:val="20"/>
                <w:szCs w:val="20"/>
              </w:rPr>
              <w:t xml:space="preserve">, </w:t>
            </w:r>
            <w:r>
              <w:rPr>
                <w:iCs/>
                <w:sz w:val="20"/>
                <w:szCs w:val="20"/>
              </w:rPr>
              <w:t xml:space="preserve">UnionPay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International</w:t>
            </w:r>
            <w:r>
              <w:rPr>
                <w:iCs/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/>
              <w:t xml:space="preserve">Приложению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(кроме карт, выпущенных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left="72"/>
              <w:jc w:val="both"/>
              <w:spacing w:before="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left="72"/>
              <w:jc w:val="both"/>
              <w:spacing w:before="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</w:t>
            </w:r>
            <w:r>
              <w:rPr>
                <w:sz w:val="20"/>
                <w:szCs w:val="20"/>
              </w:rPr>
              <w:t xml:space="preserve">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</w:t>
            </w:r>
            <w:r>
              <w:rPr>
                <w:sz w:val="20"/>
                <w:szCs w:val="20"/>
              </w:rPr>
              <w:t xml:space="preserve">самозанятых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организаций, оплата жилищно-коммунальн</w:t>
            </w:r>
            <w:r>
              <w:rPr>
                <w:sz w:val="20"/>
                <w:szCs w:val="20"/>
              </w:rPr>
              <w:t xml:space="preserve">ых услуг,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</w:t>
            </w:r>
            <w:r>
              <w:rPr>
                <w:sz w:val="20"/>
                <w:szCs w:val="20"/>
              </w:rPr>
              <w:t xml:space="preserve">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  <w:br/>
              <w:t xml:space="preserve">но не более 10 руб. </w:t>
            </w:r>
            <w:r>
              <w:rPr>
                <w:sz w:val="20"/>
                <w:szCs w:val="20"/>
              </w:rPr>
              <w:br/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</w:t>
            </w:r>
            <w:r>
              <w:rPr>
                <w:sz w:val="20"/>
                <w:szCs w:val="20"/>
              </w:rPr>
              <w:br/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13.6.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</w:t>
            </w:r>
            <w:r>
              <w:rPr>
                <w:color w:val="auto"/>
                <w:sz w:val="20"/>
                <w:szCs w:val="20"/>
              </w:rPr>
              <w:t xml:space="preserve">х перевода юридическими лицами, </w:t>
            </w:r>
            <w:r>
              <w:rPr>
                <w:color w:val="auto"/>
                <w:sz w:val="20"/>
                <w:szCs w:val="20"/>
              </w:rPr>
              <w:t xml:space="preserve">индивидуальными предпринимателями в пользу юридических лиц и индивидуальных предпринимателей»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13.6.1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86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37 руб. за операцию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лимит одного перевода – 999 999,99 руб.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13.6.2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86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взимается»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</w:r>
            <w:r>
              <w:rPr>
                <w:b/>
                <w:color w:val="auto"/>
                <w:sz w:val="20"/>
                <w:szCs w:val="20"/>
              </w:rPr>
            </w:r>
            <w:r>
              <w:rPr>
                <w:b/>
                <w:color w:val="auto"/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Обслуживание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бюджетных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учреждений,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принимающих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оплате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платежные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карты,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осуществляется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бесплатно.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Под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торгово-сервисным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предприятием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(ТСП)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для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целей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настоящего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раздела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понимается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юридическое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лицо,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индивидуальный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предприниматель,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бюджетное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учреждение,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нотариус,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занимающийся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частной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практикой,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иные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организации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учреждения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независимо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от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вида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деятельности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организационно-правовой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формы,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заключившие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Банком</w:t>
      </w:r>
      <w:r>
        <w:rPr>
          <w:i/>
          <w:sz w:val="16"/>
          <w:szCs w:val="16"/>
        </w:rPr>
        <w:t xml:space="preserve"> договор </w:t>
      </w:r>
      <w:r>
        <w:rPr>
          <w:i/>
          <w:sz w:val="16"/>
          <w:szCs w:val="16"/>
        </w:rPr>
        <w:t xml:space="preserve">эквайринга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r/>
      <w:r/>
    </w:p>
    <w:p>
      <w:pPr>
        <w:pStyle w:val="1110"/>
        <w:numPr>
          <w:ilvl w:val="0"/>
          <w:numId w:val="2"/>
        </w:numPr>
      </w:pPr>
      <w:r>
        <w:t xml:space="preserve"> </w:t>
      </w:r>
      <w:bookmarkStart w:id="14" w:name="_Toc64472190"/>
      <w:r>
        <w:t xml:space="preserve">Депозитарные услуги </w:t>
      </w:r>
      <w:r>
        <w:footnoteReference w:customMarkFollows="1" w:id="10"/>
      </w:r>
      <w:r>
        <w:rPr>
          <w:rFonts w:ascii="Symbol" w:hAnsi="Symbol" w:eastAsia="Symbol" w:cs="Symbol"/>
        </w:rPr>
        <w:t xml:space="preserve">*</w:t>
      </w:r>
      <w:bookmarkEnd w:id="14"/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"/>
        <w:gridCol w:w="3940"/>
        <w:gridCol w:w="1227"/>
        <w:gridCol w:w="758"/>
        <w:gridCol w:w="283"/>
        <w:gridCol w:w="3260"/>
      </w:tblGrid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left="360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1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4</w:t>
            </w:r>
            <w:r>
              <w:rPr>
                <w:bCs/>
                <w:i/>
                <w:sz w:val="22"/>
                <w:szCs w:val="22"/>
              </w:rPr>
              <w:t xml:space="preserve">.1. Административные операции</w:t>
            </w:r>
            <w:r>
              <w:rPr>
                <w:bCs/>
                <w:i/>
                <w:sz w:val="22"/>
                <w:szCs w:val="22"/>
              </w:rPr>
            </w:r>
            <w:r>
              <w:rPr>
                <w:bCs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п/п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pStyle w:val="1114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Наименование услуги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/>
            <w:bookmarkStart w:id="15" w:name="_Toc95617936"/>
            <w:r>
              <w:rPr>
                <w:bCs/>
                <w:sz w:val="20"/>
                <w:szCs w:val="20"/>
              </w:rPr>
              <w:t xml:space="preserve">Тариф</w:t>
            </w:r>
            <w:bookmarkEnd w:id="15"/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Примечание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iCs/>
                <w:sz w:val="20"/>
                <w:szCs w:val="20"/>
              </w:rPr>
            </w:r>
            <w:r>
              <w:rPr>
                <w:rFonts w:eastAsia="Arial Unicode MS"/>
                <w:iCs/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1131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Открытие индивидуального раздела на </w:t>
            </w:r>
            <w:r>
              <w:rPr>
                <w:bCs/>
                <w:color w:val="auto"/>
                <w:sz w:val="20"/>
                <w:szCs w:val="20"/>
              </w:rPr>
              <w:t xml:space="preserve">междепозитарном</w:t>
            </w:r>
            <w:r>
              <w:rPr>
                <w:bCs/>
                <w:color w:val="auto"/>
                <w:sz w:val="20"/>
                <w:szCs w:val="20"/>
              </w:rPr>
              <w:t xml:space="preserve"> счете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НКО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АО НРД и в других депозитариях по поручению клиента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31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1 000 руб. за каждый раздел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Открытие счета номинального держателя АО «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Россельхозбанк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» в реестре владельцев ценных бумаг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20 000 руб.</w:t>
            </w:r>
            <w:r>
              <w:rPr>
                <w:rFonts w:eastAsia="Arial Unicode MS"/>
                <w:sz w:val="20"/>
                <w:szCs w:val="20"/>
                <w:lang w:val="en-US"/>
              </w:rPr>
            </w: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/>
            <w:bookmarkStart w:id="16" w:name="_Toc95617938"/>
            <w:r>
              <w:rPr>
                <w:bCs/>
                <w:i/>
                <w:sz w:val="20"/>
                <w:szCs w:val="20"/>
              </w:rPr>
              <w:t xml:space="preserve">14.2. </w:t>
            </w:r>
            <w:bookmarkEnd w:id="16"/>
            <w:r>
              <w:rPr>
                <w:bCs/>
                <w:i/>
                <w:sz w:val="20"/>
                <w:szCs w:val="20"/>
              </w:rPr>
              <w:t xml:space="preserve">Хранение и учет ценных бумаг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pStyle w:val="1131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14.2.1.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31"/>
              <w:spacing w:before="40" w:after="4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pStyle w:val="1131"/>
              <w:spacing w:before="40" w:after="4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bCs/>
                <w:color w:val="auto"/>
                <w:sz w:val="18"/>
                <w:szCs w:val="18"/>
              </w:rPr>
            </w:r>
            <w:r>
              <w:rPr>
                <w:bCs/>
                <w:color w:val="auto"/>
                <w:sz w:val="18"/>
                <w:szCs w:val="1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31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.2.2.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31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Акций (депозитарных расписок) до 50 млн. руб. (включительно) - 0,07% годовых, минимум 300 руб. месяц, свыше 50 млн. руб.                               - 0,06% годовых, минимум 300 руб. в месяц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pStyle w:val="1131"/>
              <w:jc w:val="both"/>
              <w:spacing w:before="40" w:after="4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</w:t>
            </w:r>
            <w:r>
              <w:rPr>
                <w:bCs/>
                <w:color w:val="auto"/>
                <w:sz w:val="18"/>
                <w:szCs w:val="18"/>
              </w:rPr>
              <w:t xml:space="preserve">месяцгодовых</w:t>
            </w:r>
            <w:r>
              <w:rPr>
                <w:bCs/>
                <w:color w:val="auto"/>
                <w:sz w:val="18"/>
                <w:szCs w:val="18"/>
              </w:rPr>
            </w:r>
            <w:r>
              <w:rPr>
                <w:bCs/>
                <w:color w:val="auto"/>
                <w:sz w:val="18"/>
                <w:szCs w:val="1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31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W w:w="9468" w:type="dxa"/>
            <w:textDirection w:val="lrTb"/>
            <w:noWrap w:val="false"/>
          </w:tcPr>
          <w:p>
            <w:pPr>
              <w:ind w:left="-2" w:right="-18"/>
              <w:jc w:val="both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ind w:right="-99"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4.2.3.1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31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 300 млн. руб. (включительно)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- 0,07% годовых, минимум 300 руб. месяц, от 300 млн. руб. до 500 млн. руб. (включительно)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- 0,065% годовых, минимум 300 руб. в месяц,                          свыше 500 млн. руб.                     - 0,06% годовых, минимум 300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31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ind w:right="-99"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4.2.3.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31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31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1 000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31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</w:t>
            </w:r>
            <w:r>
              <w:rPr>
                <w:bCs/>
                <w:sz w:val="20"/>
                <w:szCs w:val="20"/>
              </w:rPr>
              <w:t xml:space="preserve">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31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Депозитарный учет прав на инвестиционные паи паевых инвестиционных фондов </w:t>
            </w:r>
            <w:r>
              <w:rPr>
                <w:bCs/>
                <w:color w:val="auto"/>
                <w:sz w:val="20"/>
                <w:szCs w:val="20"/>
              </w:rPr>
              <w:t xml:space="preserve">выпущенных на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31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31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31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gridSpan w:val="5"/>
            <w:tcW w:w="946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на счете ДЕПО ценных бумаг Депонентов, принятых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на брокерское обслуживание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789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72" w:right="-101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122"/>
                <w:sz w:val="20"/>
                <w:szCs w:val="20"/>
              </w:rPr>
              <w:footnoteReference w:id="11"/>
            </w:r>
            <w:r>
              <w:rPr>
                <w:sz w:val="20"/>
                <w:szCs w:val="20"/>
              </w:rPr>
              <w:t xml:space="preserve"> ценных бумаг (млрд. руб.)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041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72" w:right="-101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50"/>
        </w:trPr>
        <w:tc>
          <w:tcPr>
            <w:gridSpan w:val="2"/>
            <w:tcW w:w="880" w:type="dxa"/>
            <w:vAlign w:val="center"/>
            <w:vMerge w:val="restart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14.2.7.1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40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65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13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163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25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112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63"/>
        </w:trPr>
        <w:tc>
          <w:tcPr>
            <w:gridSpan w:val="2"/>
            <w:tcW w:w="880" w:type="dxa"/>
            <w:vAlign w:val="center"/>
            <w:vMerge w:val="restart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14.2.7.2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00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50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325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927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14.2.7.3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  <w:t xml:space="preserve">, за исключением паев инвестиционных фондов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0,035% годовых               минимум 30 руб. в месяц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27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14.2.7.4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100 руб. в месяц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27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30 руб. в месяц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69"/>
        </w:trPr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14.3. Прием/выдача сертификатов ценных бумаг на/с хранение(я)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сертификатов </w:t>
            </w:r>
            <w:r>
              <w:rPr>
                <w:bCs/>
                <w:sz w:val="20"/>
                <w:szCs w:val="20"/>
              </w:rPr>
              <w:t xml:space="preserve">эмис</w:t>
            </w:r>
            <w:r>
              <w:rPr>
                <w:bCs/>
                <w:sz w:val="20"/>
                <w:szCs w:val="20"/>
                <w:lang w:val="en-US"/>
              </w:rPr>
              <w:t xml:space="preserve">c</w:t>
            </w:r>
            <w:r>
              <w:rPr>
                <w:bCs/>
                <w:sz w:val="20"/>
                <w:szCs w:val="20"/>
              </w:rPr>
              <w:t xml:space="preserve">ионных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80"/>
              <w:jc w:val="both"/>
              <w:spacing w:before="40"/>
              <w:tabs>
                <w:tab w:val="left" w:pos="54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</w:t>
            </w:r>
            <w:r>
              <w:rPr>
                <w:bCs/>
                <w:sz w:val="20"/>
                <w:szCs w:val="20"/>
              </w:rPr>
              <w:t xml:space="preserve">неэмиссионных</w:t>
            </w:r>
            <w:r>
              <w:rPr>
                <w:bCs/>
                <w:sz w:val="20"/>
                <w:szCs w:val="20"/>
              </w:rPr>
              <w:t xml:space="preserve"> ценных бумаг с обязательной проверкой у эмитента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</w:t>
            </w:r>
            <w:r>
              <w:rPr>
                <w:bCs/>
                <w:sz w:val="20"/>
                <w:szCs w:val="20"/>
              </w:rPr>
              <w:t xml:space="preserve">неэмиссионных</w:t>
            </w:r>
            <w:r>
              <w:rPr>
                <w:bCs/>
                <w:sz w:val="20"/>
                <w:szCs w:val="20"/>
              </w:rPr>
              <w:t xml:space="preserve">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10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14.4. Переводы ценных бумаг и иностранных финансовых инструментов по счетам депо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00 руб.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31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Зачисление ценных бумаг на счета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реестрах/на </w:t>
            </w:r>
            <w:r>
              <w:rPr>
                <w:bCs/>
                <w:color w:val="auto"/>
                <w:sz w:val="20"/>
                <w:szCs w:val="20"/>
              </w:rPr>
              <w:t xml:space="preserve">междепозитарные</w:t>
            </w:r>
            <w:r>
              <w:rPr>
                <w:bCs/>
                <w:color w:val="auto"/>
                <w:sz w:val="20"/>
                <w:szCs w:val="20"/>
              </w:rPr>
              <w:t xml:space="preserve"> счета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других депозитариях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31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31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fffff"/>
            <w:tcW w:w="3940" w:type="dxa"/>
            <w:textDirection w:val="lrTb"/>
            <w:noWrap w:val="false"/>
          </w:tcPr>
          <w:p>
            <w:pPr>
              <w:pStyle w:val="1131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Списание ценных бумаг со счетов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реестрах/</w:t>
            </w:r>
            <w:r>
              <w:rPr>
                <w:bCs/>
                <w:color w:val="auto"/>
                <w:sz w:val="20"/>
                <w:szCs w:val="20"/>
              </w:rPr>
              <w:t xml:space="preserve">междепозитарных</w:t>
            </w:r>
            <w:r>
              <w:rPr>
                <w:bCs/>
                <w:color w:val="auto"/>
                <w:sz w:val="20"/>
                <w:szCs w:val="20"/>
              </w:rPr>
              <w:t xml:space="preserve"> счетов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других депозитариях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31"/>
              <w:jc w:val="center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600 </w:t>
            </w:r>
            <w:r>
              <w:rPr>
                <w:color w:val="auto"/>
                <w:sz w:val="20"/>
                <w:szCs w:val="20"/>
                <w:lang w:val="en-US"/>
              </w:rPr>
              <w:t xml:space="preserve">руб</w:t>
            </w:r>
            <w:r>
              <w:rPr>
                <w:color w:val="auto"/>
                <w:sz w:val="20"/>
                <w:szCs w:val="20"/>
                <w:lang w:val="en-US"/>
              </w:rPr>
              <w:t xml:space="preserve">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31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940"/>
        </w:trPr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(по счетам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», открытым в других депозитариях)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jc w:val="center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Переводы ценных бумаг по операциям           купли-продажи ценных бумаг, совершенным   через брокера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jc w:val="center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</w:t>
            </w:r>
            <w:r>
              <w:rPr>
                <w:bCs/>
                <w:i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i/>
                <w:sz w:val="20"/>
                <w:szCs w:val="20"/>
              </w:rPr>
              <w:t xml:space="preserve">.5. Операции по блокировке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8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auto"/>
            <w:tcW w:w="394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4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8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2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1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</w:t>
            </w:r>
            <w:r>
              <w:rPr>
                <w:bCs/>
                <w:i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i/>
                <w:sz w:val="20"/>
                <w:szCs w:val="20"/>
              </w:rPr>
              <w:t xml:space="preserve">.6. Корпоративные действия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В случае, если сумма перевода меньше суммы комиссии, то перевод дохода не производится, сумма зачисляется в доход Банка.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3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2 000 руб.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pStyle w:val="113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14.7. Прочие услуги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336"/>
        </w:trPr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</w:t>
            </w:r>
            <w:r>
              <w:rPr>
                <w:bCs/>
                <w:i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i/>
                <w:sz w:val="20"/>
                <w:szCs w:val="20"/>
              </w:rPr>
              <w:t xml:space="preserve">.8. Информационные услуги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ind w:right="-99" w:hanging="108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ру</w:t>
            </w:r>
            <w:r>
              <w:rPr>
                <w:sz w:val="20"/>
                <w:szCs w:val="20"/>
              </w:rPr>
              <w:t xml:space="preserve">б. за лист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</w:p>
    <w:p>
      <w:pPr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</w:p>
    <w:p>
      <w:pPr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</w:p>
    <w:p>
      <w:pPr>
        <w:pStyle w:val="1110"/>
        <w:numPr>
          <w:ilvl w:val="0"/>
          <w:numId w:val="8"/>
        </w:numPr>
      </w:pPr>
      <w:r/>
      <w:bookmarkStart w:id="17" w:name="_Toc64472191"/>
      <w:r>
        <w:t xml:space="preserve">Операции с монетами из драгоценных металлов</w:t>
      </w:r>
      <w:bookmarkEnd w:id="17"/>
      <w:r>
        <w:t xml:space="preserve"> </w:t>
      </w:r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543"/>
      </w:tblGrid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right="-108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br/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pStyle w:val="1110"/>
        <w:numPr>
          <w:ilvl w:val="0"/>
          <w:numId w:val="8"/>
        </w:numPr>
      </w:pPr>
      <w:r/>
      <w:bookmarkStart w:id="18" w:name="_Toc64472192"/>
      <w:r>
        <w:t xml:space="preserve">Операции с драгоценными металлами</w:t>
      </w:r>
      <w:bookmarkEnd w:id="18"/>
      <w:r/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3721"/>
        <w:gridCol w:w="2374"/>
        <w:gridCol w:w="3231"/>
      </w:tblGrid>
      <w:tr>
        <w:tblPrEx/>
        <w:trPr>
          <w:tblHeader/>
        </w:trPr>
        <w:tc>
          <w:tcPr>
            <w:shd w:val="clear" w:color="auto" w:fill="auto"/>
            <w:tcW w:w="1022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br/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3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shd w:val="clear" w:color="auto" w:fill="auto"/>
            <w:tcW w:w="102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российских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3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</w:t>
            </w:r>
            <w:r>
              <w:rPr>
                <w:sz w:val="20"/>
                <w:szCs w:val="20"/>
              </w:rPr>
              <w:t xml:space="preserve">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</w:t>
            </w:r>
            <w:r>
              <w:rPr>
                <w:sz w:val="20"/>
                <w:szCs w:val="20"/>
              </w:rPr>
              <w:t xml:space="preserve">банковскому счету в драгоценных металлах </w:t>
            </w:r>
            <w:r>
              <w:rPr>
                <w:sz w:val="20"/>
                <w:szCs w:val="20"/>
              </w:rPr>
              <w:t xml:space="preserve">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</w:t>
            </w:r>
            <w:r>
              <w:rPr>
                <w:sz w:val="20"/>
                <w:szCs w:val="20"/>
              </w:rPr>
              <w:t xml:space="preserve">банковскому счету в драгоценных металлах </w:t>
            </w:r>
            <w:r>
              <w:rPr>
                <w:sz w:val="20"/>
                <w:szCs w:val="20"/>
              </w:rPr>
              <w:t xml:space="preserve">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3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</w:t>
            </w:r>
            <w:r>
              <w:rPr>
                <w:sz w:val="20"/>
                <w:szCs w:val="20"/>
              </w:rPr>
              <w:t xml:space="preserve">банковским счетам в драгоценных металлах </w:t>
            </w:r>
            <w:r>
              <w:rPr>
                <w:sz w:val="16"/>
                <w:szCs w:val="16"/>
              </w:rPr>
              <w:footnoteReference w:id="12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слитков драгоценных металлов для зачисления на </w:t>
            </w:r>
            <w:r>
              <w:rPr>
                <w:sz w:val="20"/>
                <w:szCs w:val="20"/>
              </w:rPr>
              <w:t xml:space="preserve">банковский счет в драгоценных металлах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слитков драгоценных металлов со списанием с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pStyle w:val="114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pStyle w:val="114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pStyle w:val="114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rStyle w:val="1122"/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footnoteReference w:id="13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114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tbl>
            <w:tblPr>
              <w:tblW w:w="2261" w:type="dxa"/>
              <w:tblLayout w:type="fixed"/>
              <w:tblLook w:val="04A0" w:firstRow="1" w:lastRow="0" w:firstColumn="1" w:lastColumn="0" w:noHBand="0" w:noVBand="1"/>
            </w:tblPr>
            <w:tblGrid>
              <w:gridCol w:w="985"/>
              <w:gridCol w:w="1276"/>
            </w:tblGrid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48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Тариф за слиток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  <w:p>
                  <w:pPr>
                    <w:pStyle w:val="114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7 000,00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</w:tbl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pStyle w:val="1148"/>
              <w:jc w:val="center"/>
              <w:tabs>
                <w:tab w:val="left" w:pos="284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rStyle w:val="1122"/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footnoteReference w:id="14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114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tbl>
            <w:tblPr>
              <w:tblW w:w="2261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134"/>
            </w:tblGrid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48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1 100,00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4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114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Металлы платиновой группы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10"/>
      </w:pPr>
      <w:r/>
      <w:bookmarkStart w:id="19" w:name="_Toc64472193"/>
      <w:r>
        <w:t xml:space="preserve">17. Обслуживание с использованием Торговой системы</w:t>
      </w:r>
      <w:r>
        <w:br/>
        <w:t xml:space="preserve"> РСХБ-</w:t>
      </w:r>
      <w:r>
        <w:t xml:space="preserve">Дилинг</w:t>
      </w:r>
      <w:r>
        <w:t xml:space="preserve"> АО «</w:t>
      </w:r>
      <w:r>
        <w:t xml:space="preserve">Россельхозбанк</w:t>
      </w:r>
      <w:r>
        <w:t xml:space="preserve">»</w:t>
      </w:r>
      <w:r>
        <w:t xml:space="preserve">, Торговой системы РСХБ-</w:t>
      </w:r>
      <w:r>
        <w:t xml:space="preserve">Дилинг</w:t>
      </w:r>
      <w:r>
        <w:t xml:space="preserve"> 2.0</w:t>
      </w:r>
      <w:bookmarkEnd w:id="19"/>
      <w:r/>
      <w:r/>
    </w:p>
    <w:p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99"/>
        <w:gridCol w:w="2884"/>
        <w:gridCol w:w="1786"/>
        <w:gridCol w:w="4120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/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5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6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bCs/>
          <w:iCs/>
          <w:sz w:val="18"/>
          <w:szCs w:val="18"/>
          <w:u w:val="single"/>
        </w:rPr>
      </w:pPr>
      <w:r>
        <w:rPr>
          <w:bCs/>
          <w:iCs/>
          <w:sz w:val="18"/>
          <w:szCs w:val="18"/>
          <w:u w:val="single"/>
        </w:rPr>
        <w:t xml:space="preserve">Примечание:</w:t>
      </w:r>
      <w:r>
        <w:rPr>
          <w:bCs/>
          <w:iCs/>
          <w:sz w:val="18"/>
          <w:szCs w:val="18"/>
          <w:u w:val="single"/>
        </w:rPr>
      </w:r>
      <w:r>
        <w:rPr>
          <w:bCs/>
          <w:iCs/>
          <w:sz w:val="18"/>
          <w:szCs w:val="18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1.</w:t>
      </w:r>
      <w:r>
        <w:rPr>
          <w:bCs/>
          <w:iCs/>
          <w:sz w:val="18"/>
          <w:szCs w:val="18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2.</w:t>
      </w:r>
      <w:r>
        <w:rPr>
          <w:bCs/>
          <w:iCs/>
          <w:sz w:val="18"/>
          <w:szCs w:val="18"/>
        </w:rPr>
        <w:tab/>
        <w:t xml:space="preserve">В случае если на момент оказания услуги клиент не имеет счетов, открытых в АО «</w:t>
      </w:r>
      <w:r>
        <w:rPr>
          <w:bCs/>
          <w:iCs/>
          <w:sz w:val="18"/>
          <w:szCs w:val="18"/>
        </w:rPr>
        <w:t xml:space="preserve">Россельхозбанк</w:t>
      </w:r>
      <w:r>
        <w:rPr>
          <w:bCs/>
          <w:iCs/>
          <w:sz w:val="18"/>
          <w:szCs w:val="18"/>
        </w:rPr>
        <w:t xml:space="preserve"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18 «Операции с использованием цифрового рубля» следующего содержания: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tbl>
      <w:tblPr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3090"/>
        <w:gridCol w:w="2126"/>
        <w:gridCol w:w="3261"/>
      </w:tblGrid>
      <w:tr>
        <w:tblPrEx/>
        <w:trPr/>
        <w:tc>
          <w:tcP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09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30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84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30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90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30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90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 Федерации на счет Клиента, открытый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425" w:right="-284" w:firstLine="709"/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 Срок действия – до 31.12.2024 (включительно).».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134" w:leader="none"/>
        </w:tabs>
      </w:pPr>
      <w:r/>
      <w:r/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sectPr>
      <w:headerReference w:type="default" r:id="rId9"/>
      <w:headerReference w:type="first" r:id="rId10"/>
      <w:footnotePr/>
      <w:endnotePr/>
      <w:type w:val="continuous"/>
      <w:pgSz w:w="11906" w:h="16838" w:orient="portrait"/>
      <w:pgMar w:top="720" w:right="720" w:bottom="720" w:left="1287" w:header="42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mbria">
    <w:panose1 w:val="02040503050406030204"/>
  </w:font>
  <w:font w:name="TimesET">
    <w:panose1 w:val="02000603000000000000"/>
  </w:font>
  <w:font w:name="Tahoma">
    <w:panose1 w:val="020B0604030504040204"/>
  </w:font>
  <w:font w:name="Helv">
    <w:panose1 w:val="02000603000000000000"/>
  </w:font>
  <w:font w:name="Verdana">
    <w:panose1 w:val="020B0604030504040204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21"/>
      </w:pPr>
      <w:r>
        <w:rPr>
          <w:rStyle w:val="1122"/>
        </w:rPr>
        <w:footnoteRef/>
      </w:r>
      <w:r>
        <w:t xml:space="preserve"> Вступает в силу с 18.04.2022 г.</w:t>
      </w:r>
      <w:r/>
    </w:p>
  </w:footnote>
  <w:footnote w:id="3">
    <w:p>
      <w:pPr>
        <w:pStyle w:val="1121"/>
      </w:pPr>
      <w:r>
        <w:rPr>
          <w:rStyle w:val="1122"/>
        </w:rPr>
        <w:footnoteRef/>
      </w:r>
      <w:r>
        <w:t xml:space="preserve"> Вступает в силу с 14.04.2022 г.</w:t>
      </w:r>
      <w:r/>
    </w:p>
  </w:footnote>
  <w:footnote w:id="4">
    <w:p>
      <w:pPr>
        <w:pStyle w:val="1121"/>
      </w:pPr>
      <w:r>
        <w:rPr>
          <w:rStyle w:val="1122"/>
        </w:rPr>
        <w:footnoteRef/>
      </w:r>
      <w:r>
        <w:t xml:space="preserve">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21"/>
        <w:jc w:val="both"/>
      </w:pPr>
      <w:r>
        <w:t xml:space="preserve">При наличии графика изменения лимита кредитования – комиссия начисляется </w:t>
      </w:r>
      <w:r>
        <w:t xml:space="preserve">по формуле простых процентов </w:t>
      </w:r>
      <w:r>
        <w:t xml:space="preserve">на сумму неиспользованного остатка лимита кредитования, действующего согласно </w:t>
      </w:r>
      <w:r>
        <w:t xml:space="preserve">график</w:t>
      </w:r>
      <w:r>
        <w:t xml:space="preserve">а</w:t>
      </w:r>
      <w:r>
        <w:t xml:space="preserve"> изменения лимита кредитования</w:t>
      </w:r>
      <w:r>
        <w:t xml:space="preserve">.</w:t>
      </w:r>
      <w:r/>
    </w:p>
  </w:footnote>
  <w:footnote w:id="5">
    <w:p>
      <w:pPr>
        <w:pStyle w:val="1121"/>
      </w:pPr>
      <w:r>
        <w:rPr>
          <w:rStyle w:val="1122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1121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</w:t>
      </w:r>
      <w:r>
        <w:rPr>
          <w:bCs/>
        </w:rPr>
        <w:t xml:space="preserve">.</w:t>
      </w:r>
      <w:r/>
    </w:p>
    <w:p>
      <w:pPr>
        <w:pStyle w:val="1121"/>
      </w:pPr>
      <w:r/>
      <w:r/>
    </w:p>
  </w:footnote>
  <w:footnote w:id="6">
    <w:p>
      <w:pPr>
        <w:pStyle w:val="1121"/>
        <w:jc w:val="both"/>
      </w:pPr>
      <w:r>
        <w:rPr>
          <w:rStyle w:val="1122"/>
        </w:rPr>
        <w:footnoteRef/>
      </w:r>
      <w: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7">
    <w:p>
      <w:pPr>
        <w:pStyle w:val="1121"/>
      </w:pPr>
      <w:r>
        <w:rPr>
          <w:rStyle w:val="1122"/>
        </w:rPr>
        <w:footnoteRef/>
      </w:r>
      <w:r>
        <w:t xml:space="preserve"> В соответствии с пунктом 11 приказа АО «</w:t>
      </w:r>
      <w:r>
        <w:t xml:space="preserve">Россельхозбанк</w:t>
      </w:r>
      <w:r>
        <w:t xml:space="preserve">» от 01.08.2013 № 386-ОД.</w:t>
      </w:r>
      <w:r/>
    </w:p>
  </w:footnote>
  <w:footnote w:id="8">
    <w:p>
      <w:pPr>
        <w:pStyle w:val="1151"/>
        <w:ind w:left="0"/>
        <w:jc w:val="both"/>
        <w:tabs>
          <w:tab w:val="left" w:pos="426" w:leader="none"/>
        </w:tabs>
      </w:pPr>
      <w:r>
        <w:rPr>
          <w:rStyle w:val="1122"/>
        </w:rPr>
        <w:footnoteRef/>
      </w:r>
      <w:r>
        <w:t xml:space="preserve"> </w:t>
      </w:r>
      <w:r>
        <w:rPr>
          <w:sz w:val="20"/>
        </w:rPr>
        <w:t xml:space="preserve">Под </w:t>
      </w:r>
      <w:r>
        <w:rPr>
          <w:sz w:val="20"/>
          <w:u w:val="single"/>
        </w:rPr>
        <w:t xml:space="preserve">торгово-сервисным предприятием</w:t>
      </w:r>
      <w:r>
        <w:rPr>
          <w:sz w:val="20"/>
        </w:rPr>
        <w:t xml:space="preserve"> (ТСП) для целей настоящего р</w:t>
      </w:r>
      <w:r>
        <w:rPr>
          <w:sz w:val="20"/>
        </w:rPr>
        <w:t xml:space="preserve">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</w:t>
      </w:r>
      <w:r>
        <w:rPr>
          <w:sz w:val="20"/>
        </w:rPr>
        <w:t xml:space="preserve">эквайринга</w:t>
      </w:r>
      <w:r>
        <w:rPr>
          <w:sz w:val="20"/>
        </w:rPr>
        <w:t xml:space="preserve"> или договор, предусматривающий обслуживание в сервисе быстрых платежей платежной системы Банка России»</w:t>
      </w:r>
      <w:r>
        <w:t xml:space="preserve">.</w:t>
      </w:r>
      <w:r/>
    </w:p>
  </w:footnote>
  <w:footnote w:id="9">
    <w:p>
      <w:pPr>
        <w:pStyle w:val="1121"/>
        <w:jc w:val="both"/>
      </w:pPr>
      <w:r>
        <w:t xml:space="preserve">*</w:t>
      </w:r>
      <w:r>
        <w:t xml:space="preserve"> Тарифы, установленные пункт</w:t>
      </w:r>
      <w:r>
        <w:t xml:space="preserve">ом </w:t>
      </w:r>
      <w:r>
        <w:t xml:space="preserve">13.1.2, применяются при предоставлении услуг новым Клиентам Банка. Новым Клиентом является Клиент, у которого на момент подключения услуги отсутствует действующий Договор </w:t>
      </w:r>
      <w:r>
        <w:t xml:space="preserve">эквайринга</w:t>
      </w:r>
      <w:r>
        <w:t xml:space="preserve"> в рамках одного регионального филиала Банка/внутреннего структурного подразделения Банка и ранее действующие Договор</w:t>
      </w:r>
      <w:r>
        <w:t xml:space="preserve">ы</w:t>
      </w:r>
      <w:r>
        <w:t xml:space="preserve"> </w:t>
      </w:r>
      <w:r>
        <w:t xml:space="preserve">эквайринга</w:t>
      </w:r>
      <w:r>
        <w:t xml:space="preserve"> были расторгнуты Клиентом/Банком более 3 месяцев назад.</w:t>
      </w:r>
      <w:r/>
    </w:p>
  </w:footnote>
  <w:footnote w:id="10">
    <w:p>
      <w:pPr>
        <w:pStyle w:val="1121"/>
        <w:rPr>
          <w:i/>
        </w:rPr>
      </w:pPr>
      <w:r>
        <w:rPr>
          <w:rStyle w:val="1122"/>
          <w:rFonts w:ascii="Symbol" w:hAnsi="Symbol" w:eastAsia="Symbol" w:cs="Symbol"/>
          <w:i/>
        </w:rPr>
        <w:t xml:space="preserve">*</w:t>
      </w:r>
      <w:r>
        <w:rPr>
          <w:i/>
        </w:rPr>
        <w:t xml:space="preserve"> Порядок расчета и взимания комиссии осуществляется на основании Условий осуществ</w:t>
      </w:r>
      <w:r>
        <w:rPr>
          <w:i/>
        </w:rPr>
        <w:t xml:space="preserve">ления депозитарной деятельности</w:t>
      </w:r>
      <w:r>
        <w:rPr>
          <w:i/>
        </w:rPr>
        <w:t xml:space="preserve">.</w:t>
      </w:r>
      <w:r>
        <w:rPr>
          <w:i/>
        </w:rPr>
      </w:r>
      <w:r>
        <w:rPr>
          <w:i/>
        </w:rPr>
      </w:r>
    </w:p>
  </w:footnote>
  <w:footnote w:id="11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sz w:val="18"/>
          <w:szCs w:val="18"/>
        </w:rPr>
      </w:pPr>
      <w:r>
        <w:rPr>
          <w:rStyle w:val="1122"/>
        </w:rPr>
        <w:footnoteRef/>
      </w:r>
      <w:r>
        <w:t xml:space="preserve"> </w:t>
      </w:r>
      <w:r>
        <w:rPr>
          <w:sz w:val="18"/>
          <w:szCs w:val="18"/>
        </w:rPr>
        <w:t xml:space="preserve">Средневзвешенная стоимость рассчитывается как сумма остатков ценных </w:t>
      </w:r>
      <w:r>
        <w:rPr>
          <w:sz w:val="18"/>
          <w:szCs w:val="18"/>
        </w:rPr>
        <w:t xml:space="preserve">бумаг по календарным дням месяца деленная на количество дней в соответствующем месяце.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sz w:val="18"/>
          <w:szCs w:val="18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2">
    <w:p>
      <w:pPr>
        <w:pStyle w:val="1121"/>
        <w:rPr>
          <w:sz w:val="18"/>
          <w:szCs w:val="18"/>
        </w:rPr>
      </w:pPr>
      <w:r>
        <w:rPr>
          <w:rStyle w:val="1122"/>
          <w:sz w:val="18"/>
          <w:szCs w:val="18"/>
        </w:rPr>
        <w:footnoteRef/>
      </w:r>
      <w:r>
        <w:rPr>
          <w:sz w:val="18"/>
          <w:szCs w:val="18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3">
    <w:p>
      <w:pPr>
        <w:pStyle w:val="1121"/>
        <w:jc w:val="both"/>
        <w:rPr>
          <w:sz w:val="18"/>
          <w:szCs w:val="18"/>
        </w:rPr>
      </w:pPr>
      <w:r>
        <w:rPr>
          <w:rStyle w:val="1122"/>
        </w:rPr>
        <w:footnoteRef/>
      </w:r>
      <w:r>
        <w:t xml:space="preserve"> </w:t>
      </w:r>
      <w:r>
        <w:rPr>
          <w:sz w:val="18"/>
          <w:szCs w:val="18"/>
        </w:rPr>
        <w:t xml:space="preserve">[</w:t>
      </w:r>
      <w:r>
        <w:rPr>
          <w:sz w:val="18"/>
          <w:szCs w:val="18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</w:rPr>
        <w:t xml:space="preserve">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21"/>
        <w:jc w:val="both"/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4">
    <w:p>
      <w:pPr>
        <w:pStyle w:val="1121"/>
        <w:jc w:val="both"/>
        <w:rPr>
          <w:sz w:val="18"/>
          <w:szCs w:val="18"/>
        </w:rPr>
      </w:pPr>
      <w:r>
        <w:rPr>
          <w:rStyle w:val="1122"/>
        </w:rPr>
        <w:footnoteRef/>
      </w:r>
      <w:r>
        <w:t xml:space="preserve"> </w:t>
      </w:r>
      <w:r>
        <w:rPr>
          <w:sz w:val="18"/>
          <w:szCs w:val="18"/>
        </w:rPr>
        <w:t xml:space="preserve">[</w:t>
      </w:r>
      <w:r>
        <w:rPr>
          <w:sz w:val="18"/>
          <w:szCs w:val="18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</w:rPr>
        <w:t xml:space="preserve">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21"/>
        <w:jc w:val="both"/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5">
    <w:p>
      <w:pPr>
        <w:jc w:val="both"/>
        <w:rPr>
          <w:bCs/>
          <w:sz w:val="18"/>
          <w:szCs w:val="18"/>
        </w:rPr>
      </w:pPr>
      <w:r>
        <w:rPr>
          <w:rStyle w:val="1122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для доступа к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»– уникальное имя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», обеспечивающее в сочетании с паролем однозначную аутентификацию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</w:footnote>
  <w:footnote w:id="16">
    <w:p>
      <w:pPr>
        <w:jc w:val="both"/>
        <w:rPr>
          <w:bCs/>
          <w:sz w:val="18"/>
          <w:szCs w:val="18"/>
        </w:rPr>
      </w:pPr>
      <w:r>
        <w:rPr>
          <w:rStyle w:val="1122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для доступа к Торговой системе РСХБ –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2.0– уникальное имя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2.0, 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обеспечивающее в сочетании с паролем однозначную аутентификацию Клиента в Торговой системе РСХБ 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</w:rPr>
      <w:framePr w:wrap="around" w:vAnchor="text" w:hAnchor="margin" w:xAlign="center" w:y="1"/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>
      <w:rPr>
        <w:sz w:val="20"/>
      </w:rPr>
      <w:t xml:space="preserve">63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3"/>
      <w:rPr>
        <w:color w:val="ffffff"/>
      </w:rPr>
    </w:pPr>
    <w:r>
      <w:rPr>
        <w:color w:val="ffffff"/>
      </w:rPr>
      <w:t xml:space="preserve">2013.08.16</w:t>
    </w:r>
    <w:r>
      <w:rPr>
        <w:color w:val="ffffff"/>
      </w:rPr>
    </w:r>
    <w:r>
      <w:rPr>
        <w:color w:val="fffff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</w:pPr>
    </w:lvl>
  </w:abstractNum>
  <w:abstractNum w:abstractNumId="4">
    <w:multiLevelType w:val="hybridMultilevel"/>
    <w:lvl w:ilvl="0">
      <w:start w:val="10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50">
    <w:name w:val="Heading 1 Char"/>
    <w:basedOn w:val="1116"/>
    <w:link w:val="1107"/>
    <w:uiPriority w:val="9"/>
    <w:rPr>
      <w:rFonts w:ascii="Arial" w:hAnsi="Arial" w:eastAsia="Arial" w:cs="Arial"/>
      <w:sz w:val="40"/>
      <w:szCs w:val="40"/>
    </w:rPr>
  </w:style>
  <w:style w:type="character" w:styleId="951">
    <w:name w:val="Heading 2 Char"/>
    <w:basedOn w:val="1116"/>
    <w:link w:val="1108"/>
    <w:uiPriority w:val="9"/>
    <w:rPr>
      <w:rFonts w:ascii="Arial" w:hAnsi="Arial" w:eastAsia="Arial" w:cs="Arial"/>
      <w:sz w:val="34"/>
    </w:rPr>
  </w:style>
  <w:style w:type="character" w:styleId="952">
    <w:name w:val="Heading 3 Char"/>
    <w:basedOn w:val="1116"/>
    <w:link w:val="1109"/>
    <w:uiPriority w:val="9"/>
    <w:rPr>
      <w:rFonts w:ascii="Arial" w:hAnsi="Arial" w:eastAsia="Arial" w:cs="Arial"/>
      <w:sz w:val="30"/>
      <w:szCs w:val="30"/>
    </w:rPr>
  </w:style>
  <w:style w:type="character" w:styleId="953">
    <w:name w:val="Heading 4 Char"/>
    <w:basedOn w:val="1116"/>
    <w:link w:val="1110"/>
    <w:uiPriority w:val="9"/>
    <w:rPr>
      <w:rFonts w:ascii="Arial" w:hAnsi="Arial" w:eastAsia="Arial" w:cs="Arial"/>
      <w:b/>
      <w:bCs/>
      <w:sz w:val="26"/>
      <w:szCs w:val="26"/>
    </w:rPr>
  </w:style>
  <w:style w:type="character" w:styleId="954">
    <w:name w:val="Heading 5 Char"/>
    <w:basedOn w:val="1116"/>
    <w:link w:val="1111"/>
    <w:uiPriority w:val="9"/>
    <w:rPr>
      <w:rFonts w:ascii="Arial" w:hAnsi="Arial" w:eastAsia="Arial" w:cs="Arial"/>
      <w:b/>
      <w:bCs/>
      <w:sz w:val="24"/>
      <w:szCs w:val="24"/>
    </w:rPr>
  </w:style>
  <w:style w:type="character" w:styleId="955">
    <w:name w:val="Heading 6 Char"/>
    <w:basedOn w:val="1116"/>
    <w:link w:val="1112"/>
    <w:uiPriority w:val="9"/>
    <w:rPr>
      <w:rFonts w:ascii="Arial" w:hAnsi="Arial" w:eastAsia="Arial" w:cs="Arial"/>
      <w:b/>
      <w:bCs/>
      <w:sz w:val="22"/>
      <w:szCs w:val="22"/>
    </w:rPr>
  </w:style>
  <w:style w:type="character" w:styleId="956">
    <w:name w:val="Heading 7 Char"/>
    <w:basedOn w:val="1116"/>
    <w:link w:val="11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57">
    <w:name w:val="Heading 8 Char"/>
    <w:basedOn w:val="1116"/>
    <w:link w:val="1114"/>
    <w:uiPriority w:val="9"/>
    <w:rPr>
      <w:rFonts w:ascii="Arial" w:hAnsi="Arial" w:eastAsia="Arial" w:cs="Arial"/>
      <w:i/>
      <w:iCs/>
      <w:sz w:val="22"/>
      <w:szCs w:val="22"/>
    </w:rPr>
  </w:style>
  <w:style w:type="character" w:styleId="958">
    <w:name w:val="Heading 9 Char"/>
    <w:basedOn w:val="1116"/>
    <w:link w:val="1115"/>
    <w:uiPriority w:val="9"/>
    <w:rPr>
      <w:rFonts w:ascii="Arial" w:hAnsi="Arial" w:eastAsia="Arial" w:cs="Arial"/>
      <w:i/>
      <w:iCs/>
      <w:sz w:val="21"/>
      <w:szCs w:val="21"/>
    </w:rPr>
  </w:style>
  <w:style w:type="paragraph" w:styleId="959">
    <w:name w:val="Title"/>
    <w:basedOn w:val="1106"/>
    <w:next w:val="1106"/>
    <w:link w:val="9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60">
    <w:name w:val="Title Char"/>
    <w:basedOn w:val="1116"/>
    <w:link w:val="959"/>
    <w:uiPriority w:val="10"/>
    <w:rPr>
      <w:sz w:val="48"/>
      <w:szCs w:val="48"/>
    </w:rPr>
  </w:style>
  <w:style w:type="paragraph" w:styleId="961">
    <w:name w:val="Subtitle"/>
    <w:basedOn w:val="1106"/>
    <w:next w:val="1106"/>
    <w:link w:val="962"/>
    <w:uiPriority w:val="11"/>
    <w:qFormat/>
    <w:pPr>
      <w:spacing w:before="200" w:after="200"/>
    </w:pPr>
    <w:rPr>
      <w:sz w:val="24"/>
      <w:szCs w:val="24"/>
    </w:rPr>
  </w:style>
  <w:style w:type="character" w:styleId="962">
    <w:name w:val="Subtitle Char"/>
    <w:basedOn w:val="1116"/>
    <w:link w:val="961"/>
    <w:uiPriority w:val="11"/>
    <w:rPr>
      <w:sz w:val="24"/>
      <w:szCs w:val="24"/>
    </w:rPr>
  </w:style>
  <w:style w:type="paragraph" w:styleId="963">
    <w:name w:val="Quote"/>
    <w:basedOn w:val="1106"/>
    <w:next w:val="1106"/>
    <w:link w:val="964"/>
    <w:uiPriority w:val="29"/>
    <w:qFormat/>
    <w:pPr>
      <w:ind w:left="720" w:right="720"/>
    </w:pPr>
    <w:rPr>
      <w:i/>
    </w:rPr>
  </w:style>
  <w:style w:type="character" w:styleId="964">
    <w:name w:val="Quote Char"/>
    <w:link w:val="963"/>
    <w:uiPriority w:val="29"/>
    <w:rPr>
      <w:i/>
    </w:rPr>
  </w:style>
  <w:style w:type="paragraph" w:styleId="965">
    <w:name w:val="Intense Quote"/>
    <w:basedOn w:val="1106"/>
    <w:next w:val="1106"/>
    <w:link w:val="9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66">
    <w:name w:val="Intense Quote Char"/>
    <w:link w:val="965"/>
    <w:uiPriority w:val="30"/>
    <w:rPr>
      <w:i/>
    </w:rPr>
  </w:style>
  <w:style w:type="character" w:styleId="967">
    <w:name w:val="Header Char"/>
    <w:basedOn w:val="1116"/>
    <w:link w:val="1133"/>
    <w:uiPriority w:val="99"/>
  </w:style>
  <w:style w:type="character" w:styleId="968">
    <w:name w:val="Footer Char"/>
    <w:basedOn w:val="1116"/>
    <w:link w:val="1135"/>
    <w:uiPriority w:val="99"/>
  </w:style>
  <w:style w:type="paragraph" w:styleId="969">
    <w:name w:val="Caption"/>
    <w:basedOn w:val="1106"/>
    <w:next w:val="11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70">
    <w:name w:val="Caption Char"/>
    <w:basedOn w:val="969"/>
    <w:link w:val="1135"/>
    <w:uiPriority w:val="99"/>
  </w:style>
  <w:style w:type="table" w:styleId="971">
    <w:name w:val="Table Grid Light"/>
    <w:basedOn w:val="11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2">
    <w:name w:val="Plain Table 1"/>
    <w:basedOn w:val="11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3">
    <w:name w:val="Plain Table 2"/>
    <w:basedOn w:val="11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4">
    <w:name w:val="Plain Table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75">
    <w:name w:val="Plain Table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Plain Table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77">
    <w:name w:val="Grid Table 1 Light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Grid Table 1 Light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Grid Table 1 Light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Grid Table 1 Light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Grid Table 1 Light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Grid Table 1 Light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Grid Table 1 Light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Grid Table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2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2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2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2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2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2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3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3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3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3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3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3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4"/>
    <w:basedOn w:val="11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99">
    <w:name w:val="Grid Table 4 - Accent 1"/>
    <w:basedOn w:val="11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00">
    <w:name w:val="Grid Table 4 - Accent 2"/>
    <w:basedOn w:val="11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01">
    <w:name w:val="Grid Table 4 - Accent 3"/>
    <w:basedOn w:val="11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02">
    <w:name w:val="Grid Table 4 - Accent 4"/>
    <w:basedOn w:val="11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03">
    <w:name w:val="Grid Table 4 - Accent 5"/>
    <w:basedOn w:val="11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04">
    <w:name w:val="Grid Table 4 - Accent 6"/>
    <w:basedOn w:val="11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05">
    <w:name w:val="Grid Table 5 Dark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06">
    <w:name w:val="Grid Table 5 Dark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007">
    <w:name w:val="Grid Table 5 Dark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08">
    <w:name w:val="Grid Table 5 Dark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09">
    <w:name w:val="Grid Table 5 Dark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10">
    <w:name w:val="Grid Table 5 Dark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011">
    <w:name w:val="Grid Table 5 Dark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12">
    <w:name w:val="Grid Table 6 Colorful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13">
    <w:name w:val="Grid Table 6 Colorful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14">
    <w:name w:val="Grid Table 6 Colorful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15">
    <w:name w:val="Grid Table 6 Colorful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16">
    <w:name w:val="Grid Table 6 Colorful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17">
    <w:name w:val="Grid Table 6 Colorful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8">
    <w:name w:val="Grid Table 6 Colorful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9">
    <w:name w:val="Grid Table 7 Colorful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7 Colorful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7 Colorful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7 Colorful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7 Colorful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7 Colorful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7 Colorful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List Table 1 Light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List Table 1 Light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List Table 1 Light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List Table 1 Light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List Table 1 Light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List Table 1 Light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List Table 1 Light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List Table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34">
    <w:name w:val="List Table 2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35">
    <w:name w:val="List Table 2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36">
    <w:name w:val="List Table 2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37">
    <w:name w:val="List Table 2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38">
    <w:name w:val="List Table 2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39">
    <w:name w:val="List Table 2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40">
    <w:name w:val="List Table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3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3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3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List Table 3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List Table 3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List Table 3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List Table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List Table 4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4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4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4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4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4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5 Dark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5">
    <w:name w:val="List Table 5 Dark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6">
    <w:name w:val="List Table 5 Dark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7">
    <w:name w:val="List Table 5 Dark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8">
    <w:name w:val="List Table 5 Dark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9">
    <w:name w:val="List Table 5 Dark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0">
    <w:name w:val="List Table 5 Dark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1">
    <w:name w:val="List Table 6 Colorful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62">
    <w:name w:val="List Table 6 Colorful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63">
    <w:name w:val="List Table 6 Colorful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64">
    <w:name w:val="List Table 6 Colorful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65">
    <w:name w:val="List Table 6 Colorful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66">
    <w:name w:val="List Table 6 Colorful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67">
    <w:name w:val="List Table 6 Colorful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68">
    <w:name w:val="List Table 7 Colorful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69">
    <w:name w:val="List Table 7 Colorful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70">
    <w:name w:val="List Table 7 Colorful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71">
    <w:name w:val="List Table 7 Colorful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72">
    <w:name w:val="List Table 7 Colorful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73">
    <w:name w:val="List Table 7 Colorful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74">
    <w:name w:val="List Table 7 Colorful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75">
    <w:name w:val="Lined - Accent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6">
    <w:name w:val="Lined - Accent 1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77">
    <w:name w:val="Lined - Accent 2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78">
    <w:name w:val="Lined - Accent 3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79">
    <w:name w:val="Lined - Accent 4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80">
    <w:name w:val="Lined - Accent 5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81">
    <w:name w:val="Lined - Accent 6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82">
    <w:name w:val="Bordered &amp; Lined - Accent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83">
    <w:name w:val="Bordered &amp; Lined - Accent 1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84">
    <w:name w:val="Bordered &amp; Lined - Accent 2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85">
    <w:name w:val="Bordered &amp; Lined - Accent 3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86">
    <w:name w:val="Bordered &amp; Lined - Accent 4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87">
    <w:name w:val="Bordered &amp; Lined - Accent 5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88">
    <w:name w:val="Bordered &amp; Lined - Accent 6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89">
    <w:name w:val="Bordered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90">
    <w:name w:val="Bordered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91">
    <w:name w:val="Bordered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92">
    <w:name w:val="Bordered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93">
    <w:name w:val="Bordered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94">
    <w:name w:val="Bordered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95">
    <w:name w:val="Bordered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96">
    <w:name w:val="Footnote Text Char"/>
    <w:link w:val="1121"/>
    <w:uiPriority w:val="99"/>
    <w:rPr>
      <w:sz w:val="18"/>
    </w:rPr>
  </w:style>
  <w:style w:type="character" w:styleId="1097">
    <w:name w:val="Endnote Text Char"/>
    <w:link w:val="1145"/>
    <w:uiPriority w:val="99"/>
    <w:rPr>
      <w:sz w:val="20"/>
    </w:rPr>
  </w:style>
  <w:style w:type="paragraph" w:styleId="1098">
    <w:name w:val="toc 2"/>
    <w:basedOn w:val="1106"/>
    <w:next w:val="1106"/>
    <w:uiPriority w:val="39"/>
    <w:unhideWhenUsed/>
    <w:pPr>
      <w:ind w:left="283" w:right="0" w:firstLine="0"/>
      <w:spacing w:after="57"/>
    </w:pPr>
  </w:style>
  <w:style w:type="paragraph" w:styleId="1099">
    <w:name w:val="toc 3"/>
    <w:basedOn w:val="1106"/>
    <w:next w:val="1106"/>
    <w:uiPriority w:val="39"/>
    <w:unhideWhenUsed/>
    <w:pPr>
      <w:ind w:left="567" w:right="0" w:firstLine="0"/>
      <w:spacing w:after="57"/>
    </w:pPr>
  </w:style>
  <w:style w:type="paragraph" w:styleId="1100">
    <w:name w:val="toc 5"/>
    <w:basedOn w:val="1106"/>
    <w:next w:val="1106"/>
    <w:uiPriority w:val="39"/>
    <w:unhideWhenUsed/>
    <w:pPr>
      <w:ind w:left="1134" w:right="0" w:firstLine="0"/>
      <w:spacing w:after="57"/>
    </w:pPr>
  </w:style>
  <w:style w:type="paragraph" w:styleId="1101">
    <w:name w:val="toc 6"/>
    <w:basedOn w:val="1106"/>
    <w:next w:val="1106"/>
    <w:uiPriority w:val="39"/>
    <w:unhideWhenUsed/>
    <w:pPr>
      <w:ind w:left="1417" w:right="0" w:firstLine="0"/>
      <w:spacing w:after="57"/>
    </w:pPr>
  </w:style>
  <w:style w:type="paragraph" w:styleId="1102">
    <w:name w:val="toc 7"/>
    <w:basedOn w:val="1106"/>
    <w:next w:val="1106"/>
    <w:uiPriority w:val="39"/>
    <w:unhideWhenUsed/>
    <w:pPr>
      <w:ind w:left="1701" w:right="0" w:firstLine="0"/>
      <w:spacing w:after="57"/>
    </w:pPr>
  </w:style>
  <w:style w:type="paragraph" w:styleId="1103">
    <w:name w:val="toc 8"/>
    <w:basedOn w:val="1106"/>
    <w:next w:val="1106"/>
    <w:uiPriority w:val="39"/>
    <w:unhideWhenUsed/>
    <w:pPr>
      <w:ind w:left="1984" w:right="0" w:firstLine="0"/>
      <w:spacing w:after="57"/>
    </w:pPr>
  </w:style>
  <w:style w:type="paragraph" w:styleId="1104">
    <w:name w:val="toc 9"/>
    <w:basedOn w:val="1106"/>
    <w:next w:val="1106"/>
    <w:uiPriority w:val="39"/>
    <w:unhideWhenUsed/>
    <w:pPr>
      <w:ind w:left="2268" w:right="0" w:firstLine="0"/>
      <w:spacing w:after="57"/>
    </w:pPr>
  </w:style>
  <w:style w:type="paragraph" w:styleId="1105">
    <w:name w:val="table of figures"/>
    <w:basedOn w:val="1106"/>
    <w:next w:val="1106"/>
    <w:uiPriority w:val="99"/>
    <w:unhideWhenUsed/>
    <w:pPr>
      <w:spacing w:after="0" w:afterAutospacing="0"/>
    </w:pPr>
  </w:style>
  <w:style w:type="paragraph" w:styleId="1106" w:default="1">
    <w:name w:val="Normal"/>
    <w:qFormat/>
    <w:rPr>
      <w:sz w:val="24"/>
      <w:szCs w:val="24"/>
    </w:rPr>
  </w:style>
  <w:style w:type="paragraph" w:styleId="1107">
    <w:name w:val="Heading 1"/>
    <w:basedOn w:val="1106"/>
    <w:next w:val="1106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1108">
    <w:name w:val="Heading 2"/>
    <w:basedOn w:val="1106"/>
    <w:next w:val="1106"/>
    <w:link w:val="1119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1109">
    <w:name w:val="Heading 3"/>
    <w:basedOn w:val="1106"/>
    <w:next w:val="1106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1110">
    <w:name w:val="Heading 4"/>
    <w:basedOn w:val="1106"/>
    <w:next w:val="1106"/>
    <w:qFormat/>
    <w:pPr>
      <w:jc w:val="center"/>
      <w:keepNext/>
      <w:outlineLvl w:val="3"/>
    </w:pPr>
    <w:rPr>
      <w:b/>
      <w:sz w:val="22"/>
      <w:szCs w:val="22"/>
    </w:rPr>
  </w:style>
  <w:style w:type="paragraph" w:styleId="1111">
    <w:name w:val="Heading 5"/>
    <w:basedOn w:val="1106"/>
    <w:next w:val="1106"/>
    <w:qFormat/>
    <w:pPr>
      <w:keepNext/>
      <w:outlineLvl w:val="4"/>
    </w:pPr>
    <w:rPr>
      <w:b/>
      <w:bCs/>
      <w:sz w:val="28"/>
      <w:szCs w:val="28"/>
    </w:rPr>
  </w:style>
  <w:style w:type="paragraph" w:styleId="1112">
    <w:name w:val="Heading 6"/>
    <w:basedOn w:val="1106"/>
    <w:next w:val="1106"/>
    <w:qFormat/>
    <w:pPr>
      <w:jc w:val="center"/>
      <w:keepNext/>
      <w:outlineLvl w:val="5"/>
    </w:pPr>
    <w:rPr>
      <w:b/>
      <w:bCs/>
    </w:rPr>
  </w:style>
  <w:style w:type="paragraph" w:styleId="1113">
    <w:name w:val="Heading 7"/>
    <w:basedOn w:val="1106"/>
    <w:next w:val="1106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1114">
    <w:name w:val="Heading 8"/>
    <w:basedOn w:val="1106"/>
    <w:next w:val="1106"/>
    <w:link w:val="1139"/>
    <w:qFormat/>
    <w:pPr>
      <w:keepNext/>
      <w:outlineLvl w:val="7"/>
    </w:pPr>
    <w:rPr>
      <w:b/>
      <w:bCs/>
    </w:rPr>
  </w:style>
  <w:style w:type="paragraph" w:styleId="1115">
    <w:name w:val="Heading 9"/>
    <w:basedOn w:val="1106"/>
    <w:next w:val="1106"/>
    <w:qFormat/>
    <w:pPr>
      <w:keepNext/>
      <w:outlineLvl w:val="8"/>
    </w:pPr>
    <w:rPr>
      <w:b/>
      <w:bCs/>
      <w:sz w:val="20"/>
      <w:szCs w:val="20"/>
    </w:rPr>
  </w:style>
  <w:style w:type="character" w:styleId="1116" w:default="1">
    <w:name w:val="Default Paragraph Font"/>
    <w:uiPriority w:val="1"/>
    <w:semiHidden/>
    <w:unhideWhenUsed/>
  </w:style>
  <w:style w:type="table" w:styleId="11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18" w:default="1">
    <w:name w:val="No List"/>
    <w:uiPriority w:val="99"/>
    <w:semiHidden/>
    <w:unhideWhenUsed/>
  </w:style>
  <w:style w:type="character" w:styleId="1119" w:customStyle="1">
    <w:name w:val="Заголовок 2 Знак"/>
    <w:link w:val="1108"/>
    <w:rPr>
      <w:b/>
      <w:bCs/>
      <w:i/>
      <w:iCs/>
      <w:sz w:val="24"/>
      <w:szCs w:val="24"/>
    </w:rPr>
  </w:style>
  <w:style w:type="table" w:styleId="1120">
    <w:name w:val="Table Grid"/>
    <w:basedOn w:val="11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21">
    <w:name w:val="footnote text"/>
    <w:basedOn w:val="1106"/>
    <w:link w:val="1142"/>
    <w:qFormat/>
    <w:rPr>
      <w:sz w:val="20"/>
      <w:szCs w:val="20"/>
    </w:rPr>
  </w:style>
  <w:style w:type="character" w:styleId="1122">
    <w:name w:val="footnote reference"/>
    <w:qFormat/>
    <w:rPr>
      <w:vertAlign w:val="superscript"/>
    </w:rPr>
  </w:style>
  <w:style w:type="paragraph" w:styleId="1123">
    <w:name w:val="No Spacing"/>
    <w:link w:val="1124"/>
    <w:uiPriority w:val="1"/>
    <w:qFormat/>
    <w:rPr>
      <w:rFonts w:ascii="Calibri" w:hAnsi="Calibri"/>
      <w:sz w:val="22"/>
      <w:szCs w:val="22"/>
      <w:lang w:eastAsia="en-US"/>
    </w:rPr>
  </w:style>
  <w:style w:type="character" w:styleId="1124" w:customStyle="1">
    <w:name w:val="Без интервала Знак"/>
    <w:link w:val="1123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125">
    <w:name w:val="toc 4"/>
    <w:basedOn w:val="1106"/>
    <w:next w:val="1106"/>
    <w:uiPriority w:val="39"/>
    <w:pPr>
      <w:spacing w:line="360" w:lineRule="auto"/>
      <w:tabs>
        <w:tab w:val="left" w:pos="426" w:leader="none"/>
        <w:tab w:val="right" w:pos="10065" w:leader="dot"/>
      </w:tabs>
    </w:pPr>
    <w:rPr>
      <w:b/>
      <w:bCs/>
      <w:sz w:val="22"/>
    </w:rPr>
  </w:style>
  <w:style w:type="character" w:styleId="1126">
    <w:name w:val="Hyperlink"/>
    <w:uiPriority w:val="99"/>
    <w:unhideWhenUsed/>
    <w:rPr>
      <w:color w:val="0000ff"/>
      <w:u w:val="single"/>
    </w:rPr>
  </w:style>
  <w:style w:type="paragraph" w:styleId="1127">
    <w:name w:val="Body Text Indent"/>
    <w:basedOn w:val="1106"/>
    <w:link w:val="1140"/>
    <w:rPr>
      <w:sz w:val="22"/>
      <w:szCs w:val="22"/>
    </w:rPr>
  </w:style>
  <w:style w:type="paragraph" w:styleId="1128" w:customStyle="1">
    <w:name w:val="Char Char Char"/>
    <w:basedOn w:val="11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129">
    <w:name w:val="Body Text"/>
    <w:basedOn w:val="1106"/>
    <w:link w:val="1141"/>
    <w:rPr>
      <w:b/>
      <w:bCs/>
    </w:rPr>
  </w:style>
  <w:style w:type="paragraph" w:styleId="1130">
    <w:name w:val="Body Text Indent 3"/>
    <w:basedOn w:val="1106"/>
    <w:pPr>
      <w:ind w:left="283"/>
      <w:spacing w:after="120"/>
    </w:pPr>
    <w:rPr>
      <w:sz w:val="16"/>
      <w:szCs w:val="16"/>
    </w:rPr>
  </w:style>
  <w:style w:type="paragraph" w:styleId="1131" w:customStyle="1">
    <w:name w:val="Default"/>
    <w:rPr>
      <w:color w:val="000000"/>
      <w:sz w:val="24"/>
      <w:szCs w:val="24"/>
    </w:rPr>
  </w:style>
  <w:style w:type="paragraph" w:styleId="1132">
    <w:name w:val="Body Text Indent 2"/>
    <w:basedOn w:val="1106"/>
    <w:pPr>
      <w:ind w:firstLine="360"/>
      <w:jc w:val="both"/>
    </w:pPr>
  </w:style>
  <w:style w:type="paragraph" w:styleId="1133">
    <w:name w:val="Header"/>
    <w:basedOn w:val="1106"/>
    <w:link w:val="1134"/>
    <w:uiPriority w:val="99"/>
    <w:pPr>
      <w:tabs>
        <w:tab w:val="center" w:pos="4677" w:leader="none"/>
        <w:tab w:val="right" w:pos="9355" w:leader="none"/>
      </w:tabs>
    </w:pPr>
  </w:style>
  <w:style w:type="character" w:styleId="1134" w:customStyle="1">
    <w:name w:val="Верхний колонтитул Знак"/>
    <w:link w:val="1133"/>
    <w:uiPriority w:val="99"/>
    <w:rPr>
      <w:sz w:val="24"/>
      <w:szCs w:val="24"/>
      <w:lang w:val="ru-RU" w:eastAsia="ru-RU" w:bidi="ar-SA"/>
    </w:rPr>
  </w:style>
  <w:style w:type="paragraph" w:styleId="1135">
    <w:name w:val="Footer"/>
    <w:basedOn w:val="1106"/>
    <w:link w:val="1136"/>
    <w:pPr>
      <w:tabs>
        <w:tab w:val="center" w:pos="4677" w:leader="none"/>
        <w:tab w:val="right" w:pos="9355" w:leader="none"/>
      </w:tabs>
    </w:pPr>
  </w:style>
  <w:style w:type="character" w:styleId="1136" w:customStyle="1">
    <w:name w:val="Нижний колонтитул Знак"/>
    <w:link w:val="1135"/>
    <w:rPr>
      <w:sz w:val="24"/>
      <w:szCs w:val="24"/>
    </w:rPr>
  </w:style>
  <w:style w:type="paragraph" w:styleId="1137">
    <w:name w:val="Balloon Text"/>
    <w:basedOn w:val="1106"/>
    <w:link w:val="1138"/>
    <w:rPr>
      <w:rFonts w:ascii="Tahoma" w:hAnsi="Tahoma"/>
      <w:sz w:val="16"/>
      <w:szCs w:val="16"/>
    </w:rPr>
  </w:style>
  <w:style w:type="character" w:styleId="1138" w:customStyle="1">
    <w:name w:val="Текст выноски Знак"/>
    <w:link w:val="1137"/>
    <w:rPr>
      <w:rFonts w:ascii="Tahoma" w:hAnsi="Tahoma" w:cs="Tahoma"/>
      <w:sz w:val="16"/>
      <w:szCs w:val="16"/>
    </w:rPr>
  </w:style>
  <w:style w:type="character" w:styleId="1139" w:customStyle="1">
    <w:name w:val="Заголовок 8 Знак"/>
    <w:link w:val="1114"/>
    <w:rPr>
      <w:b/>
      <w:bCs/>
      <w:sz w:val="24"/>
      <w:szCs w:val="24"/>
    </w:rPr>
  </w:style>
  <w:style w:type="character" w:styleId="1140" w:customStyle="1">
    <w:name w:val="Основной текст с отступом Знак"/>
    <w:link w:val="1127"/>
    <w:rPr>
      <w:sz w:val="22"/>
      <w:szCs w:val="22"/>
    </w:rPr>
  </w:style>
  <w:style w:type="character" w:styleId="1141" w:customStyle="1">
    <w:name w:val="Основной текст Знак"/>
    <w:link w:val="1129"/>
    <w:rPr>
      <w:b/>
      <w:bCs/>
      <w:sz w:val="24"/>
      <w:szCs w:val="24"/>
    </w:rPr>
  </w:style>
  <w:style w:type="character" w:styleId="1142" w:customStyle="1">
    <w:name w:val="Текст сноски Знак"/>
    <w:link w:val="1121"/>
  </w:style>
  <w:style w:type="paragraph" w:styleId="1143" w:customStyle="1">
    <w:name w:val="Название"/>
    <w:basedOn w:val="1106"/>
    <w:link w:val="1144"/>
    <w:qFormat/>
    <w:pPr>
      <w:jc w:val="center"/>
    </w:pPr>
    <w:rPr>
      <w:b/>
      <w:bCs/>
      <w:sz w:val="28"/>
      <w:szCs w:val="28"/>
    </w:rPr>
  </w:style>
  <w:style w:type="character" w:styleId="1144" w:customStyle="1">
    <w:name w:val="Название Знак"/>
    <w:link w:val="1143"/>
    <w:rPr>
      <w:b/>
      <w:bCs/>
      <w:sz w:val="28"/>
      <w:szCs w:val="28"/>
    </w:rPr>
  </w:style>
  <w:style w:type="paragraph" w:styleId="1145">
    <w:name w:val="endnote text"/>
    <w:basedOn w:val="1106"/>
    <w:link w:val="1146"/>
    <w:rPr>
      <w:sz w:val="20"/>
      <w:szCs w:val="20"/>
    </w:rPr>
  </w:style>
  <w:style w:type="character" w:styleId="1146" w:customStyle="1">
    <w:name w:val="Текст концевой сноски Знак"/>
    <w:basedOn w:val="1116"/>
    <w:link w:val="1145"/>
  </w:style>
  <w:style w:type="character" w:styleId="1147">
    <w:name w:val="endnote reference"/>
    <w:rPr>
      <w:vertAlign w:val="superscript"/>
    </w:rPr>
  </w:style>
  <w:style w:type="paragraph" w:styleId="1148" w:customStyle="1">
    <w:name w:val="Нормальный"/>
    <w:rPr>
      <w:rFonts w:ascii="TimesET" w:hAnsi="TimesET" w:cs="TimesET"/>
      <w:b/>
      <w:bCs/>
      <w:i/>
      <w:iCs/>
      <w:smallCaps/>
      <w:sz w:val="24"/>
      <w:szCs w:val="24"/>
    </w:rPr>
  </w:style>
  <w:style w:type="paragraph" w:styleId="1149">
    <w:name w:val="TOC Heading"/>
    <w:basedOn w:val="1107"/>
    <w:next w:val="1106"/>
    <w:uiPriority w:val="39"/>
    <w:semiHidden/>
    <w:unhideWhenUsed/>
    <w:qFormat/>
    <w:pPr>
      <w:ind w:firstLine="0"/>
      <w:jc w:val="left"/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150">
    <w:name w:val="toc 1"/>
    <w:basedOn w:val="1106"/>
    <w:next w:val="1106"/>
    <w:uiPriority w:val="39"/>
  </w:style>
  <w:style w:type="paragraph" w:styleId="1151">
    <w:name w:val="List Paragraph"/>
    <w:basedOn w:val="1106"/>
    <w:uiPriority w:val="34"/>
    <w:qFormat/>
    <w:pPr>
      <w:ind w:left="708"/>
    </w:pPr>
  </w:style>
  <w:style w:type="paragraph" w:styleId="1152" w:customStyle="1">
    <w:name w:val="ConsNormal"/>
    <w:pPr>
      <w:ind w:firstLine="720"/>
      <w:widowControl w:val="off"/>
    </w:pPr>
    <w:rPr>
      <w:rFonts w:ascii="Arial" w:hAnsi="Arial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4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5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6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7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8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9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0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1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2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3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4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5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6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7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8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9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30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76AF3-ADBE-4D39-AB66-4EE5A75C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RSB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Grafskaya</dc:creator>
  <cp:keywords/>
  <cp:revision>7</cp:revision>
  <dcterms:created xsi:type="dcterms:W3CDTF">2024-08-06T11:55:00Z</dcterms:created>
  <dcterms:modified xsi:type="dcterms:W3CDTF">2025-02-03T12:05:00Z</dcterms:modified>
</cp:coreProperties>
</file>