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АО «Россельхозбанк»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1020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1110"/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5014"/>
        <w:gridCol w:w="2776"/>
        <w:gridCol w:w="6377"/>
      </w:tblGrid>
      <w:tr>
        <w:tblPrEx/>
        <w:trPr>
          <w:jc w:val="center"/>
          <w:trHeight w:val="664"/>
        </w:trPr>
        <w:tc>
          <w:tcPr>
            <w:gridSpan w:val="4"/>
            <w:shd w:val="clear" w:color="auto" w:fill="c2d69b" w:themeFill="accent3" w:themeFillTint="99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«Путевая карта - кредитная карта с льготным периодом кредитования»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до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30.04</w:t>
            </w:r>
            <w:r/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 (включительно))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d6e3bc" w:themeFill="accent3" w:themeFillTint="66"/>
            <w:tcW w:w="22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68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93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214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94"/>
        </w:trPr>
        <w:tc>
          <w:tcPr>
            <w:shd w:val="clear" w:color="auto" w:fill="92d050"/>
            <w:tcW w:w="228" w:type="pct"/>
            <w:textDirection w:val="lrTb"/>
            <w:noWrap w:val="false"/>
          </w:tcPr>
          <w:p>
            <w:pPr>
              <w:pStyle w:val="1111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77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28" w:type="pct"/>
            <w:textDirection w:val="lrTb"/>
            <w:noWrap w:val="false"/>
          </w:tcPr>
          <w:p>
            <w:pPr>
              <w:pStyle w:val="1111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8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28" w:type="pct"/>
            <w:textDirection w:val="lrTb"/>
            <w:noWrap w:val="false"/>
          </w:tcPr>
          <w:p>
            <w:pPr>
              <w:pStyle w:val="1111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8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21.03.2024 выпуск карт в рамках данного тарифного плана не осуществляется, кроме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/замены карт/ дополнительных карт в период действия кредитного лимита.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28" w:type="pct"/>
            <w:textDirection w:val="lrTb"/>
            <w:noWrap w:val="false"/>
          </w:tcPr>
          <w:p>
            <w:pPr>
              <w:pStyle w:val="1111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93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1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28" w:type="pct"/>
            <w:textDirection w:val="lrTb"/>
            <w:noWrap w:val="false"/>
          </w:tcPr>
          <w:p>
            <w:pPr>
              <w:pStyle w:val="1111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48" w:type="pc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5 лет и зависит от наличия карт данных категорий в подразделении АО «Россельхозбанк»</w:t>
            </w:r>
            <w:r>
              <w:rPr>
                <w:rStyle w:val="1114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 может быть выпущена в виде форм-фактора, приобретенного в Торговой организации, с привязкой к счету карты при оформлении Заявления на выпуск карты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АО «Россельхозбанк» в виде форм-фактора.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МИР Моментального выпуска в виде форм-фактора составляет 5 лет.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465"/>
        </w:trPr>
        <w:tc>
          <w:tcPr>
            <w:tcW w:w="228" w:type="pct"/>
            <w:textDirection w:val="lrTb"/>
            <w:noWrap w:val="false"/>
          </w:tcPr>
          <w:p>
            <w:pPr>
              <w:pStyle w:val="1111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148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28" w:type="pct"/>
            <w:textDirection w:val="lrTb"/>
            <w:noWrap w:val="false"/>
          </w:tcPr>
          <w:p>
            <w:pPr>
              <w:pStyle w:val="1111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 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 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осуществляется на карты в виде форм – фактора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данном случае это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4741"/>
        <w:gridCol w:w="2796"/>
        <w:gridCol w:w="6263"/>
      </w:tblGrid>
      <w:tr>
        <w:tblPrEx/>
        <w:trPr>
          <w:jc w:val="center"/>
        </w:trPr>
        <w:tc>
          <w:tcPr>
            <w:shd w:val="clear" w:color="auto" w:fill="92d050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W w:w="4660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466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выпуск банковской карты/ дополнительной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c2d69b" w:themeFill="accent3" w:themeFillTint="99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c2d69b" w:themeFill="accent3" w:themeFillTint="99"/>
            <w:tcW w:w="466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Для карт, выпущенных к счету, открытому до 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.2021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 Instant Issue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Путевая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Взимается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единоразово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 проведения первой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риходной или расходной операции за счет собственных средств и/или предоставленного Банком кредитного лимита. Комиссия взимается Банком при наличии на счете денежных средств (при наличии неиспользованного кредитного лимита) в размере, равном сумме комиссии(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за выпуск банковской карты/ дополнительной карты, но не позднее окончания срока действия карты.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замены карты (кроме карт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Карта МИР Моментального выпуска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причине изменения данных держателя/держателя дополнительной карты, признания Банком факта неправомерного (без согласия держателя) использования карты посторонними лицами, механического повреждения карты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условии, что до окончания срока действия карты осталось не менее 3 (трех) календарных месяцев, а также в некоторых иных случаях (по решению Банка) комиссия не взимается, при этом держателю будет предоставлена карта со сроком действия заменяемой карты.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обслуживание карт категорий Карта МИР Моментального выпуска в виде форм-фактора,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M) в виде форм-фактора, Премиальная карта МИР в виде форм-фактора, не взимается.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Classic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7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c2d69b" w:themeFill="accent3" w:themeFillTint="99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16"/>
              </w:num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c2d69b" w:themeFill="accent3" w:themeFillTint="99"/>
            <w:tcW w:w="46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Для карт, выпущенных к счету, открытому с 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30.09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1 включительно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Карта МИР Моментального выпуска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Classic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8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4660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банковской карты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ind w:left="29" w:hanging="29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2.2.1.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ind w:left="29" w:hanging="29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2.2.2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111"/>
              <w:ind w:left="29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2.2.3.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Ежемесячная комиссия за обслуживание дополнительной карты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Style w:val="1110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14"/>
        <w:gridCol w:w="84"/>
        <w:gridCol w:w="80"/>
        <w:gridCol w:w="141"/>
        <w:gridCol w:w="1234"/>
        <w:gridCol w:w="1500"/>
        <w:gridCol w:w="101"/>
        <w:gridCol w:w="6324"/>
        <w:gridCol w:w="52"/>
      </w:tblGrid>
      <w:tr>
        <w:tblPrEx/>
        <w:trPr>
          <w:gridAfter w:val="1"/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Borders>
              <w:bottom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28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1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1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1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льготную 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период(ы)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pStyle w:val="1111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минимального 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1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Клиентом самостоятельно в системах «Ин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тернет-банк» и «Мобильный банк»;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1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63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6"/>
              </w:num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restart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Times New Roman" w:hAnsi="Times New Roman" w:cs="Times New Roman"/>
              </w:rPr>
              <w:t xml:space="preserve">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7"/>
              </w:numPr>
              <w:ind w:left="0" w:right="-21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32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19"/>
        </w:trPr>
        <w:tc>
          <w:tcPr>
            <w:shd w:val="clear" w:color="auto" w:fill="92d050"/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Borders>
              <w:bottom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8"/>
              </w:numPr>
              <w:ind w:left="357" w:hanging="35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21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8"/>
              </w:numPr>
              <w:ind w:left="357" w:hanging="35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32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8"/>
              </w:numPr>
              <w:ind w:left="357" w:hanging="35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765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63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439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c использованием услуги «Перевод денежных средств по реквизит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 получателя на сайте партнера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устанавливается и ведется каждым подразделением Банка самостоятельно в электронном виде и доводится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 реквизитов платежных карт»/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банкоматов, информационно-платежных терминалов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12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3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tcW w:w="76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56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0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538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1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97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7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32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Условий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Банка и на официальном интернет-сайте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по адресу </w:t>
            </w:r>
            <w:hyperlink r:id="rId11" w:tooltip="http://www.rshb.ru" w:history="1">
              <w:r>
                <w:rPr>
                  <w:rStyle w:val="1125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Style w:val="1125"/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65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110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ПАО «ВымпелКом» (Билайн) и ПАО «Мегафон» - 10 000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513"/>
        </w:trPr>
        <w:tc>
          <w:tcPr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елКом» (Билайн) и ПАО «Мегафон»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- 30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65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78" w:type="dxa"/>
            <w:textDirection w:val="lrTb"/>
            <w:noWrap w:val="false"/>
          </w:tcPr>
          <w:p>
            <w:pPr>
              <w:ind w:left="48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опции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11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ind w:left="142"/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78" w:type="dxa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Вознаграждение клиенту путем начисления бонусных баллов в рамках программы лояльности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Урожай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»</w:t>
            </w:r>
            <w:r>
              <w:rPr>
                <w:rStyle w:val="1114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6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51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14"/>
              </w:numP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ffffff" w:themeFill="background1"/>
            <w:tcW w:w="1397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Начисление приветственных бонусных баллов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293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0"/>
              </w:numPr>
              <w:ind w:left="0" w:firstLine="0"/>
              <w:spacing w:before="40" w:after="4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ffffff" w:themeFill="background1"/>
            <w:tcW w:w="76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23:59:59 по московскому 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мени 30.04.2022 (включительно)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restart"/>
            <w:textDirection w:val="lrTb"/>
            <w:noWrap w:val="false"/>
          </w:tcPr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Бонусные баллы начисляются в соответствии с Условиями Программы лояльности «Урожай».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К торгово-сервисным предприятиям категории «путешествия» относятся: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авиалинии, авиакомпании (МCC-коды: 3000-3072, 3075-3079, 3081-3090, 3092, 3094-3100, 3102-3103, 3106, 3110-3112, 3115, 3117-3118, 3125-3127, 3129-3133, 3135-3138, 3143-3146, 3148, 3151, 3154, 3156, 3159, 316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1, 3164-3165, 3167, 3170-3172, 3174-3178, 3180-3188, 3190-3193, 3196-3197, 3200, 3203-3204, 3206, 3211-3213, 3215-3223, 3226, 3228-3229, 3231, 3233-3236, 3238-3243, 3245-3248, 3251-3254, 3256, 3259-3263, 3266, 3267, 3280, 3282, 3284-3287, 3292-3299, 4511);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агентства по аренде автомобилей (MCC-коды: 3351-3355, 3357, 3359-3362, 3364, 3366, 3368, 3370, 3374, 3376, 3380-3381, 3385-3391, 3393-3396, 3398, 3400, 3405, 3409, 3412, 3414, 3420-3421, 3423, 3425, 3427-3439, 3441);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жилье – отели, мотели, курорты (МCC-коды: 3501-3546, 3548-3599, 3602-3604, 3607-3615, 3617-3732, 3734-3802, 3807-3808, 3811-3815, 3819-3831, 7011);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пассажирские железнодорожные перевозки (МCC-код: 4112);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круизные линии (МCC-код: 4411);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аренда и наем судов (МCC-код: 4457);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пристани для яхт, их обслуживание и поставка (МCC-код: 4468);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 туристические агентства и организаторы экскурсий, операторы чартерных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и экскурсионных автобусов (МСC-код: 4722);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беспошлинные магазины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Duty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Free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(MCC-код: 5309);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прокат автомобилей (МCC-код: 7512).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Начисление приветственных бонусных баллов от Банка происходит за операции оплаты товаров и услуг,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отраженные по счету в период до конца календарного месяца, следующего за месяцем получения первой карты к счету. В период до конца календарного месяца, следующего за месяцем получения первой карты к счету, начисляются только приветственные бонусные баллы.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После достижения суммы Бонусных баллов, указанной в Условиях Программы лояльности «Урожай», для Клиентов, являющихся держателями банковских карт АО «Россельхозбанк»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Путевая (В), бонусные баллы начисляются по курсу 1,00 бонусный балл за каждые потраченные 100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рублей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по операциям оплаты товаров и услуг.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Максимальная сумма бонусны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х баллов, подлежащих начислению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на бонусный счет Клиента за один календарный месяц, рассчитывается в соответствии с Условиями Программы лояльности «Урожай».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ind w:firstLine="314"/>
              <w:jc w:val="both"/>
              <w:rPr>
                <w:rFonts w:ascii="Times New Roman" w:hAnsi="Times New Roman" w:eastAsia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Типы операций, по которым Банком не производится начисление вознаграждения в рамках дополнительных опций и которые не учитываются при расчете фактического оборота, определяются в соответствии с Условиями Программы лояльности «Урожай»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для Клиентов, являющихся держателями платежных карт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207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2"/>
              </w:numPr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4 бонусных балла за каждые потраченные 100 рублей по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6 бонусных баллов за каждые потраченные 100 рублей по операциям оплаты товаров и услуг в торгово-сервисных предприятиях 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2"/>
              </w:numPr>
              <w:contextualSpacing w:val="0"/>
              <w:ind w:left="0" w:firstLine="0"/>
              <w:spacing w:before="12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2"/>
              </w:numPr>
              <w:contextualSpacing w:val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5 бонусных баллов за каждые потраченные 100 рублей по операциям оплаты товаров и услуг</w:t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7 бонусных баллов за каждые потраченные 100 рублей по операциям оплаты товаров и услуг в торгово-сервисных предприятиях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239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0"/>
              </w:numPr>
              <w:ind w:left="0" w:firstLine="0"/>
              <w:spacing w:before="40" w:after="4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ffffff" w:themeFill="background1"/>
            <w:tcW w:w="765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1265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3"/>
              </w:numPr>
              <w:ind w:left="0" w:firstLine="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2 бонусных балла за каждые потраченные 100 рублей по операциям оплаты товаров и услуг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3 бонусных баллов за каждые потраченные 100 рублей по операциям оплаты товаров и услуг в торгово-сервисных предприятиях 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417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3"/>
              </w:numPr>
              <w:ind w:left="0" w:firstLine="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43"/>
              </w:numPr>
              <w:ind w:left="0" w:firstLine="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2,5 бонусных балла за каждые потраченные 100 рублей по операциям оплаты товаров и услуг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3,5 бонусных баллов за каждые потраченные 100 рублей по операциям оплаты товаров и услуг в торгово-сервисных предприятиях 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351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14"/>
              </w:numP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Начисление бонусных баллов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351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ffffff" w:themeFill="background1"/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23:59:59 по московскому 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мени 30.04.2022 (включительно)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757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4"/>
              </w:num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 бонусных балла за каждые потраченные 100 рублей по операциям оплаты товаров и услуг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3 бонусных баллов за каждые потраченные 100 рублей по операциям оплаты товаров и услуг в торгово-сервисных предприятиях 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73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1325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4"/>
              </w:numPr>
              <w:ind w:left="0" w:firstLine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2,5 бонусных балла за каждые потраченные 100 рублей по операциям оплаты 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товаров и услуг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3,5 бонусных баллов за каждые потраченные 100 рублей по операциям оплаты товаров и услуг в торгово-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сервисных предприятиях 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64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ffffff" w:themeFill="background1"/>
            <w:tcW w:w="765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83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 бонусных балла за каждые потраченные 100 рублей по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1,5 бонусных балла за каждые потраченные 100 рублей по операциям оплаты товаров и услуг в торгово-сервисных предприятиях 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411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37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1,25 бонусных баллов за каждые потраченные 100 рублей по операциям оплаты товаров и услуг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16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  <w:t xml:space="preserve">1,75 бонусных баллов за каждые потраченные 100 рублей по операциям оплаты товаров и услуг в торгово-сервисных предприятиях категории «путешествия»</w:t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351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7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92d050"/>
            <w:tcW w:w="1397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1121"/>
        </w:trPr>
        <w:tc>
          <w:tcPr>
            <w:shd w:val="clear" w:color="auto" w:fill="ffffff" w:themeFill="background1"/>
            <w:tcW w:w="849" w:type="dxa"/>
            <w:vMerge w:val="restart"/>
            <w:textDirection w:val="lrTb"/>
            <w:noWrap w:val="false"/>
          </w:tcPr>
          <w:p>
            <w:pPr>
              <w:pStyle w:val="1111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324" w:type="dxa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по Договору, заключенному с клиентом с 05.04.2022 по 12.09.2023 (включительно).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1121"/>
        </w:trPr>
        <w:tc>
          <w:tcPr>
            <w:shd w:val="clear" w:color="auto" w:fill="ffffff" w:themeFill="background1"/>
            <w:tcW w:w="849" w:type="dxa"/>
            <w:vMerge w:val="continue"/>
            <w:textDirection w:val="lrTb"/>
            <w:noWrap w:val="false"/>
          </w:tcPr>
          <w:p>
            <w:pPr>
              <w:pStyle w:val="1111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324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142" w:leader="none"/>
                <w:tab w:val="left" w:pos="426" w:leader="none"/>
                <w:tab w:val="left" w:pos="567" w:leader="none"/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карт, выпущенных по Договору, заключенному с клиентом с 13.09.2023.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324" w:type="dxa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«Райффайзенбанк», 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324" w:type="dxa"/>
            <w:vAlign w:val="center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92d050"/>
            <w:tcW w:w="14030" w:type="dxa"/>
            <w:textDirection w:val="lrTb"/>
            <w:noWrap w:val="false"/>
          </w:tcPr>
          <w:p>
            <w:pPr>
              <w:pStyle w:val="1112"/>
              <w:jc w:val="both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9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0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0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</w:t>
            </w:r>
            <w:r>
              <w:rPr>
                <w:rFonts w:ascii="Times New Roman" w:hAnsi="Times New Roman" w:cs="Times New Roman"/>
                <w:b/>
              </w:rPr>
              <w:t xml:space="preserve">ов</w:t>
            </w:r>
            <w:r>
              <w:rPr>
                <w:rFonts w:ascii="Times New Roman" w:hAnsi="Times New Roman" w:cs="Times New Roman"/>
                <w:b/>
              </w:rPr>
              <w:t xml:space="preserve">)</w:t>
            </w:r>
            <w:r>
              <w:rPr>
                <w:rFonts w:ascii="Times New Roman" w:hAnsi="Times New Roman" w:cs="Times New Roman"/>
                <w:b/>
              </w:rPr>
              <w:t xml:space="preserve"> Банка: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вкладов, «до востребования»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или счета другого физического лица в пределах одного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</w:t>
            </w:r>
            <w:r>
              <w:rPr>
                <w:rFonts w:ascii="Times New Roman" w:hAnsi="Times New Roman" w:cs="Times New Roman"/>
              </w:rPr>
              <w:t xml:space="preserve">Банка. </w:t>
            </w: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</w:rPr>
              <w:t xml:space="preserve">10.2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Перевод денежных</w:t>
            </w:r>
            <w:r>
              <w:rPr>
                <w:rFonts w:ascii="Times New Roman" w:hAnsi="Times New Roman" w:cs="Times New Roman"/>
              </w:rPr>
              <w:t xml:space="preserve"> средств производится на счета физических, юридических лиц и ИП (за исключением налоговых платежей и платежей в бюджет) открытых в 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9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pStyle w:val="1112"/>
              <w:jc w:val="both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</w:rPr>
              <w:t xml:space="preserve">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</w:rPr>
              <w:t xml:space="preserve">«№ карты»</w:t>
            </w:r>
            <w:r>
              <w:rPr>
                <w:rFonts w:ascii="Times New Roman" w:hAnsi="Times New Roman" w:cs="Times New Roman"/>
                <w:b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0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2"/>
              </w:num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111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2"/>
              </w:num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111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Merge w:val="restart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2"/>
              </w:num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111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11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Merge w:val="continue"/>
            <w:textDirection w:val="lrTb"/>
            <w:noWrap w:val="false"/>
          </w:tcPr>
          <w:p>
            <w:pPr>
              <w:pStyle w:val="1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стороннего эмитента - банка Российской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Федерации*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по реквизитам платежных карт»/банкоматов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120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банкоматов/сайтов сторонних банков и сайтов иных организаций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55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92d050"/>
            <w:tcW w:w="14030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4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pStyle w:val="1111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анка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4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по которой обеспечивается АО «НСПК» и производится исключительно на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операций с использованием платежных карт, совершенных вне 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день отражения операции по счету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Style w:val="1114"/>
                <w:rFonts w:ascii="Times New Roman" w:hAnsi="Times New Roman" w:cs="Times New Roman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4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7553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64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подразделения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банкоматах, пунктах выдачи наличных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календарный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эмитента - банка Российской Федерации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по реквизитам платежных карт»/банкоматов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92d050"/>
            <w:tcW w:w="14030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через систему дистанционного банковского обслуживания (для пользователей системы «Интернет-банк» и «Мобильный 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vMerge w:val="restart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vMerge w:val="continue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vMerge w:val="continue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осуществляется согласно Правилам предоставления и использования кредитных карт 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7553" w:type="dxa"/>
            <w:vAlign w:val="center"/>
            <w:textDirection w:val="lrTb"/>
            <w:noWrap w:val="false"/>
          </w:tcPr>
          <w:p>
            <w:pPr>
              <w:pStyle w:val="1111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23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vMerge w:val="restart"/>
            <w:textDirection w:val="lrTb"/>
            <w:noWrap w:val="false"/>
          </w:tcPr>
          <w:p>
            <w:pPr>
              <w:pStyle w:val="11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предоставления услуги «Уведомления» определяется Условиями предоставления услуги «Уведомления»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«Россельхозбанк».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vMerge w:val="continue"/>
            <w:textDirection w:val="lrTb"/>
            <w:noWrap w:val="false"/>
          </w:tcPr>
          <w:p>
            <w:pPr>
              <w:pStyle w:val="11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счете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Style w:val="1114"/>
                <w:rFonts w:ascii="Times New Roman" w:hAnsi="Times New Roman" w:cs="Times New Roman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4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(9 последних операций)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pStyle w:val="1111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5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9"/>
            <w:shd w:val="clear" w:color="auto" w:fill="92d050"/>
            <w:tcW w:w="14030" w:type="dxa"/>
            <w:vAlign w:val="center"/>
            <w:textDirection w:val="lrTb"/>
            <w:noWrap w:val="false"/>
          </w:tcPr>
          <w:p>
            <w:pPr>
              <w:pStyle w:val="1111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1111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Borders>
              <w:bottom w:val="single" w:color="auto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bottom w:val="single" w:color="auto" w:sz="4" w:space="0"/>
            </w:tcBorders>
            <w:tcW w:w="6477" w:type="dxa"/>
            <w:vAlign w:val="center"/>
            <w:textDirection w:val="lrTb"/>
            <w:noWrap w:val="false"/>
          </w:tcPr>
          <w:p>
            <w:pPr>
              <w:pStyle w:val="11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851" w:right="851" w:bottom="567" w:left="1134" w:header="709" w:footer="862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 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по тексту настоящего Тарифного плана. Договор – договор о предоставлении и обслуживании кредитной карты с льготным периодом кредитования</w:t>
      </w:r>
      <w:r>
        <w:rPr>
          <w:rFonts w:ascii="Times New Roman" w:hAnsi="Times New Roman" w:cs="Times New Roman"/>
          <w:iCs/>
          <w:sz w:val="18"/>
          <w:szCs w:val="18"/>
        </w:rPr>
        <w:t xml:space="preserve">, состоящий из </w:t>
      </w:r>
      <w:r>
        <w:rPr>
          <w:rFonts w:ascii="Times New Roman" w:hAnsi="Times New Roman" w:cs="Times New Roman"/>
          <w:sz w:val="18"/>
          <w:szCs w:val="18"/>
        </w:rPr>
        <w:t xml:space="preserve">Соглашения, содержащего все существенные условия сделки, и Правил предоставления и использования кредитных карт АО «Россельхозбанк» с льготным периодом кредитования, </w:t>
      </w:r>
      <w:r>
        <w:rPr>
          <w:rFonts w:ascii="Times New Roman" w:hAnsi="Times New Roman" w:cs="Times New Roman"/>
          <w:iCs/>
          <w:sz w:val="18"/>
          <w:szCs w:val="18"/>
        </w:rPr>
        <w:t xml:space="preserve">заключаемый </w:t>
      </w:r>
      <w:r>
        <w:rPr>
          <w:rFonts w:ascii="Times New Roman" w:hAnsi="Times New Roman" w:cs="Times New Roman"/>
          <w:sz w:val="18"/>
          <w:szCs w:val="18"/>
        </w:rPr>
        <w:t xml:space="preserve">путем присоединения Клиента к Правилам посредством подписания Соглашения.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112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Размеры бонусных баллов, указанных в пункте 7 могут отличаться от установленных, в случае проведения АО «Россельхозбанк» маркетинговых акций. Размер бонусных баллов по указанному пункту устанавливается правилами проведения маркетинговой акции.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12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8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www.rshb.ru, в пунктах выдачи наличных и банкоматах Банка.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www.rshb.ru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1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67706661"/>
      <w:docPartObj>
        <w:docPartGallery w:val="Page Numbers (Top of Page)"/>
        <w:docPartUnique w:val="true"/>
      </w:docPartObj>
      <w:rPr/>
    </w:sdtPr>
    <w:sdtContent>
      <w:p>
        <w:pPr>
          <w:pStyle w:val="112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11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5.2.%1.1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1.2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1.3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5.%1.2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.5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7.2.1.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7.1.1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5.%1.1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8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0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2.1.1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5.2.%1.2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1.2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13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.2.2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000000" w:themeColor="text1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7.2.2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7.1.2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360" w:hanging="360"/>
      </w:pPr>
      <w:rPr>
        <w:rFonts w:hint="default" w:ascii="Times New Roman" w:hAnsi="Times New Roman" w:cs="Times New Roman"/>
        <w:i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2.1.1.%1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000000" w:themeColor="text1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1"/>
  </w:num>
  <w:num w:numId="3">
    <w:abstractNumId w:val="38"/>
  </w:num>
  <w:num w:numId="4">
    <w:abstractNumId w:val="1"/>
  </w:num>
  <w:num w:numId="5">
    <w:abstractNumId w:val="0"/>
  </w:num>
  <w:num w:numId="6">
    <w:abstractNumId w:val="8"/>
  </w:num>
  <w:num w:numId="7">
    <w:abstractNumId w:val="44"/>
  </w:num>
  <w:num w:numId="8">
    <w:abstractNumId w:val="9"/>
  </w:num>
  <w:num w:numId="9">
    <w:abstractNumId w:val="37"/>
  </w:num>
  <w:num w:numId="10">
    <w:abstractNumId w:val="2"/>
  </w:num>
  <w:num w:numId="11">
    <w:abstractNumId w:val="25"/>
  </w:num>
  <w:num w:numId="12">
    <w:abstractNumId w:val="19"/>
  </w:num>
  <w:num w:numId="13">
    <w:abstractNumId w:val="6"/>
  </w:num>
  <w:num w:numId="14">
    <w:abstractNumId w:val="27"/>
  </w:num>
  <w:num w:numId="15">
    <w:abstractNumId w:val="10"/>
  </w:num>
  <w:num w:numId="16">
    <w:abstractNumId w:val="42"/>
  </w:num>
  <w:num w:numId="17">
    <w:abstractNumId w:val="28"/>
  </w:num>
  <w:num w:numId="18">
    <w:abstractNumId w:val="17"/>
  </w:num>
  <w:num w:numId="19">
    <w:abstractNumId w:val="32"/>
  </w:num>
  <w:num w:numId="20">
    <w:abstractNumId w:val="31"/>
  </w:num>
  <w:num w:numId="21">
    <w:abstractNumId w:val="24"/>
  </w:num>
  <w:num w:numId="22">
    <w:abstractNumId w:val="30"/>
  </w:num>
  <w:num w:numId="23">
    <w:abstractNumId w:val="13"/>
  </w:num>
  <w:num w:numId="24">
    <w:abstractNumId w:val="7"/>
  </w:num>
  <w:num w:numId="25">
    <w:abstractNumId w:val="18"/>
  </w:num>
  <w:num w:numId="26">
    <w:abstractNumId w:val="33"/>
  </w:num>
  <w:num w:numId="27">
    <w:abstractNumId w:val="20"/>
  </w:num>
  <w:num w:numId="28">
    <w:abstractNumId w:val="26"/>
  </w:num>
  <w:num w:numId="29">
    <w:abstractNumId w:val="16"/>
  </w:num>
  <w:num w:numId="30">
    <w:abstractNumId w:val="41"/>
  </w:num>
  <w:num w:numId="31">
    <w:abstractNumId w:val="34"/>
  </w:num>
  <w:num w:numId="32">
    <w:abstractNumId w:val="12"/>
  </w:num>
  <w:num w:numId="33">
    <w:abstractNumId w:val="4"/>
  </w:num>
  <w:num w:numId="34">
    <w:abstractNumId w:val="22"/>
  </w:num>
  <w:num w:numId="35">
    <w:abstractNumId w:val="3"/>
  </w:num>
  <w:num w:numId="36">
    <w:abstractNumId w:val="5"/>
  </w:num>
  <w:num w:numId="37">
    <w:abstractNumId w:val="43"/>
  </w:num>
  <w:num w:numId="38">
    <w:abstractNumId w:val="29"/>
  </w:num>
  <w:num w:numId="39">
    <w:abstractNumId w:val="35"/>
  </w:num>
  <w:num w:numId="40">
    <w:abstractNumId w:val="40"/>
  </w:num>
  <w:num w:numId="41">
    <w:abstractNumId w:val="23"/>
  </w:num>
  <w:num w:numId="42">
    <w:abstractNumId w:val="15"/>
  </w:num>
  <w:num w:numId="43">
    <w:abstractNumId w:val="39"/>
  </w:num>
  <w:num w:numId="44">
    <w:abstractNumId w:val="14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6">
    <w:name w:val="Heading 1"/>
    <w:basedOn w:val="1105"/>
    <w:next w:val="1105"/>
    <w:link w:val="9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37">
    <w:name w:val="Heading 1 Char"/>
    <w:basedOn w:val="1106"/>
    <w:link w:val="936"/>
    <w:uiPriority w:val="9"/>
    <w:rPr>
      <w:rFonts w:ascii="Arial" w:hAnsi="Arial" w:eastAsia="Arial" w:cs="Arial"/>
      <w:sz w:val="40"/>
      <w:szCs w:val="40"/>
    </w:rPr>
  </w:style>
  <w:style w:type="paragraph" w:styleId="938">
    <w:name w:val="Heading 2"/>
    <w:basedOn w:val="1105"/>
    <w:next w:val="1105"/>
    <w:link w:val="9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39">
    <w:name w:val="Heading 2 Char"/>
    <w:basedOn w:val="1106"/>
    <w:link w:val="938"/>
    <w:uiPriority w:val="9"/>
    <w:rPr>
      <w:rFonts w:ascii="Arial" w:hAnsi="Arial" w:eastAsia="Arial" w:cs="Arial"/>
      <w:sz w:val="34"/>
    </w:rPr>
  </w:style>
  <w:style w:type="paragraph" w:styleId="940">
    <w:name w:val="Heading 3"/>
    <w:basedOn w:val="1105"/>
    <w:next w:val="1105"/>
    <w:link w:val="9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41">
    <w:name w:val="Heading 3 Char"/>
    <w:basedOn w:val="1106"/>
    <w:link w:val="940"/>
    <w:uiPriority w:val="9"/>
    <w:rPr>
      <w:rFonts w:ascii="Arial" w:hAnsi="Arial" w:eastAsia="Arial" w:cs="Arial"/>
      <w:sz w:val="30"/>
      <w:szCs w:val="30"/>
    </w:rPr>
  </w:style>
  <w:style w:type="paragraph" w:styleId="942">
    <w:name w:val="Heading 4"/>
    <w:basedOn w:val="1105"/>
    <w:next w:val="1105"/>
    <w:link w:val="9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3">
    <w:name w:val="Heading 4 Char"/>
    <w:basedOn w:val="1106"/>
    <w:link w:val="942"/>
    <w:uiPriority w:val="9"/>
    <w:rPr>
      <w:rFonts w:ascii="Arial" w:hAnsi="Arial" w:eastAsia="Arial" w:cs="Arial"/>
      <w:b/>
      <w:bCs/>
      <w:sz w:val="26"/>
      <w:szCs w:val="26"/>
    </w:rPr>
  </w:style>
  <w:style w:type="paragraph" w:styleId="944">
    <w:name w:val="Heading 5"/>
    <w:basedOn w:val="1105"/>
    <w:next w:val="1105"/>
    <w:link w:val="9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5">
    <w:name w:val="Heading 5 Char"/>
    <w:basedOn w:val="1106"/>
    <w:link w:val="944"/>
    <w:uiPriority w:val="9"/>
    <w:rPr>
      <w:rFonts w:ascii="Arial" w:hAnsi="Arial" w:eastAsia="Arial" w:cs="Arial"/>
      <w:b/>
      <w:bCs/>
      <w:sz w:val="24"/>
      <w:szCs w:val="24"/>
    </w:rPr>
  </w:style>
  <w:style w:type="paragraph" w:styleId="946">
    <w:name w:val="Heading 6"/>
    <w:basedOn w:val="1105"/>
    <w:next w:val="1105"/>
    <w:link w:val="9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47">
    <w:name w:val="Heading 6 Char"/>
    <w:basedOn w:val="1106"/>
    <w:link w:val="946"/>
    <w:uiPriority w:val="9"/>
    <w:rPr>
      <w:rFonts w:ascii="Arial" w:hAnsi="Arial" w:eastAsia="Arial" w:cs="Arial"/>
      <w:b/>
      <w:bCs/>
      <w:sz w:val="22"/>
      <w:szCs w:val="22"/>
    </w:rPr>
  </w:style>
  <w:style w:type="paragraph" w:styleId="948">
    <w:name w:val="Heading 7"/>
    <w:basedOn w:val="1105"/>
    <w:next w:val="1105"/>
    <w:link w:val="9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9">
    <w:name w:val="Heading 7 Char"/>
    <w:basedOn w:val="1106"/>
    <w:link w:val="9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50">
    <w:name w:val="Heading 8"/>
    <w:basedOn w:val="1105"/>
    <w:next w:val="1105"/>
    <w:link w:val="9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51">
    <w:name w:val="Heading 8 Char"/>
    <w:basedOn w:val="1106"/>
    <w:link w:val="950"/>
    <w:uiPriority w:val="9"/>
    <w:rPr>
      <w:rFonts w:ascii="Arial" w:hAnsi="Arial" w:eastAsia="Arial" w:cs="Arial"/>
      <w:i/>
      <w:iCs/>
      <w:sz w:val="22"/>
      <w:szCs w:val="22"/>
    </w:rPr>
  </w:style>
  <w:style w:type="paragraph" w:styleId="952">
    <w:name w:val="Heading 9"/>
    <w:basedOn w:val="1105"/>
    <w:next w:val="1105"/>
    <w:link w:val="9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3">
    <w:name w:val="Heading 9 Char"/>
    <w:basedOn w:val="1106"/>
    <w:link w:val="952"/>
    <w:uiPriority w:val="9"/>
    <w:rPr>
      <w:rFonts w:ascii="Arial" w:hAnsi="Arial" w:eastAsia="Arial" w:cs="Arial"/>
      <w:i/>
      <w:iCs/>
      <w:sz w:val="21"/>
      <w:szCs w:val="21"/>
    </w:rPr>
  </w:style>
  <w:style w:type="paragraph" w:styleId="954">
    <w:name w:val="No Spacing"/>
    <w:uiPriority w:val="1"/>
    <w:qFormat/>
    <w:pPr>
      <w:spacing w:before="0" w:after="0" w:line="240" w:lineRule="auto"/>
    </w:pPr>
  </w:style>
  <w:style w:type="paragraph" w:styleId="955">
    <w:name w:val="Title"/>
    <w:basedOn w:val="1105"/>
    <w:next w:val="1105"/>
    <w:link w:val="9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6">
    <w:name w:val="Title Char"/>
    <w:basedOn w:val="1106"/>
    <w:link w:val="955"/>
    <w:uiPriority w:val="10"/>
    <w:rPr>
      <w:sz w:val="48"/>
      <w:szCs w:val="48"/>
    </w:rPr>
  </w:style>
  <w:style w:type="paragraph" w:styleId="957">
    <w:name w:val="Subtitle"/>
    <w:basedOn w:val="1105"/>
    <w:next w:val="1105"/>
    <w:link w:val="958"/>
    <w:uiPriority w:val="11"/>
    <w:qFormat/>
    <w:pPr>
      <w:spacing w:before="200" w:after="200"/>
    </w:pPr>
    <w:rPr>
      <w:sz w:val="24"/>
      <w:szCs w:val="24"/>
    </w:rPr>
  </w:style>
  <w:style w:type="character" w:styleId="958">
    <w:name w:val="Subtitle Char"/>
    <w:basedOn w:val="1106"/>
    <w:link w:val="957"/>
    <w:uiPriority w:val="11"/>
    <w:rPr>
      <w:sz w:val="24"/>
      <w:szCs w:val="24"/>
    </w:rPr>
  </w:style>
  <w:style w:type="paragraph" w:styleId="959">
    <w:name w:val="Quote"/>
    <w:basedOn w:val="1105"/>
    <w:next w:val="1105"/>
    <w:link w:val="960"/>
    <w:uiPriority w:val="29"/>
    <w:qFormat/>
    <w:pPr>
      <w:ind w:left="720" w:right="720"/>
    </w:pPr>
    <w:rPr>
      <w:i/>
    </w:rPr>
  </w:style>
  <w:style w:type="character" w:styleId="960">
    <w:name w:val="Quote Char"/>
    <w:link w:val="959"/>
    <w:uiPriority w:val="29"/>
    <w:rPr>
      <w:i/>
    </w:rPr>
  </w:style>
  <w:style w:type="paragraph" w:styleId="961">
    <w:name w:val="Intense Quote"/>
    <w:basedOn w:val="1105"/>
    <w:next w:val="1105"/>
    <w:link w:val="9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2">
    <w:name w:val="Intense Quote Char"/>
    <w:link w:val="961"/>
    <w:uiPriority w:val="30"/>
    <w:rPr>
      <w:i/>
    </w:rPr>
  </w:style>
  <w:style w:type="character" w:styleId="963">
    <w:name w:val="Header Char"/>
    <w:basedOn w:val="1106"/>
    <w:link w:val="1126"/>
    <w:uiPriority w:val="99"/>
  </w:style>
  <w:style w:type="character" w:styleId="964">
    <w:name w:val="Footer Char"/>
    <w:basedOn w:val="1106"/>
    <w:link w:val="1128"/>
    <w:uiPriority w:val="99"/>
  </w:style>
  <w:style w:type="paragraph" w:styleId="965">
    <w:name w:val="Caption"/>
    <w:basedOn w:val="1105"/>
    <w:next w:val="11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6">
    <w:name w:val="Caption Char"/>
    <w:basedOn w:val="965"/>
    <w:link w:val="1128"/>
    <w:uiPriority w:val="99"/>
  </w:style>
  <w:style w:type="table" w:styleId="967">
    <w:name w:val="Table Grid Light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>
    <w:name w:val="Plain Table 1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9">
    <w:name w:val="Plain Table 2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0">
    <w:name w:val="Plain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1">
    <w:name w:val="Plain Table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Plain Table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3">
    <w:name w:val="Grid Table 1 Light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1 Light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Grid Table 1 Light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2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2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4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5">
    <w:name w:val="Grid Table 4 - Accent 1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6">
    <w:name w:val="Grid Table 4 - Accent 2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7">
    <w:name w:val="Grid Table 4 - Accent 3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8">
    <w:name w:val="Grid Table 4 - Accent 4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9">
    <w:name w:val="Grid Table 4 - Accent 5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0">
    <w:name w:val="Grid Table 4 - Accent 6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1">
    <w:name w:val="Grid Table 5 Dark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2">
    <w:name w:val="Grid Table 5 Dark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4">
    <w:name w:val="Grid Table 5 Dark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05">
    <w:name w:val="Grid Table 5 Dark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6">
    <w:name w:val="Grid Table 5 Dark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8">
    <w:name w:val="Grid Table 6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9">
    <w:name w:val="Grid Table 6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0">
    <w:name w:val="Grid Table 6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1">
    <w:name w:val="Grid Table 6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2">
    <w:name w:val="Grid Table 6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3">
    <w:name w:val="Grid Table 6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4">
    <w:name w:val="Grid Table 6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5">
    <w:name w:val="Grid Table 7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7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7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1 Light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0">
    <w:name w:val="List Table 2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1">
    <w:name w:val="List Table 2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2">
    <w:name w:val="List Table 2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3">
    <w:name w:val="List Table 2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4">
    <w:name w:val="List Table 2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5">
    <w:name w:val="List Table 2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6">
    <w:name w:val="List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3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3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5 Dark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5 Dark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4">
    <w:name w:val="List Table 5 Dark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6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8">
    <w:name w:val="List Table 6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9">
    <w:name w:val="List Table 6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0">
    <w:name w:val="List Table 6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1">
    <w:name w:val="List Table 6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2">
    <w:name w:val="List Table 6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3">
    <w:name w:val="List Table 6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4">
    <w:name w:val="List Table 7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5">
    <w:name w:val="List Table 7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6">
    <w:name w:val="List Table 7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7">
    <w:name w:val="List Table 7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8">
    <w:name w:val="List Table 7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9">
    <w:name w:val="List Table 7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70">
    <w:name w:val="List Table 7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71">
    <w:name w:val="Lined - Accent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2">
    <w:name w:val="Lined - Accent 1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3">
    <w:name w:val="Lined - Accent 2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4">
    <w:name w:val="Lined - Accent 3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5">
    <w:name w:val="Lined - Accent 4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6">
    <w:name w:val="Lined - Accent 5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7">
    <w:name w:val="Lined - Accent 6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8">
    <w:name w:val="Bordered &amp; Lined - Accent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9">
    <w:name w:val="Bordered &amp; Lined - Accent 1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0">
    <w:name w:val="Bordered &amp; Lined - Accent 2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1">
    <w:name w:val="Bordered &amp; Lined - Accent 3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2">
    <w:name w:val="Bordered &amp; Lined - Accent 4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3">
    <w:name w:val="Bordered &amp; Lined - Accent 5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4">
    <w:name w:val="Bordered &amp; Lined - Accent 6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5">
    <w:name w:val="Bordered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6">
    <w:name w:val="Bordered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7">
    <w:name w:val="Bordered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8">
    <w:name w:val="Bordered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9">
    <w:name w:val="Bordered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0">
    <w:name w:val="Bordered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1">
    <w:name w:val="Bordered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2">
    <w:name w:val="Footnote Text Char"/>
    <w:link w:val="1112"/>
    <w:uiPriority w:val="99"/>
    <w:rPr>
      <w:sz w:val="18"/>
    </w:rPr>
  </w:style>
  <w:style w:type="character" w:styleId="1093">
    <w:name w:val="Endnote Text Char"/>
    <w:link w:val="1122"/>
    <w:uiPriority w:val="99"/>
    <w:rPr>
      <w:sz w:val="20"/>
    </w:rPr>
  </w:style>
  <w:style w:type="paragraph" w:styleId="1094">
    <w:name w:val="toc 1"/>
    <w:basedOn w:val="1105"/>
    <w:next w:val="1105"/>
    <w:uiPriority w:val="39"/>
    <w:unhideWhenUsed/>
    <w:pPr>
      <w:ind w:left="0" w:right="0" w:firstLine="0"/>
      <w:spacing w:after="57"/>
    </w:pPr>
  </w:style>
  <w:style w:type="paragraph" w:styleId="1095">
    <w:name w:val="toc 2"/>
    <w:basedOn w:val="1105"/>
    <w:next w:val="1105"/>
    <w:uiPriority w:val="39"/>
    <w:unhideWhenUsed/>
    <w:pPr>
      <w:ind w:left="283" w:right="0" w:firstLine="0"/>
      <w:spacing w:after="57"/>
    </w:pPr>
  </w:style>
  <w:style w:type="paragraph" w:styleId="1096">
    <w:name w:val="toc 3"/>
    <w:basedOn w:val="1105"/>
    <w:next w:val="1105"/>
    <w:uiPriority w:val="39"/>
    <w:unhideWhenUsed/>
    <w:pPr>
      <w:ind w:left="567" w:right="0" w:firstLine="0"/>
      <w:spacing w:after="57"/>
    </w:pPr>
  </w:style>
  <w:style w:type="paragraph" w:styleId="1097">
    <w:name w:val="toc 4"/>
    <w:basedOn w:val="1105"/>
    <w:next w:val="1105"/>
    <w:uiPriority w:val="39"/>
    <w:unhideWhenUsed/>
    <w:pPr>
      <w:ind w:left="850" w:right="0" w:firstLine="0"/>
      <w:spacing w:after="57"/>
    </w:pPr>
  </w:style>
  <w:style w:type="paragraph" w:styleId="1098">
    <w:name w:val="toc 5"/>
    <w:basedOn w:val="1105"/>
    <w:next w:val="1105"/>
    <w:uiPriority w:val="39"/>
    <w:unhideWhenUsed/>
    <w:pPr>
      <w:ind w:left="1134" w:right="0" w:firstLine="0"/>
      <w:spacing w:after="57"/>
    </w:pPr>
  </w:style>
  <w:style w:type="paragraph" w:styleId="1099">
    <w:name w:val="toc 6"/>
    <w:basedOn w:val="1105"/>
    <w:next w:val="1105"/>
    <w:uiPriority w:val="39"/>
    <w:unhideWhenUsed/>
    <w:pPr>
      <w:ind w:left="1417" w:right="0" w:firstLine="0"/>
      <w:spacing w:after="57"/>
    </w:pPr>
  </w:style>
  <w:style w:type="paragraph" w:styleId="1100">
    <w:name w:val="toc 7"/>
    <w:basedOn w:val="1105"/>
    <w:next w:val="1105"/>
    <w:uiPriority w:val="39"/>
    <w:unhideWhenUsed/>
    <w:pPr>
      <w:ind w:left="1701" w:right="0" w:firstLine="0"/>
      <w:spacing w:after="57"/>
    </w:pPr>
  </w:style>
  <w:style w:type="paragraph" w:styleId="1101">
    <w:name w:val="toc 8"/>
    <w:basedOn w:val="1105"/>
    <w:next w:val="1105"/>
    <w:uiPriority w:val="39"/>
    <w:unhideWhenUsed/>
    <w:pPr>
      <w:ind w:left="1984" w:right="0" w:firstLine="0"/>
      <w:spacing w:after="57"/>
    </w:pPr>
  </w:style>
  <w:style w:type="paragraph" w:styleId="1102">
    <w:name w:val="toc 9"/>
    <w:basedOn w:val="1105"/>
    <w:next w:val="1105"/>
    <w:uiPriority w:val="39"/>
    <w:unhideWhenUsed/>
    <w:pPr>
      <w:ind w:left="2268" w:right="0" w:firstLine="0"/>
      <w:spacing w:after="57"/>
    </w:pPr>
  </w:style>
  <w:style w:type="paragraph" w:styleId="1103">
    <w:name w:val="TOC Heading"/>
    <w:uiPriority w:val="39"/>
    <w:unhideWhenUsed/>
  </w:style>
  <w:style w:type="paragraph" w:styleId="1104">
    <w:name w:val="table of figures"/>
    <w:basedOn w:val="1105"/>
    <w:next w:val="1105"/>
    <w:uiPriority w:val="99"/>
    <w:unhideWhenUsed/>
    <w:pPr>
      <w:spacing w:after="0" w:afterAutospacing="0"/>
    </w:pPr>
  </w:style>
  <w:style w:type="paragraph" w:styleId="1105" w:default="1">
    <w:name w:val="Normal"/>
    <w:qFormat/>
  </w:style>
  <w:style w:type="character" w:styleId="1106" w:default="1">
    <w:name w:val="Default Paragraph Font"/>
    <w:uiPriority w:val="1"/>
    <w:semiHidden/>
    <w:unhideWhenUsed/>
  </w:style>
  <w:style w:type="table" w:styleId="11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8" w:default="1">
    <w:name w:val="No List"/>
    <w:uiPriority w:val="99"/>
    <w:semiHidden/>
    <w:unhideWhenUsed/>
  </w:style>
  <w:style w:type="paragraph" w:styleId="1109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110">
    <w:name w:val="Table Grid"/>
    <w:basedOn w:val="110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1">
    <w:name w:val="List Paragraph"/>
    <w:basedOn w:val="1105"/>
    <w:uiPriority w:val="34"/>
    <w:qFormat/>
    <w:pPr>
      <w:contextualSpacing/>
      <w:ind w:left="720"/>
    </w:pPr>
  </w:style>
  <w:style w:type="paragraph" w:styleId="1112">
    <w:name w:val="footnote text"/>
    <w:basedOn w:val="1105"/>
    <w:link w:val="1113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13" w:customStyle="1">
    <w:name w:val="Текст сноски Знак"/>
    <w:basedOn w:val="1106"/>
    <w:link w:val="1112"/>
    <w:uiPriority w:val="99"/>
    <w:qFormat/>
    <w:rPr>
      <w:sz w:val="20"/>
      <w:szCs w:val="20"/>
    </w:rPr>
  </w:style>
  <w:style w:type="character" w:styleId="1114">
    <w:name w:val="footnote reference"/>
    <w:basedOn w:val="1106"/>
    <w:uiPriority w:val="99"/>
    <w:unhideWhenUsed/>
    <w:qFormat/>
    <w:rPr>
      <w:vertAlign w:val="superscript"/>
    </w:rPr>
  </w:style>
  <w:style w:type="character" w:styleId="1115">
    <w:name w:val="annotation reference"/>
    <w:basedOn w:val="1106"/>
    <w:uiPriority w:val="99"/>
    <w:semiHidden/>
    <w:unhideWhenUsed/>
    <w:rPr>
      <w:sz w:val="16"/>
      <w:szCs w:val="16"/>
    </w:rPr>
  </w:style>
  <w:style w:type="paragraph" w:styleId="1116">
    <w:name w:val="annotation text"/>
    <w:basedOn w:val="1105"/>
    <w:link w:val="111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17" w:customStyle="1">
    <w:name w:val="Текст примечания Знак"/>
    <w:basedOn w:val="1106"/>
    <w:link w:val="1116"/>
    <w:uiPriority w:val="99"/>
    <w:semiHidden/>
    <w:rPr>
      <w:sz w:val="20"/>
      <w:szCs w:val="20"/>
    </w:rPr>
  </w:style>
  <w:style w:type="paragraph" w:styleId="1118">
    <w:name w:val="annotation subject"/>
    <w:basedOn w:val="1116"/>
    <w:next w:val="1116"/>
    <w:link w:val="1119"/>
    <w:uiPriority w:val="99"/>
    <w:semiHidden/>
    <w:unhideWhenUsed/>
    <w:rPr>
      <w:b/>
      <w:bCs/>
    </w:rPr>
  </w:style>
  <w:style w:type="character" w:styleId="1119" w:customStyle="1">
    <w:name w:val="Тема примечания Знак"/>
    <w:basedOn w:val="1117"/>
    <w:link w:val="1118"/>
    <w:uiPriority w:val="99"/>
    <w:semiHidden/>
    <w:rPr>
      <w:b/>
      <w:bCs/>
      <w:sz w:val="20"/>
      <w:szCs w:val="20"/>
    </w:rPr>
  </w:style>
  <w:style w:type="paragraph" w:styleId="1120">
    <w:name w:val="Balloon Text"/>
    <w:basedOn w:val="1105"/>
    <w:link w:val="11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21" w:customStyle="1">
    <w:name w:val="Текст выноски Знак"/>
    <w:basedOn w:val="1106"/>
    <w:link w:val="1120"/>
    <w:uiPriority w:val="99"/>
    <w:semiHidden/>
    <w:rPr>
      <w:rFonts w:ascii="Tahoma" w:hAnsi="Tahoma" w:cs="Tahoma"/>
      <w:sz w:val="16"/>
      <w:szCs w:val="16"/>
    </w:rPr>
  </w:style>
  <w:style w:type="paragraph" w:styleId="1122">
    <w:name w:val="endnote text"/>
    <w:basedOn w:val="1105"/>
    <w:link w:val="112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23" w:customStyle="1">
    <w:name w:val="Текст концевой сноски Знак"/>
    <w:basedOn w:val="1106"/>
    <w:link w:val="1122"/>
    <w:uiPriority w:val="99"/>
    <w:semiHidden/>
    <w:rPr>
      <w:sz w:val="20"/>
      <w:szCs w:val="20"/>
    </w:rPr>
  </w:style>
  <w:style w:type="character" w:styleId="1124">
    <w:name w:val="endnote reference"/>
    <w:basedOn w:val="1106"/>
    <w:uiPriority w:val="99"/>
    <w:semiHidden/>
    <w:unhideWhenUsed/>
    <w:rPr>
      <w:vertAlign w:val="superscript"/>
    </w:rPr>
  </w:style>
  <w:style w:type="character" w:styleId="1125">
    <w:name w:val="Hyperlink"/>
    <w:basedOn w:val="1106"/>
    <w:uiPriority w:val="99"/>
    <w:unhideWhenUsed/>
    <w:rPr>
      <w:color w:val="0000ff" w:themeColor="hyperlink"/>
      <w:u w:val="single"/>
    </w:rPr>
  </w:style>
  <w:style w:type="paragraph" w:styleId="1126">
    <w:name w:val="Header"/>
    <w:basedOn w:val="1105"/>
    <w:link w:val="11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27" w:customStyle="1">
    <w:name w:val="Верхний колонтитул Знак"/>
    <w:basedOn w:val="1106"/>
    <w:link w:val="1126"/>
    <w:uiPriority w:val="99"/>
  </w:style>
  <w:style w:type="paragraph" w:styleId="1128">
    <w:name w:val="Footer"/>
    <w:basedOn w:val="1105"/>
    <w:link w:val="112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29" w:customStyle="1">
    <w:name w:val="Нижний колонтитул Знак"/>
    <w:basedOn w:val="1106"/>
    <w:link w:val="1128"/>
    <w:uiPriority w:val="99"/>
  </w:style>
  <w:style w:type="paragraph" w:styleId="1130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1A8C-F889-4DA1-90D8-576A9538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Андрусенко Татьяна Сергеевна</dc:creator>
  <cp:keywords/>
  <dc:description/>
  <cp:revision>9</cp:revision>
  <dcterms:created xsi:type="dcterms:W3CDTF">2024-03-20T12:36:00Z</dcterms:created>
  <dcterms:modified xsi:type="dcterms:W3CDTF">2025-04-11T07:26:21Z</dcterms:modified>
</cp:coreProperties>
</file>