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left="100"/>
        <w:spacing w:line="440" w:lineRule="exact"/>
        <w:shd w:val="clear" w:color="auto" w:fill="auto"/>
        <w:framePr w:h="439" w:vSpace="200" w:wrap="notBeside" w:vAnchor="text" w:hAnchor="margin" w:x="1939" w:y="14688"/>
      </w:pPr>
      <w:r>
        <w:rPr>
          <w:rStyle w:val="860"/>
        </w:rPr>
        <w:t xml:space="preserve">РоссельхозБанк</w:t>
      </w:r>
      <w:r/>
    </w:p>
    <w:p>
      <w:pPr>
        <w:pStyle w:val="877"/>
        <w:spacing w:after="0"/>
        <w:shd w:val="clear" w:color="auto" w:fill="auto"/>
        <w:rPr>
          <w:spacing w:val="0"/>
          <w:lang w:val="ru-RU"/>
        </w:rPr>
      </w:pPr>
      <w:r>
        <w:rPr>
          <w:spacing w:val="0"/>
        </w:rPr>
        <w:t xml:space="preserve">ПСКОВСКИЙ РЕГИОНАЛЬНЫЙ ФИЛИАЛ </w:t>
      </w:r>
      <w:r>
        <w:rPr>
          <w:spacing w:val="0"/>
          <w:lang w:val="ru-RU"/>
        </w:rPr>
      </w:r>
    </w:p>
    <w:p>
      <w:pPr>
        <w:pStyle w:val="877"/>
        <w:ind w:left="420"/>
        <w:spacing w:after="2074"/>
        <w:shd w:val="clear" w:color="auto" w:fill="auto"/>
        <w:rPr>
          <w:spacing w:val="0"/>
        </w:rPr>
      </w:pPr>
      <w:r>
        <w:rPr>
          <w:spacing w:val="0"/>
        </w:rPr>
        <w:t xml:space="preserve">АО «РОССЕЛЬХОЗБАНК»</w:t>
      </w:r>
      <w:r>
        <w:rPr>
          <w:spacing w:val="0"/>
        </w:rPr>
      </w:r>
    </w:p>
    <w:p>
      <w:pPr>
        <w:jc w:val="center"/>
        <w:rPr>
          <w:sz w:val="0"/>
          <w:szCs w:val="0"/>
        </w:rPr>
        <w:framePr w:wrap="notBeside" w:vAnchor="text" w:hAnchor="page" w:x="5795" w:y="10553"/>
      </w:pP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INCLUDEPICTURE  "D:\\21\\media\\image1.jpeg" \* MERGEFORMATINET </w:instrText>
      </w:r>
      <w:r>
        <w:fldChar w:fldCharType="separate"/>
      </w:r>
      <w:r>
        <w:fldChar w:fldCharType="begin"/>
      </w:r>
      <w:r>
        <w:instrText xml:space="preserve"> </w:instrText>
      </w:r>
      <w:r>
        <w:instrText xml:space="preserve">INCLUDEPICTURE  "D:\\21\\media\\image1.jpeg" \* MERGEFORMATINET</w:instrText>
      </w:r>
      <w:r>
        <w:instrText xml:space="preserve"> </w:instrText>
      </w:r>
      <w: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14375" cy="8477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7143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6.25pt;height:66.7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sz w:val="0"/>
          <w:szCs w:val="0"/>
        </w:rPr>
      </w:r>
    </w:p>
    <w:p>
      <w:pPr>
        <w:pStyle w:val="878"/>
        <w:jc w:val="center"/>
        <w:spacing w:before="0" w:after="0"/>
        <w:shd w:val="clear" w:color="auto" w:fill="auto"/>
        <w:rPr>
          <w:spacing w:val="0"/>
          <w:sz w:val="40"/>
          <w:szCs w:val="40"/>
          <w:lang w:val="ru-RU"/>
        </w:rPr>
        <w:pBdr>
          <w:bottom w:val="single" w:color="000000" w:sz="12" w:space="1"/>
        </w:pBdr>
      </w:pPr>
      <w:r>
        <w:rPr>
          <w:spacing w:val="0"/>
          <w:sz w:val="40"/>
          <w:szCs w:val="40"/>
        </w:rPr>
        <w:t xml:space="preserve">ТАРИФЫ КОМИССИОННОГО ВОЗНАГРАЖДЕНИЯ НА УСЛУГИ КРЕДИТНЫМ ОРГАНИЗАЦИЯМ</w:t>
      </w:r>
      <w:r>
        <w:rPr>
          <w:spacing w:val="0"/>
          <w:sz w:val="40"/>
          <w:szCs w:val="40"/>
          <w:lang w:val="ru-RU"/>
        </w:rPr>
      </w:r>
    </w:p>
    <w:p>
      <w:pPr>
        <w:pStyle w:val="878"/>
        <w:jc w:val="center"/>
        <w:spacing w:before="0" w:after="0"/>
        <w:shd w:val="clear" w:color="auto" w:fill="auto"/>
        <w:rPr>
          <w:spacing w:val="0"/>
          <w:sz w:val="40"/>
          <w:szCs w:val="40"/>
          <w:lang w:val="ru-RU"/>
        </w:rPr>
        <w:pBdr>
          <w:bottom w:val="single" w:color="000000" w:sz="12" w:space="1"/>
        </w:pBdr>
      </w:pPr>
      <w:r>
        <w:rPr>
          <w:spacing w:val="0"/>
          <w:sz w:val="40"/>
          <w:szCs w:val="40"/>
          <w:lang w:val="ru-RU"/>
        </w:rPr>
      </w:r>
      <w:r>
        <w:rPr>
          <w:spacing w:val="0"/>
          <w:sz w:val="40"/>
          <w:szCs w:val="40"/>
          <w:lang w:val="ru-RU"/>
        </w:rPr>
      </w:r>
    </w:p>
    <w:p>
      <w:pPr>
        <w:pStyle w:val="879"/>
        <w:spacing w:before="0" w:after="7438" w:line="310" w:lineRule="exact"/>
        <w:shd w:val="clear" w:color="auto" w:fill="auto"/>
        <w:rPr>
          <w:lang w:val="ru-RU"/>
        </w:rPr>
      </w:pPr>
      <w:r>
        <w:t xml:space="preserve">действуют с </w:t>
      </w:r>
      <w:r>
        <w:rPr>
          <w:lang w:val="ru-RU"/>
        </w:rPr>
        <w:t xml:space="preserve">26</w:t>
      </w:r>
      <w:r>
        <w:t xml:space="preserve">.11</w:t>
      </w:r>
      <w:r>
        <w:t xml:space="preserve">.20</w:t>
      </w:r>
      <w:r>
        <w:rPr>
          <w:lang w:val="en-US"/>
        </w:rPr>
        <w:t xml:space="preserve">2</w:t>
      </w:r>
      <w:r>
        <w:rPr>
          <w:lang w:val="en-US"/>
        </w:rPr>
        <w:t xml:space="preserve">5</w:t>
      </w:r>
      <w:r>
        <w:rPr>
          <w:lang w:val="ru-RU"/>
        </w:rPr>
      </w:r>
    </w:p>
    <w:p>
      <w:pPr>
        <w:jc w:val="center"/>
        <w:rPr>
          <w:sz w:val="2"/>
          <w:szCs w:val="2"/>
        </w:rPr>
        <w:sectPr>
          <w:headerReference w:type="default" r:id="rId9"/>
          <w:headerReference w:type="even" r:id="rId10"/>
          <w:headerReference w:type="first" r:id="rId11"/>
          <w:footerReference w:type="default" r:id="rId13"/>
          <w:footerReference w:type="even" r:id="rId14"/>
          <w:footerReference w:type="first" r:id="rId15"/>
          <w:footnotePr/>
          <w:endnotePr/>
          <w:type w:val="continuous"/>
          <w:pgSz w:w="11905" w:h="16837" w:orient="portrait"/>
          <w:pgMar w:top="862" w:right="1820" w:bottom="924" w:left="2795" w:header="0" w:footer="6" w:gutter="0"/>
          <w:cols w:num="1" w:sep="0" w:space="720" w:equalWidth="1"/>
          <w:docGrid w:linePitch="360"/>
          <w:titlePg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80"/>
        <w:ind w:left="20"/>
        <w:keepLines/>
        <w:keepNext/>
        <w:spacing w:after="86" w:line="210" w:lineRule="exact"/>
        <w:shd w:val="clear" w:color="auto" w:fill="auto"/>
      </w:pPr>
      <w:r/>
      <w:bookmarkStart w:id="0" w:name="bookmark0"/>
      <w:r>
        <w:t xml:space="preserve">СОДЕРЖАНИЕ:</w:t>
      </w:r>
      <w:bookmarkEnd w:id="0"/>
      <w:r/>
      <w:r/>
    </w:p>
    <w:p>
      <w:pPr>
        <w:pStyle w:val="882"/>
        <w:ind w:left="20"/>
        <w:jc w:val="both"/>
        <w:spacing w:before="0" w:line="360" w:lineRule="auto"/>
        <w:shd w:val="clear" w:color="auto" w:fill="auto"/>
        <w:tabs>
          <w:tab w:val="right" w:pos="9886" w:leader="dot"/>
        </w:tabs>
      </w:pPr>
      <w:r>
        <w:fldChar w:fldCharType="begin"/>
      </w:r>
      <w:r>
        <w:instrText xml:space="preserve"> TOC \o "1-3" \h \z </w:instrText>
      </w:r>
      <w:r>
        <w:fldChar w:fldCharType="separate"/>
      </w:r>
      <w:hyperlink w:tooltip="Current Document" w:anchor="bookmark1" w:history="1">
        <w:r>
          <w:t xml:space="preserve">Общие положения</w:t>
        </w:r>
        <w:r>
          <w:tab/>
          <w:t xml:space="preserve">3</w:t>
        </w:r>
      </w:hyperlink>
      <w:r/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17" w:leader="none"/>
          <w:tab w:val="right" w:pos="9886" w:leader="dot"/>
        </w:tabs>
      </w:pPr>
      <w:r>
        <w:t xml:space="preserve">Ведение корреспондентских счетов (для респондентов)</w:t>
      </w:r>
      <w:r>
        <w:tab/>
      </w:r>
      <w:r>
        <w:rPr>
          <w:lang w:val="ru-RU"/>
        </w:rPr>
        <w:t xml:space="preserve">5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41" w:leader="none"/>
          <w:tab w:val="right" w:pos="9886" w:leader="dot"/>
        </w:tabs>
      </w:pPr>
      <w:r>
        <w:t xml:space="preserve">Расчетное обслуживание (для респондентов)</w:t>
      </w:r>
      <w:r>
        <w:tab/>
      </w:r>
      <w:r>
        <w:rPr>
          <w:lang w:val="en-US"/>
        </w:rPr>
        <w:t xml:space="preserve">5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36" w:leader="none"/>
          <w:tab w:val="right" w:pos="9886" w:leader="dot"/>
        </w:tabs>
      </w:pPr>
      <w:r>
        <w:t xml:space="preserve">Конверсионн</w:t>
      </w:r>
      <w:r>
        <w:t xml:space="preserve">ые операции (для респондентов)</w:t>
      </w:r>
      <w:r>
        <w:tab/>
      </w:r>
      <w:r>
        <w:rPr>
          <w:lang w:val="en-US"/>
        </w:rPr>
        <w:t xml:space="preserve">7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41" w:leader="none"/>
          <w:tab w:val="right" w:pos="9886" w:leader="dot"/>
        </w:tabs>
      </w:pPr>
      <w:r>
        <w:t xml:space="preserve">Документарные аккредитивы</w:t>
      </w:r>
      <w:r>
        <w:tab/>
      </w:r>
      <w:r>
        <w:rPr>
          <w:lang w:val="en-US"/>
        </w:rPr>
        <w:t xml:space="preserve">7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31" w:leader="none"/>
          <w:tab w:val="right" w:pos="9886" w:leader="dot"/>
        </w:tabs>
      </w:pPr>
      <w:r>
        <w:t xml:space="preserve">Инкассовые операции</w:t>
      </w:r>
      <w:r>
        <w:tab/>
      </w:r>
      <w:r>
        <w:rPr>
          <w:lang w:val="en-US"/>
        </w:rPr>
        <w:t xml:space="preserve">10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36" w:leader="none"/>
          <w:tab w:val="right" w:pos="9886" w:leader="dot"/>
        </w:tabs>
      </w:pPr>
      <w:r>
        <w:t xml:space="preserve">Гарантийные операции</w:t>
      </w:r>
      <w:r>
        <w:tab/>
      </w:r>
      <w:r>
        <w:rPr>
          <w:lang w:val="en-US"/>
        </w:rPr>
        <w:t xml:space="preserve">10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41" w:leader="none"/>
          <w:tab w:val="right" w:pos="9886" w:leader="dot"/>
        </w:tabs>
      </w:pPr>
      <w:r>
        <w:t xml:space="preserve">Операции с наличной валютой</w:t>
      </w:r>
      <w:r>
        <w:tab/>
        <w:t xml:space="preserve">1</w:t>
      </w:r>
      <w:r>
        <w:rPr>
          <w:lang w:val="en-US"/>
        </w:rPr>
        <w:t xml:space="preserve">1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36" w:leader="none"/>
          <w:tab w:val="right" w:pos="9886" w:leader="dot"/>
        </w:tabs>
      </w:pPr>
      <w:r>
        <w:t xml:space="preserve">Операции с ценными бумагами</w:t>
      </w:r>
      <w:r>
        <w:tab/>
        <w:t xml:space="preserve">1</w:t>
      </w:r>
      <w:r>
        <w:rPr>
          <w:lang w:val="en-US"/>
        </w:rPr>
        <w:t xml:space="preserve">2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236" w:leader="none"/>
          <w:tab w:val="right" w:pos="9886" w:leader="dot"/>
        </w:tabs>
      </w:pPr>
      <w:r>
        <w:t xml:space="preserve">Депозитарные услуги</w:t>
      </w:r>
      <w:r>
        <w:tab/>
        <w:t xml:space="preserve">1</w:t>
      </w:r>
      <w:r>
        <w:rPr>
          <w:lang w:val="en-US"/>
        </w:rPr>
        <w:t xml:space="preserve">3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322" w:leader="none"/>
          <w:tab w:val="right" w:pos="9886" w:leader="dot"/>
        </w:tabs>
      </w:pPr>
      <w:r>
        <w:t xml:space="preserve">Услуги платежного агента (при обслуживании эмитентов облигаций)</w:t>
      </w:r>
      <w:r>
        <w:tab/>
        <w:t xml:space="preserve">1</w:t>
      </w:r>
      <w:r>
        <w:rPr>
          <w:lang w:val="ru-RU"/>
        </w:rPr>
        <w:t xml:space="preserve">7</w:t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332" w:leader="none"/>
          <w:tab w:val="right" w:pos="9886" w:leader="dot"/>
        </w:tabs>
      </w:pPr>
      <w:r>
        <w:t xml:space="preserve">Операции с монетами из драгоценных металлов</w:t>
      </w:r>
      <w:r>
        <w:tab/>
        <w:t xml:space="preserve">1</w:t>
      </w:r>
      <w:r>
        <w:rPr>
          <w:lang w:val="ru-RU"/>
        </w:rPr>
        <w:t xml:space="preserve">9</w:t>
      </w:r>
      <w:r>
        <w:fldChar w:fldCharType="end"/>
      </w:r>
      <w:r/>
    </w:p>
    <w:p>
      <w:pPr>
        <w:pStyle w:val="882"/>
        <w:numPr>
          <w:ilvl w:val="0"/>
          <w:numId w:val="1"/>
        </w:numPr>
        <w:ind w:left="20"/>
        <w:jc w:val="both"/>
        <w:spacing w:before="0" w:line="360" w:lineRule="auto"/>
        <w:shd w:val="clear" w:color="auto" w:fill="auto"/>
        <w:tabs>
          <w:tab w:val="left" w:pos="332" w:leader="none"/>
          <w:tab w:val="right" w:pos="9886" w:leader="dot"/>
        </w:tabs>
      </w:pPr>
      <w:r>
        <w:rPr>
          <w:highlight w:val="none"/>
        </w:rPr>
        <w:t xml:space="preserve">Сделки на Монетной площадке Банка России ...................................................................................................19</w:t>
      </w:r>
      <w:r>
        <w:rPr>
          <w:highlight w:val="none"/>
        </w:rPr>
      </w:r>
    </w:p>
    <w:p>
      <w:pPr>
        <w:pStyle w:val="882"/>
        <w:spacing w:before="0"/>
        <w:shd w:val="clear" w:color="auto" w:fill="auto"/>
        <w:tabs>
          <w:tab w:val="left" w:pos="332" w:leader="none"/>
          <w:tab w:val="right" w:pos="9886" w:leader="dot"/>
        </w:tabs>
      </w:pPr>
      <w:r/>
      <w:r/>
    </w:p>
    <w:p>
      <w:pPr>
        <w:pStyle w:val="882"/>
        <w:spacing w:before="0"/>
        <w:shd w:val="clear" w:color="auto" w:fill="auto"/>
        <w:tabs>
          <w:tab w:val="left" w:pos="332" w:leader="none"/>
          <w:tab w:val="right" w:pos="9886" w:leader="dot"/>
        </w:tabs>
        <w:sectPr>
          <w:footnotePr/>
          <w:endnotePr/>
          <w:type w:val="nextPage"/>
          <w:pgSz w:w="11905" w:h="16837" w:orient="portrait"/>
          <w:pgMar w:top="845" w:right="732" w:bottom="10762" w:left="1284" w:header="0" w:footer="3" w:gutter="0"/>
          <w:cols w:num="1" w:sep="0" w:space="720" w:equalWidth="1"/>
          <w:docGrid w:linePitch="360"/>
        </w:sectPr>
      </w:pPr>
      <w:r/>
      <w:r/>
    </w:p>
    <w:p>
      <w:pPr>
        <w:pStyle w:val="883"/>
        <w:jc w:val="center"/>
        <w:keepLines/>
        <w:keepNext/>
        <w:spacing w:after="0" w:line="210" w:lineRule="exact"/>
        <w:shd w:val="clear" w:color="auto" w:fill="auto"/>
        <w:rPr>
          <w:lang w:val="ru-RU"/>
        </w:rPr>
      </w:pPr>
      <w:r/>
      <w:bookmarkStart w:id="1" w:name="bookmark1"/>
      <w:r>
        <w:t xml:space="preserve">Общие положения</w:t>
      </w:r>
      <w:bookmarkEnd w:id="1"/>
      <w:r/>
      <w:r>
        <w:rPr>
          <w:lang w:val="ru-RU"/>
        </w:rPr>
      </w:r>
    </w:p>
    <w:p>
      <w:pPr>
        <w:pStyle w:val="883"/>
        <w:jc w:val="center"/>
        <w:keepLines/>
        <w:keepNext/>
        <w:spacing w:after="0" w:line="210" w:lineRule="exact"/>
        <w:shd w:val="clear" w:color="auto" w:fill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1.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Акционерное общество «Российский Сельскохозяйственный банк» (далее - Банк) применяет Тарифы комиссионно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го вознаграждения на услуги, предоставляемые кредитным организациям (далее – Тарифы), в том числе за выполнение поручений кредитных организаций-операторов по переводу денежных средств по корреспондентским счетам ЛОРО (далее - респонденты), открытым Банком.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Открытие корреспондентских счетов осуществляется только в головном офисе Банка.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2.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Установление размера комиссионного вознагражд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ения производится по усмотрению Банка.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3.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Внесение дополнений и изменений в настоящие Тарифы производится Банком в одностороннем порядке. Банк уведомляет кредитные организации об изменениях Тарифов в порядке, установленном соответствующими договорами,</w:t>
      </w:r>
      <w:r>
        <w:rPr>
          <w:rFonts w:ascii="Times New Roman" w:hAnsi="Times New Roman" w:eastAsia="Times New Roman" w:cs="Times New Roman"/>
          <w:lang w:val="ru-RU"/>
        </w:rPr>
        <w:t xml:space="preserve"> либо путем размещения действующей редакции Тарифов на официальном интернет-сайте АО «Россельхозбанк».</w:t>
      </w:r>
      <w:r>
        <w:rPr>
          <w:rFonts w:ascii="Times New Roman" w:hAnsi="Times New Roman" w:eastAsia="Times New Roman" w:cs="Times New Roman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highlight w:val="none"/>
          <w:lang w:val="ru-RU"/>
        </w:rPr>
      </w:r>
      <w:r>
        <w:rPr>
          <w:rFonts w:ascii="Times New Roman" w:hAnsi="Times New Roman" w:eastAsia="Times New Roman" w:cs="Times New Roman"/>
          <w:highlight w:val="none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lang w:val="ru-RU"/>
        </w:rPr>
      </w:pPr>
      <w:r>
        <w:rPr>
          <w:rFonts w:ascii="Times New Roman" w:hAnsi="Times New Roman" w:eastAsia="Times New Roman" w:cs="Times New Roman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4.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Тарифы комиссионного вознаграждения в региональных филиалах Банка могут отличаться от Тарифов, установленных Банком, в зависимости от региона местонахождения регионального филиала.</w:t>
      </w:r>
      <w:r>
        <w:rPr>
          <w:rFonts w:ascii="Times New Roman" w:hAnsi="Times New Roman" w:eastAsia="Times New Roman" w:cs="Times New Roman"/>
          <w:lang w:val="ru-RU"/>
        </w:rPr>
      </w:r>
      <w:r/>
    </w:p>
    <w:p>
      <w:pPr>
        <w:ind w:firstLine="720"/>
        <w:jc w:val="both"/>
        <w:tabs>
          <w:tab w:val="left" w:pos="1080" w:leader="none"/>
        </w:tabs>
        <w:rPr>
          <w:rFonts w:asciiTheme="minorHAnsi" w:hAnsiTheme="minorHAnsi" w:cstheme="minorHAnsi"/>
        </w:rPr>
      </w:pPr>
      <w:r>
        <w:rPr>
          <w:rFonts w:eastAsia="Times New Roman" w:asciiTheme="minorHAnsi" w:hAnsiTheme="minorHAnsi" w:cstheme="minorHAnsi"/>
          <w:color w:val="auto"/>
          <w:lang w:val="ru-RU"/>
        </w:rPr>
        <w:t xml:space="preserve">5.</w:t>
      </w:r>
      <w:r>
        <w:rPr>
          <w:rFonts w:asciiTheme="minorHAnsi" w:hAnsiTheme="minorHAnsi" w:cstheme="minorHAnsi"/>
        </w:rPr>
        <w:t xml:space="preserve"> Уплата (взимание) комиссионного вознаграждения и возмещение расходов Банка за проведение операций, имеющих фиксированное значение в долларах США, производятся в долларах США или в российских рублях в сумме, эквивалентн</w:t>
      </w:r>
      <w:r>
        <w:rPr>
          <w:rFonts w:asciiTheme="minorHAnsi" w:hAnsiTheme="minorHAnsi" w:cstheme="minorHAnsi"/>
        </w:rPr>
        <w:t xml:space="preserve">ой размеру комиссии в долларах США, рассчитанной по курсу Банка России, действующему на день осуществления операции. В случае проведения операций в иностранной валюте, отличной от доллара США, и, если иное не предусмотрено отдельным соглашением, комиссионн</w:t>
      </w:r>
      <w:r>
        <w:rPr>
          <w:rFonts w:asciiTheme="minorHAnsi" w:hAnsiTheme="minorHAnsi" w:cstheme="minorHAnsi"/>
        </w:rPr>
        <w:t xml:space="preserve">ое вознаграждение взимается в валюте операции в сумме, эквивалентной размеру комиссии в долларах США, рассчитанной по курсу Банка России, действующему на день осуществления операции, если иное не предусмотрено настоящими Тарифами или отдельным соглашением.</w:t>
      </w:r>
      <w:r>
        <w:rPr>
          <w:rFonts w:asciiTheme="minorHAnsi" w:hAnsiTheme="minorHAnsi" w:cstheme="minorHAnsi"/>
        </w:rPr>
      </w:r>
    </w:p>
    <w:p>
      <w:pPr>
        <w:ind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Комиссионное вознаграждение, установленное в процентах от суммы, взимается в валюте операции, если иное не предусмотрено настоящими Тарифами или отдельным соглашением.</w:t>
      </w:r>
      <w:r>
        <w:rPr>
          <w:rFonts w:asciiTheme="minorHAnsi" w:hAnsiTheme="minorHAnsi" w:cstheme="minorHAnsi"/>
        </w:rPr>
      </w:r>
    </w:p>
    <w:p>
      <w:pPr>
        <w:ind w:firstLine="709"/>
        <w:jc w:val="both"/>
        <w:tabs>
          <w:tab w:val="left" w:pos="1080" w:leader="none"/>
        </w:tabs>
        <w:rPr>
          <w:rFonts w:eastAsia="Times New Roman" w:asciiTheme="minorHAnsi" w:hAnsiTheme="minorHAnsi" w:cstheme="minorHAnsi"/>
          <w:color w:val="auto"/>
          <w:lang w:val="ru-RU"/>
        </w:rPr>
      </w:pPr>
      <w:r>
        <w:rPr>
          <w:rFonts w:asciiTheme="minorHAnsi" w:hAnsiTheme="minorHAnsi" w:cstheme="minorHAnsi"/>
        </w:rPr>
        <w:t xml:space="preserve">Комиссионное вознаграждение за услуги, оказанные респондентам Банка, списывается с корреспондентских счетов ЛОРО в валюте счета. В случае отсутствия или недостатка средств на счете респондента, комиссии и иные расходы Банка за п</w:t>
      </w:r>
      <w:r>
        <w:rPr>
          <w:rFonts w:asciiTheme="minorHAnsi" w:hAnsiTheme="minorHAnsi" w:cstheme="minorHAnsi"/>
        </w:rPr>
        <w:t xml:space="preserve">роведение операций списываются с иного счета респондента в российских рублях или в другой валюте в сумме, эквивалентной комиссии в долларах США/ЕВРО (в случае применения к операции фиксированного значения комиссии в долларах США/ЕВРО) или в валюте операции</w:t>
      </w:r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</w:rPr>
        <w:t xml:space="preserve">(в случае примене</w:t>
      </w:r>
      <w:r>
        <w:rPr>
          <w:rFonts w:asciiTheme="minorHAnsi" w:hAnsiTheme="minorHAnsi" w:cstheme="minorHAnsi"/>
        </w:rPr>
        <w:t xml:space="preserve">ния тарифа, установленного в процентах от суммы), рассчитанные по курсу/кросс-курсу Банка России, действующему на день списания комиссий и иных расходов Банка за проведение операций, если иное не предусмотрено настоящими Тарифами или отдельным соглашением.</w:t>
      </w:r>
      <w:r>
        <w:rPr>
          <w:rFonts w:eastAsia="Times New Roman" w:asciiTheme="minorHAnsi" w:hAnsiTheme="minorHAnsi" w:cstheme="minorHAnsi"/>
          <w:color w:val="auto"/>
          <w:lang w:val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Если остаток средств на счетах респондента не позволит ос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уществить списание в первые пять рабочих дней месяца,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Кредитные организации, не имеющие корреспондентского счета ЛОРО в Банке, осуществляют у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реквизитами, указанными в соответствующем соглашении (договоре) или в любой иной принятой в банковской практике форме.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6.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Переводы денежных средств с корреспондентских счетов ЛОРО в пользу налоговых, таможенных и других органов в случаях, установленных законодательством Российской Федерации, выполняются Банком без взимания комиссии.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firstLine="709"/>
        <w:jc w:val="both"/>
        <w:tabs>
          <w:tab w:val="left" w:pos="1080" w:leader="none"/>
        </w:tabs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  <w:t xml:space="preserve">7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.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Возмещение почтовых и других расходов Банка, а также комиссий и расходов третьих банков (банков-посредников) </w:t>
      </w:r>
      <w:r>
        <w:rPr>
          <w:rFonts w:ascii="Times New Roman" w:hAnsi="Times New Roman" w:eastAsia="Times New Roman" w:cs="Times New Roman"/>
          <w:iCs/>
          <w:color w:val="auto"/>
          <w:lang w:val="ru-RU"/>
        </w:rPr>
        <w:t xml:space="preserve">по документарным операциям</w:t>
      </w:r>
      <w:r>
        <w:rPr>
          <w:rFonts w:ascii="Times New Roman" w:hAnsi="Times New Roman" w:eastAsia="Times New Roman" w:cs="Times New Roman"/>
          <w:color w:val="auto"/>
          <w:lang w:val="ru-RU"/>
        </w:rPr>
        <w:t xml:space="preserve">, если таковые возникают, осуществляется банками-контрагентами дополнительно к комиссиям, указанным в Тарифах.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pStyle w:val="884"/>
        <w:ind w:firstLine="709"/>
        <w:spacing w:before="0" w:line="240" w:lineRule="auto"/>
        <w:shd w:val="clear" w:color="auto" w:fill="auto"/>
        <w:tabs>
          <w:tab w:val="left" w:pos="217" w:leader="none"/>
        </w:tabs>
        <w:rPr>
          <w:lang w:val="ru-RU"/>
        </w:rPr>
      </w:pPr>
      <w:r>
        <w:rPr>
          <w:color w:val="auto"/>
          <w:sz w:val="24"/>
          <w:szCs w:val="24"/>
          <w:lang w:val="ru-RU"/>
        </w:rPr>
        <w:t xml:space="preserve">8. </w:t>
      </w:r>
      <w:r>
        <w:rPr>
          <w:color w:val="auto"/>
          <w:sz w:val="24"/>
          <w:szCs w:val="24"/>
          <w:lang w:val="ru-RU"/>
        </w:rPr>
        <w:t xml:space="preserve">Комиссии, взысканные Банком за оказание услуг (кроме ошибочно удержанных), возврату не подлежат.</w:t>
      </w:r>
      <w:r>
        <w:rPr>
          <w:lang w:val="ru-RU"/>
        </w:rPr>
      </w:r>
    </w:p>
    <w:p>
      <w:pPr>
        <w:rPr>
          <w:rFonts w:ascii="Times New Roman" w:hAnsi="Times New Roman" w:eastAsia="Times New Roman" w:cs="Times New Roman"/>
          <w:sz w:val="19"/>
          <w:szCs w:val="19"/>
          <w:lang w:val="ru-RU"/>
        </w:rPr>
      </w:pPr>
      <w:r>
        <w:rPr>
          <w:lang w:val="ru-RU"/>
        </w:rPr>
        <w:br w:type="page" w:clear="all"/>
      </w:r>
      <w:r>
        <w:rPr>
          <w:rFonts w:ascii="Times New Roman" w:hAnsi="Times New Roman" w:eastAsia="Times New Roman" w:cs="Times New Roman"/>
          <w:sz w:val="19"/>
          <w:szCs w:val="19"/>
          <w:lang w:val="ru-RU"/>
        </w:rPr>
      </w:r>
    </w:p>
    <w:p>
      <w:pPr>
        <w:pStyle w:val="884"/>
        <w:ind w:firstLine="0"/>
        <w:spacing w:before="0"/>
        <w:shd w:val="clear" w:color="auto" w:fill="auto"/>
        <w:tabs>
          <w:tab w:val="left" w:pos="217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28"/>
        <w:gridCol w:w="5133"/>
        <w:gridCol w:w="1877"/>
        <w:gridCol w:w="2655"/>
      </w:tblGrid>
      <w:tr>
        <w:tblPrEx/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color w:val="auto"/>
                <w:lang w:val="ru-RU"/>
              </w:rPr>
              <w:t xml:space="preserve">1. Ведение корреспондентских счетов (для респондентов)</w:t>
            </w:r>
            <w:r>
              <w:rPr>
                <w:rFonts w:ascii="Times New Roman" w:hAnsi="Times New Roman" w:eastAsia="Calibri" w:cs="Times New Roman"/>
                <w:i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38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№  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 п/п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/>
            <w:bookmarkStart w:id="2" w:name="_Toc95617936"/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Тариф</w:t>
            </w:r>
            <w:bookmarkEnd w:id="2"/>
            <w:r/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1.1.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Открытие корреспондентского счета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Открытие корреспондентского счета специального назначения для кредитной организации - участника закупок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1.3.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Открытие корреспондентского счета в драгоценных металлах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 золоте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 серебре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 платине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spacing w:line="80" w:lineRule="atLeast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 палладии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При условии открытия/наличия корреспондентского счета в российских рублях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1.4.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Ведение корреспондентского счета: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 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1.4.1.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 российских рублях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1.4.2.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 иностранной валюте кроме евро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Открытие счета осуществляется по согласованию с 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br/>
              <w:t xml:space="preserve">АО «Россельхозбанк»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1.4.3.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 евро: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рассчитывается исходя из фактического входящего остатка на счете за каждый день в течение календарного месяца, включая выходные и праздничные нерабочие дни Российской Федерации.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взимается ежемесячно не позднее 5-го рабочего дня месяца, следующего за отчетным месяцем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При сумме остатка до 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3 000 000.00 евро (включительно)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При сумме остатка свыше 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3 000 000.00 евро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65 евро в день + 65 евро в день за каждые 3 млн. евро, превышающие остаток в размере 3 млн. евро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1.4.4.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Ведение корреспондентского счета специального назначения для кредитной организации - участника закупок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ab/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1.4.5.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Ведение корреспондентского счета в драгоценных металлах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1.5.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Закрытие корреспондентского счета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 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1.5.1.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Закрытие корреспондентского счета специального назначения для кредитной организации - участника закупок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ab/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1.5.2.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Закрытие корреспондентского счета в драгоценных металлах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1.6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Направление выписок, дебетовых и кредитовых авизо по системам SWIFT, TELEX, Системе передачи финансовых сообщений Банка России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1.7.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Направление выписок, дебетовых и кредитовых авизо по почте, по факсу и электронной почте по запросу респондента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15 долларов США за каждый документ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1.8.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Направление дубликатов выписок, дебетовых и кредитовых авизо по запросу респондента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50 долларов США за каждый документ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1.9.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Начисление процентов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vertAlign w:val="superscript"/>
                <w:lang w:val="ru-RU"/>
              </w:rPr>
              <w:footnoteReference w:id="2"/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В соответствии с решением головного офиса Банка (уполномоченного 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органа либо уполномоченного лица в пределах установленных полномочий)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 отдельному соглашению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на кредитовый остаток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 отдельному соглашению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8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23" w:type="pct"/>
            <w:textDirection w:val="lrTb"/>
            <w:noWrap w:val="false"/>
          </w:tcPr>
          <w:p>
            <w:pPr>
              <w:numPr>
                <w:ilvl w:val="0"/>
                <w:numId w:val="19"/>
              </w:numPr>
              <w:ind w:hanging="1036"/>
              <w:tabs>
                <w:tab w:val="num" w:pos="360" w:leader="none"/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за овердрафт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886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253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 отдельному соглашению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31"/>
        <w:gridCol w:w="5203"/>
        <w:gridCol w:w="1970"/>
        <w:gridCol w:w="2489"/>
      </w:tblGrid>
      <w:tr>
        <w:tblPrEx/>
        <w:trPr/>
        <w:tc>
          <w:tcPr>
            <w:gridSpan w:val="4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lang w:val="ru-RU"/>
              </w:rPr>
            </w:pPr>
            <w:r/>
            <w:bookmarkStart w:id="3" w:name="_Toc95617938"/>
            <w:r>
              <w:rPr>
                <w:rFonts w:ascii="Times New Roman" w:hAnsi="Times New Roman" w:eastAsia="Calibri" w:cs="Times New Roman"/>
                <w:b/>
                <w:bCs/>
                <w:color w:val="auto"/>
                <w:lang w:val="ru-RU"/>
              </w:rPr>
              <w:t xml:space="preserve">2. </w:t>
            </w:r>
            <w:bookmarkEnd w:id="3"/>
            <w:r>
              <w:rPr>
                <w:rFonts w:ascii="Times New Roman" w:hAnsi="Times New Roman" w:eastAsia="Calibri" w:cs="Times New Roman"/>
                <w:b/>
                <w:bCs/>
                <w:color w:val="auto"/>
                <w:lang w:val="ru-RU"/>
              </w:rPr>
              <w:t xml:space="preserve">Расчетное обслуживание (для респондентов)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39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vAlign w:val="center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2.1.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Переводы в валюте Российской Федерации: 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2.1.1.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Зачисление средств на корреспондентский счет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2.1.2.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Списание средств с корреспондентского счета: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переводы внутри Банка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переводы через платежную систему Банка России: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- переводы с использованием сервиса несрочного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23 рубля за одно платежное поручение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Тариф ЦБ РФ за телеграфный перевод оплачивается дополнительно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- переводы с использованием сервиса срочного перевода Банка России по распоряжениям, принятым до установленного времени, указанного в договоре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30 рублей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br/>
              <w:t xml:space="preserve">за одно платежное поручение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- переводы по распоряжениям, принятым после установленного времени, указанного в договоре (при наличии возможности)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300 рублей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br/>
              <w:t xml:space="preserve">за одно платежное поручение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2.1.3.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Изменение реквизитов переводов, возврат/аннуляция распоряжения о переводе, запрос о дате зачисления средств на корреспондентский счет в банке-получателе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500 рублей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br/>
              <w:t xml:space="preserve">за каждый перевод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Переводы в иностранной валюте: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2.2.1.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Зачисление средств на корреспондентский счет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2.2.2.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Списание средств с корреспондентского счета: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Переводы в пользу бенефициара-клиента Банка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Переводы с использованием корреспондентской сети ЛОРО АО «Россельхозбанк»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jc w:val="both"/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Переводы в пользу бенефициара-клиента другого банка с использованием счетов НОСТРО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br/>
              <w:t xml:space="preserve">АО «Россельхозбанк»: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«BEN» - все расходы относятся на счет бенефициара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12 долларов США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«OUR» - все расходы относятся на счет отправителя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12 долларов США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«SHA» - все расходы на стороне отправителя относятся на счет отправителя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12 долларов США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Комиссия, взимаемая остальными участниками перевода, взимается за счет бенефициара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2.2.3.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Межбанковские переводы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Взимаются только комиссии третьих банков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2.2.4.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Исполнение распоряжений, полученных после установленного времени, указанного в договоре (распоряжении), сроком валютирования «сегодня» (по возможности)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50 долларов США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2.2.5.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Изменение реквизитов переводов, возврат/аннуляция распоряжения о переводе, запрос о дате кредитования счета бенефициара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50 долларов США за каждый перевод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2.2.6.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Возврат переводоотправителю поступившего в Банк перевода ввиду невозможности исполнения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25 долларов США за каждый перевод на сумму свыше 1000 долларов США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2.3.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Зачисление драгоценного металла на счет: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>
          <w:trHeight w:val="578"/>
        </w:trPr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внесенного респондентом в виде слитков в хранилище ценностей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поступившего с иного корреспондентского счета в драгоценных металлах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поступившего от Банка по сделкам с драгоценным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металлом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Комиссия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2.3.1.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Списание драгоценного металла со счета: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с последующей выдачей слитков респонденту в хранилище ценностей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для зачисления на иной корреспондентский счет в драгоценных металлах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  <w:t xml:space="preserve">Комиссии третьих банков взимаются дополнительно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u w:val="single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u w:val="single"/>
                <w:lang w:val="ru-RU"/>
              </w:rPr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u w:val="single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numPr>
                <w:ilvl w:val="0"/>
                <w:numId w:val="14"/>
              </w:numPr>
              <w:tabs>
                <w:tab w:val="num" w:pos="224" w:leader="none"/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в пользу Банка от респондента по сделкам с драгоценным металлом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2.3.2.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0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Иные операции с драгоценным металлом, предусмотренные законодательством Российской Федерации и нормативными актами Банка России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По отдельному соглашению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2.4.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Прием распоряжений о переводе денежных средств в валюте Российской Федерации и иностранной валюте на бумажном носителе (ручная обработка)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20 долларов США за каждое распоряжение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2.5.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Прием распоряжений о переводе денежных средств в валюте Российской Федерации и иностранной валюте по системе TELEX (ручная обработка)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  <w:t xml:space="preserve">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  <w:t xml:space="preserve">.1.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Для кредитных организаций – резидентов Российской Федерации (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кредитных организаций, созданных в соответствии с законодательством Российской Федерации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)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20 долларов США за каждое распоряжение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  <w:t xml:space="preserve">2.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5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en-US"/>
              </w:rPr>
              <w:t xml:space="preserve">.2.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Для кредитных организаций – нерезидентов (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кредитных организаций, созданных в соответствии с законодательством иностранного государства и имеющих местонахождение за пределами территории Российской Федерации)</w:t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2.6.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Подтверждение наличия корреспондентских счетов, открытых в Банке, выдача иных справочных материалов о состоянии счета по письменному запросу Респондента давностью: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restar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до трех календарных месяцев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20 долларов США за каждый счет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vMerge w:val="continue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свыше трех календарных месяцев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30 долларов США за каждый счет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i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2.7.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Предоставление информации по счетам Респондента для Аудиторской компании на основании письменного запроса Респондента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60 долларов США за каждый счет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</w:tr>
      <w:tr>
        <w:tblPrEx/>
        <w:trPr/>
        <w:tc>
          <w:tcPr>
            <w:tcW w:w="439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2.8.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2456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  <w:t xml:space="preserve">Проведение расследований перед зачислением</w:t>
            </w:r>
            <w:r>
              <w:rPr>
                <w:rFonts w:ascii="Times New Roman" w:hAnsi="Times New Roman" w:eastAsia="Calibri" w:cs="Times New Roman"/>
                <w:bCs/>
                <w:color w:val="auto"/>
                <w:sz w:val="20"/>
                <w:lang w:val="ru-RU"/>
              </w:rPr>
            </w:r>
          </w:p>
        </w:tc>
        <w:tc>
          <w:tcPr>
            <w:tcW w:w="930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  <w:t xml:space="preserve">25 долларов США за каждый перевод на сумму свыше 1000 долларов США </w:t>
            </w:r>
            <w:r>
              <w:rPr>
                <w:rFonts w:ascii="Times New Roman" w:hAnsi="Times New Roman" w:eastAsia="Calibri" w:cs="Times New Roman"/>
                <w:color w:val="auto"/>
                <w:sz w:val="20"/>
                <w:lang w:val="ru-RU"/>
              </w:rPr>
            </w:r>
          </w:p>
        </w:tc>
        <w:tc>
          <w:tcPr>
            <w:tcW w:w="1175" w:type="pct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  <w:r>
              <w:rPr>
                <w:rFonts w:ascii="Times New Roman" w:hAnsi="Times New Roman" w:eastAsia="Calibri" w:cs="Times New Roman"/>
                <w:b/>
                <w:bCs/>
                <w:color w:val="auto"/>
                <w:sz w:val="20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959"/>
        <w:gridCol w:w="5089"/>
        <w:gridCol w:w="1857"/>
        <w:gridCol w:w="2463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3. Конверсионные операции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en-US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для респондентов)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        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9" w:type="dxa"/>
            <w:vAlign w:val="center"/>
            <w:textDirection w:val="lrTb"/>
            <w:noWrap w:val="false"/>
          </w:tcPr>
          <w:p>
            <w:pPr>
              <w:ind w:right="-18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7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vAlign w:val="center"/>
            <w:textDirection w:val="lrTb"/>
            <w:noWrap w:val="false"/>
          </w:tcPr>
          <w:p>
            <w:pPr>
              <w:ind w:left="72" w:right="72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3.1.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Покупка/продажа безналичной иностранной валюты за безналичные российские рубли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По курсу Банка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89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Продажа безналичной иностранной валюты одного иностранного государства (группы иностранных государств) за безналичную иностранную валюту другого иностранного государства (группы иностранных государств)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5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По курсу Банка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3" w:type="dxa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tabs>
          <w:tab w:val="left" w:pos="5940" w:leader="none"/>
        </w:tabs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2410"/>
        <w:gridCol w:w="2835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4. Документарные аккредитивы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4.1.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Операции по аккредитивам, открытым другими банками для расчетов по внешнеторговым сделкам 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Предварительное авизование аккредитива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10 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Авизование аккредитива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3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0,15% от суммы аккредитива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или увеличения суммы аккредитива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макс. 75 000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4.1.3.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Подтверждение аккредитива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Подтверждение изменения условий подтвержденного Банком аккредитива, связанного с увеличением суммы: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 xml:space="preserve">- при предоставлении банком-эмитентом 100% денежного покрытия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0,80% годовых от суммы, предъявленной к оплате по аккредитиву, и/или неиспользованного остатка средств по аккредитиву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/от суммы тратты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br/>
              <w:t xml:space="preserve">мин. 10 000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- при отсутствии 100%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 xml:space="preserve">денежного покрытия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4.1.4.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Авизование изменения условий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аккредитива, не связанного с увеличением суммы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Авизование запроса на аннуляцию аккредитива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4"/>
              </w:numP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иных сообщений по аккредитиву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3 500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4.1.5.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0,15% от суммы,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запрошенной к оплате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000 руб.,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макс. 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взимается за обработку/проверку каждого 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4.1.6.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за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предоставление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отсрочки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возмещения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 платежа, совершенного по аккредитиву (в случае исполнения подтвержденного аккредитива и предоставления финансирования Банком)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4.1.7.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Запрос по аккредитиву по инициативе клиента/банка-контрагента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2 500 руб.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 каждый запрос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.1.8.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Проверка правильности телексных ключей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.1.9.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5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Выпуск рамбурсного обязательства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5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Внесение изменений в условия рамбурсного обязательства, связанное с увеличением суммы: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- при наличии 100% денежного покрытия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0,60% годовых от суммы рамбурсного требования и/или неиспользованного остатка по рамбурсному обязательству,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10 000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- при отсутствии 100% денежного покрытия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.1.10.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Изменение условий рамбурсного обязательства, не связанное с увеличением суммы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6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Запрос на аннуляцию рамбурсного обязательства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0 0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.1.11.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Платеж по рамбурсному требованию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4.2.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Операции по аккредитивам, открытым АО «Россельхозбанк» по запросам банков-контрагентов для расчетов по внешнеторговым сделкам: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Открытие аккредитива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Увеличение суммы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7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Продление срока действия аккредитива на срок, выходящий за пределы периода, комиссия за который оплачена ранее: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при наличии 100%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 xml:space="preserve">денежного покрытия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0,60% годовых от суммы, предъявленной к оплате по аккредитиву,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и/или неиспользованного остатка средств по аккредитиву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br/>
              <w:t xml:space="preserve">мин.10 000 руб.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- при отсутствии 100% денежного покрытия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8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Внесение изменений в условия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открытого Банком аккредитива, не связанных с увеличением суммы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Запрос согласия на аннуляцию аккредитива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4.2.3.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Обработка/проверка документов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0,15% от суммы,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запрошенной к оплате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10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руб., макс. 350 000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4.2.4.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Запрос по аккредитиву или рамбурсному обязательству по инициативе клиента/банка-контрагента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2 500 руб.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 каждый запрос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4.2.5.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Проверка правильности телексных ключей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4.2.6.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Перевод аккредитива в пользу другого бенефициара (трансферация второму бенефициару)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Внесение изменений в условия трансферированного аккредитива, связанных с увеличением суммы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0,15% от трансферированной суммы либо ее увеличения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мин. 1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00 руб.,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макс. 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4.2.7.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Внесение изменений в условия трансферированного аккредитива, не связанных с увеличением суммы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Запрос согласия на аннуляцию трансферированного аккредитива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иного сообщения второму бенефициару по трансферированному аккредитиву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  <w:t xml:space="preserve">4.3.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Аккредитивы для расчетов на территории Российской Федерации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4.3.1.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аккредитива;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0,1% от суммы аккредитива или ее увеличения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мин. 1 000 руб.,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макс. 10 000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4.3.2.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Подтверждение аккредитива;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29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Подтверждение изменения условий подтвержденного Банком аккредитива, связанного с увеличением суммы: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- при предоставлении банком-эмитентом 100% денежного покрытия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0,80% годовых от суммы, предъявленной к оплате по аккредитиву, и/или неиспользованного остатка по аккредитиву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5 000 руб.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при отсутствии 100%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денежного покрытия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4.3.3.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tabs>
                <w:tab w:val="num" w:pos="177" w:leader="none"/>
              </w:tabs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изменений условий аккредитива, не связанных с увеличением суммы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30"/>
              </w:numPr>
              <w:tabs>
                <w:tab w:val="num" w:pos="177" w:leader="none"/>
              </w:tabs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запроса на аннуляцию/отзыв аккредитива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30"/>
              </w:numPr>
              <w:tabs>
                <w:tab w:val="num" w:pos="177" w:leader="none"/>
              </w:tabs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иных запросов по аккредитивам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30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Запрос по аккредитиву по инициативе банка-контрагента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1 500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4.3.4.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numPr>
                <w:ilvl w:val="0"/>
                <w:numId w:val="30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numPr>
                <w:ilvl w:val="0"/>
                <w:numId w:val="30"/>
              </w:num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Запрос согласия на аннуляцию аккредитива/отзыв аккредитива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1 500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4.3.5.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Обработка/проверка документов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0,15% от суммы, запрошенной к оплате,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мин. 5 000 руб.,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макс. 100 000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взимается за обработку/проверку каждого представления документов (в т.ч. если документы не приняты к оплате), исходя из суммы, запрошенной к оплате в рамках аккредитива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835"/>
        <w:gridCol w:w="1701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5. Инкассовые операции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5.1.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Документарное инкассо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5.1.1.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Прием, проверка, подготовка документов для отправки на инкассо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0,15% от суммы документов,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мин.3 500 руб.,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5.1.2.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Внесение изменений в условия инкассового поручения или его аннуляция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2 500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5.1.3.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0,15% от суммы,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 3 500 руб.,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макс. 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5.1.4.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Возврат неоплаченных/неакцептованных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3 500 руб. за каждый комплект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5.1.5.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Запрос по инкассо по инициативе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банка-контрагента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2 500 руб.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за каждый запрос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2127"/>
        <w:gridCol w:w="1417"/>
      </w:tblGrid>
      <w:tr>
        <w:tblPrEx/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6. Гарантийные операции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Выдача гарантии/контргарантии/открытие резервного аккредитива (увеличение суммы, пролонгация):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на условиях размещения в Банке денежного обеспечения (покрытия)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без размещения в Банке денежного обеспечения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6.2.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Внесение изменений в условия выданной гарантии/контргарантии/резервного аккредитива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 соглашению сторон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6.3.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Аннуляция выданной гарантии/контргарантии/ резервного аккредитива до срока истечения действия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7 500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6.4.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Проверка представленных требования и документов, в том числе, платеж по гарантии/контргарантии/резервному аккредитиву, выданным Банком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0,1% от суммы,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мин. 10 000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6.5.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гарантии/контргарантии/резервного аккредитива без обязательств со стороны Банка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20 000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6.6.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Авизование изменения условий гарантии/контр-гарантии/резервного аккредитива, авизование сообщения по гарантии/контргарантии/резервному аккредитиву без обязательств со стороны Банка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6.7.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Требование платежа по гарантии, авизованной без обязательств со стороны Банка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7 500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6.8.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Проверка по запросу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банка-контрагента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подлинности гарантии/контргарантии/резервного аккредитива и/или правильности телексных ключей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6.9.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Отправка сообщения по гарантии/контргарантии/ резервному аккредитиву по запросу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банка-контрагента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2 500 руб.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 каждое отправленное сообщение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jc w:val="center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Примечание к разделам 4-6 Тарифов: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Комиссионное вознаграждение за услугу Банка, инициированную банком-контрагентом, и подлежащую уплате клиентом Банка, начисляется в соответствии с Тарифами комиссион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ного вознаграждения на услуги АО 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частной практикой. Если комиссионное вознаграждение не может быть получено Банком или удержано с клиента Банка по любым причинам, то обязанность по его уплате в сумме первоначального требования возлагается на банк-контрагент, как инструктирующую сторону.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1. При указании в наименовании услуги двух и более операций к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  <w:t xml:space="preserve">омиссионное вознаграждение взимается за каждую осуществленную операцию из перечисленных в соответствующем пункте Тарифа.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2. По документарным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операциям,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3. Комиссионное вознаграждение Банка может быть уплачено в россий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ских рублях и в иностранной валюте. Если уплата комиссионного вознаграждения Банка, начисленного в российских рублях,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4. Комиссионное вознаграждение по пунктам 4.1.3, 4.1.9, 4.2.1 и 4.3.2 Тарифов (при наличии 100% денежного покрытия) взимается за фактический срок действия обязательства.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Комиссионное вознаграждение рассчитывается от суммы, предъявленной к оплате по аккредитиву/рамбурсному обязательству.</w:t>
      </w: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Расчет комиссионного вознаграждения по пунктам 4.1.3, 4.1.9, 4.2.1 и 4.3.2 Тарифов (при наличии 100% денежного покрытия) начинается в дату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оказания соответствующей услуги.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Комиссионное вознаграждение рассчитывается до даты платежа (включая дату открытия/дату подтверждения и дату платежа) и уплачивается по мере принятия к оплате документов/рамбурсного требования.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В случае закрытия неиспользованного (полностью или частично) аккредитива/рамбурсного обязательства комиссионное вознаграждение рассчитывается от суммы неиспользованного остатка за период с даты открытия аккредитива (по открытым Банком аккредитива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м)/даты подтверждения аккредитива (по подтвержденным Банком аккредитивам)/даты выпуска рамбурсного обязательства до даты истечения срока действия аккредитива/рамбурсного обязательства и уплачивается в течение 5 рабочих дней по истечении срока его действия.</w:t>
      </w: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Минимальное значение комиссионного вознаграждения применяется при каждом расчете комиссии к уплате.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Базис расчета – фактическое количество дней в году (365/366).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5. </w:t>
      </w:r>
      <w:r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</w:r>
    </w:p>
    <w:p>
      <w:pPr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5"/>
        <w:gridCol w:w="5072"/>
        <w:gridCol w:w="2557"/>
        <w:gridCol w:w="1989"/>
      </w:tblGrid>
      <w:tr>
        <w:tblPrEx/>
        <w:trPr>
          <w:trHeight w:val="34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7. Операции с наличной валютой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       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7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vAlign w:val="center"/>
            <w:textDirection w:val="lrTb"/>
            <w:noWrap w:val="false"/>
          </w:tcPr>
          <w:p>
            <w:pPr>
              <w:ind w:left="72" w:right="72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7.1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Выдача наличной валюты Российской Федерации со счета респондента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0,2%  от суммы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ind w:left="41"/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Комиссия взимается в день выдачи.             Заказ наличной валюты Российской Федерации производится по письменной заявке за 3 банковских дня.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8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  <w:t xml:space="preserve">7.2.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Прием наличной валюты Российской Федерации с зачислением на счет Респондента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0,3%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суммы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/>
            <w:bookmarkStart w:id="4" w:name="_GoBack"/>
            <w:r/>
            <w:bookmarkEnd w:id="4"/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/>
              </w:rPr>
              <w:t xml:space="preserve">Комиссия взимается в день зачисления на счет Респондента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Прием наличной валюты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 инкассаторских сумках в послеоперационное время Банка, а также в выходные и праздничные дни, с зачислением на счета респондента до 10.00 часов утра следующего операционного дня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0,2% от суммы, по курсу Банка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Комиссия взимается в день зачисления на счет Респондента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7.4.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ind w:right="72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auto"/>
                <w:sz w:val="20"/>
                <w:szCs w:val="20"/>
                <w:lang w:val="ru-RU"/>
              </w:rPr>
              <w:t xml:space="preserve">Повторный пересчет денежной наличности в результате образовавшегося излишка или недостачи по вине респондента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0,05% от суммы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48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7.5.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ind w:right="72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Выдача наличной иностранной валюты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right="74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(за исключением монеты иностранного государства (группы иностранных государств))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со счета респондента, открытого в соответствующей валюте: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 основании предварительно представленного респондентом письма в соответствии со сроками, установленными в Договоре на кассовое обслуживание в наличной иностранной валюте кредитной организации - респондента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7.5.1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ind w:left="1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доллары США, евро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0,5% от суммы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7.5.2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ind w:left="1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другие виды иностранных валют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3,0% от суммы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7.6.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ind w:right="74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Прием наличной иностранной валюты (за исключением монеты иностранного государства (группы 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иностранных государств))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 с зачислением на счет респондента, открытого в соответствующей валюте: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7.6.1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доллары США, евро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60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7" w:right="74" w:hanging="284"/>
              <w:jc w:val="both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банкноты в упаковке банка-эмитента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0,5% от суммы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6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7" w:right="74" w:hanging="284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банкноты, бывшие в употреблении (без повреждений и дефектов)  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1% от суммы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numPr>
                <w:ilvl w:val="0"/>
                <w:numId w:val="17"/>
              </w:numPr>
              <w:ind w:left="317" w:right="74" w:hanging="284"/>
              <w:jc w:val="both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банкноты поврежденные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Не подлежат приему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ru-RU"/>
              </w:rPr>
              <w:t xml:space="preserve">7.6.2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2"/>
                <w:szCs w:val="22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другие виды иностранных валют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3,0% от суммы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auto"/>
                <w:sz w:val="22"/>
                <w:szCs w:val="22"/>
                <w:lang w:val="ru-RU"/>
              </w:rPr>
              <w:t xml:space="preserve">7.7.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  <w:lang w:val="ru-RU"/>
              </w:rPr>
              <w:t xml:space="preserve">Покупка/продажа Банком наличной иностранной валюты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 на услугу определяется существенными условиями банкнотной сделки в рамках Соглашения об общих условиях проведения банкнотных сделок между АО «Россельхозбанк» и другой кредитной организацией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Данная услуга оказывается при наличии заключенного Соглашения об общих условиях проведения банкнотных сделок между АО «Россельхозбанк» и другой кредитной организацией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4"/>
        <w:gridCol w:w="5072"/>
        <w:gridCol w:w="2564"/>
        <w:gridCol w:w="1983"/>
      </w:tblGrid>
      <w:tr>
        <w:tblPrEx/>
        <w:trPr>
          <w:trHeight w:val="359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en-GB"/>
              </w:rPr>
              <w:t xml:space="preserve">8. Операции с ценными бумагами 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       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7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0" w:type="pct"/>
            <w:vAlign w:val="center"/>
            <w:textDirection w:val="lrTb"/>
            <w:noWrap w:val="false"/>
          </w:tcPr>
          <w:p>
            <w:pPr>
              <w:ind w:left="72" w:right="72"/>
              <w:jc w:val="center"/>
              <w:keepNext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pct"/>
            <w:vAlign w:val="center"/>
            <w:textDirection w:val="lrTb"/>
            <w:noWrap w:val="false"/>
          </w:tcPr>
          <w:p>
            <w:pPr>
              <w:ind w:left="7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8.1.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4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Оформление векселя АО «Россельхозбанк»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 включает НДС</w:t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947"/>
        <w:gridCol w:w="4877"/>
        <w:gridCol w:w="1661"/>
        <w:gridCol w:w="1144"/>
        <w:gridCol w:w="1964"/>
      </w:tblGrid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9. Депозитарные услуги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vertAlign w:val="superscript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47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      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Align w:val="center"/>
            <w:textDirection w:val="lrTb"/>
            <w:noWrap w:val="false"/>
          </w:tcPr>
          <w:p>
            <w:pPr>
              <w:ind w:left="540" w:right="-18" w:hanging="540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7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vAlign w:val="center"/>
            <w:textDirection w:val="lrTb"/>
            <w:noWrap w:val="false"/>
          </w:tcPr>
          <w:p>
            <w:pPr>
              <w:ind w:left="72" w:right="72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9.1. Административные операции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9.1.1.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депо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rFonts w:eastAsia="Arial Unicode MS"/>
                <w:iCs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2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000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руб.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,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iCs/>
                <w:sz w:val="20"/>
                <w:szCs w:val="20"/>
              </w:rPr>
            </w:r>
          </w:p>
          <w:p>
            <w:pPr>
              <w:pStyle w:val="923"/>
              <w:jc w:val="center"/>
              <w:spacing w:before="40" w:after="4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Arial Unicode MS"/>
                <w:iCs/>
                <w:sz w:val="20"/>
                <w:szCs w:val="20"/>
              </w:rPr>
              <w:t xml:space="preserve">100 </w:t>
            </w:r>
            <w:r>
              <w:rPr>
                <w:rFonts w:eastAsia="Arial Unicode MS"/>
                <w:iCs/>
                <w:sz w:val="20"/>
                <w:szCs w:val="20"/>
              </w:rPr>
              <w:t xml:space="preserve">руб. за каждый последующий счет</w:t>
            </w:r>
            <w:r>
              <w:rPr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9.1.2.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за каждый раздел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9.1.3.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Ведение счета депо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9.1.4.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20</w:t>
            </w: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000 </w:t>
            </w:r>
            <w:r>
              <w:rPr>
                <w:iCs/>
                <w:sz w:val="20"/>
                <w:szCs w:val="20"/>
              </w:rPr>
              <w:t xml:space="preserve">руб.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9.1.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Закрытие счета депо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9.2. Хранение и учет ценных бумаг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  <w:p>
            <w:pPr>
              <w:pStyle w:val="923"/>
              <w:jc w:val="both"/>
              <w:spacing w:before="40" w:after="40"/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</w:t>
            </w:r>
            <w:r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</w:t>
            </w:r>
            <w:r>
              <w:rPr>
                <w:sz w:val="20"/>
                <w:szCs w:val="20"/>
              </w:rPr>
              <w:t xml:space="preserve">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9.2.3.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bCs/>
                <w:sz w:val="20"/>
                <w:szCs w:val="20"/>
                <w:lang w:val="en-US"/>
              </w:rPr>
              <w:t xml:space="preserve">: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W w:w="2251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9.2.3.1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Хранение неэмиссионных ценных бумаг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имеющих номинальную стоимость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номинальной стоимости ежедневного остатка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9.2.3.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неэмиссионных ценных бумаг, не имеющих номинальной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9.2.4.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выпущенных вне территории Российской Федерации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sz w:val="20"/>
                <w:szCs w:val="20"/>
              </w:rPr>
              <w:t xml:space="preserve">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9.2.5.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Депозитарный учет прав на инвестиционные паи паевых инвестиционных фондов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выпущенных на территории Российской Федерации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jc w:val="both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9.2.6.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4"/>
            <w:tcW w:w="455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Хранение и учет на счете ДЕПО ценных бумаг Депонентов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принятых АО «Россельхозбанк» на брокерское обслуживание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r>
          </w:p>
        </w:tc>
      </w:tr>
      <w:tr>
        <w:tblPrEx/>
        <w:trPr>
          <w:trHeight w:val="96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right w:val="single" w:color="auto" w:sz="4" w:space="0"/>
            </w:tcBorders>
            <w:tcW w:w="230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784" w:type="pct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921"/>
                <w:rFonts w:asciiTheme="minorHAnsi" w:hAnsiTheme="minorHAnsi" w:cstheme="minorHAnsi"/>
                <w:sz w:val="20"/>
                <w:szCs w:val="20"/>
              </w:rPr>
              <w:footnoteReference w:id="3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ценных бумаг (млрд. руб.)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540" w:type="pct"/>
            <w:vAlign w:val="center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%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  <w:p>
            <w:pPr>
              <w:ind w:left="-72" w:right="-101"/>
              <w:jc w:val="center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годовых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</w:tcBorders>
            <w:tcW w:w="92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328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 1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0,026%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 до 5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0,024 %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5 до 10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0,0197%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10 до 20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0,0192%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до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50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72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свыше 50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0,016%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до 0,5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0,019%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0,5 до 1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0,014%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от 1 до 5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0,013%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70"/>
        </w:trPr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eastAsia="Times New Roman" w:asciiTheme="minorHAnsi" w:hAnsiTheme="minorHAnsi" w:cstheme="minorHAnsi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78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свыше 5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540" w:type="pct"/>
            <w:textDirection w:val="lrTb"/>
            <w:noWrap w:val="false"/>
          </w:tcPr>
          <w:p>
            <w:pPr>
              <w:jc w:val="center"/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0,01%</w:t>
            </w:r>
            <w:r>
              <w:rPr>
                <w:rFonts w:eastAsia="Times New Roman" w:asciiTheme="minorHAnsi" w:hAnsiTheme="minorHAnsi" w:cstheme="minorHAnsi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pPr>
              <w:ind w:left="-107" w:right="-18" w:hanging="105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.3.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, за исключением паев инвестиционных фондов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0,035% годовых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минимум 30 руб. в месяц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.4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Депозитарный учет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прав на ин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вестиционные паи паевых инвестиционных фондов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выпущенных вне территории Российской Федерации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100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руб. в месяц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.5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Депозитарный учет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прав на инвестиционные паи паевых инвестиционных фондов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выпущенных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  <w:t xml:space="preserve">на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территории Российской Федерации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 xml:space="preserve">30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руб. в месяц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9.3. Прием/выдача сертификатов ценных бумаг на/с хранение(я)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9.3.1.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Прием сертификатов эмис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ионных ценных бумаг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 руб. за каждый лист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9.3.2.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Выдача сертификатов эмиссионных ценных бумаг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spacing w:before="40" w:after="40"/>
              <w:tabs>
                <w:tab w:val="left" w:pos="540" w:leader="none"/>
              </w:tabs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10 руб. за каждый лист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 300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9.3.3.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 руб. за каждый   лист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9.3.4.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Выдача неэмиссионных ценных бумаг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10 руб. за каждый   лист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мин 300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9.4. Переводы ценных бумаг и иностранных финансовых инструментов по счетам депо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Перевод «поставка / получение, свободная от платежа»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9.4.2.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Перевод «поставка / получение против платежа»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 руб. 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9.4.3.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 на междепозитарные счета АО «Россельхозбанк» в других депозитариях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Комиссия не взимается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9.4.4.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pStyle w:val="923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  <w:lang w:val="en-US"/>
              </w:rPr>
              <w:t xml:space="preserve">00 </w:t>
            </w:r>
            <w:r>
              <w:rPr>
                <w:sz w:val="20"/>
                <w:szCs w:val="20"/>
                <w:lang w:val="en-US"/>
              </w:rPr>
              <w:t xml:space="preserve">руб.</w:t>
            </w:r>
            <w:r>
              <w:rPr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pStyle w:val="923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9.4.5.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Перевод ценных бумаг по разделам счета депо (по счетам  АО «Россельхозбанк», открытым в других депозитариях)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9.4.6.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Переводы ценных бумаг по операциям купли-продажи ценных бумаг, совершенным через брокера  АО «Россельхозбанк»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9.4.7.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Изменение места хранения ценных бумаг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9.4.8.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Гарантированная  поставка ценных  бумаг без  платежа с контролем поступления денежных  средств на счет  Депонента-поставщика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0,1% от суммы сделки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Макс 5000руб.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9.5. Операции по блокировке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9.5.1.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230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90" w:leader="none"/>
              </w:tabs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</w:tcBorders>
            <w:tcW w:w="1324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000 руб.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46" w:leader="none"/>
              </w:tabs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8" w:leader="none"/>
              </w:tabs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vMerge w:val="continue"/>
            <w:textDirection w:val="lrTb"/>
            <w:noWrap w:val="false"/>
          </w:tcPr>
          <w:p>
            <w:pPr>
              <w:ind w:left="-2" w:right="-18"/>
              <w:jc w:val="center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62" w:leader="none"/>
              </w:tabs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14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9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 w:line="240" w:lineRule="atLeast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9.6. Корпоративные действия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Комиссия не взимается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9.6.2.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Оказание содействия в осуществлении депонентом прав по ценным бумаг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 (в том числе иностранных эмитентов ценных бумаг):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1500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10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9.6.3.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500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9.6.4.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1 000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9.6.5.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Комиссия не взимается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9.6.6.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В случае, если сумма перевода меньше суммы комиссии, то перевод дохода не производится, сумма зачисляется в доход Банка. </w:t>
            </w:r>
            <w:r>
              <w:rPr>
                <w:rFonts w:eastAsia="Times New Roman" w:asciiTheme="minorHAnsi" w:hAnsiTheme="minorHAnsi" w:cstheme="minorHAnsi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в рублях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350руб.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в иностранной валюте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2 000 руб.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  <w:p>
            <w:pPr>
              <w:pStyle w:val="9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9.6.7.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pStyle w:val="923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Комиссия не взимается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9.7. Прочие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9.7.1.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rFonts w:eastAsia="Times New Roman" w:asciiTheme="minorHAnsi" w:hAnsiTheme="minorHAnsi" w:cstheme="minorHAnsi"/>
                <w:b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5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tabs>
                <w:tab w:val="left" w:pos="7920" w:leader="none"/>
              </w:tabs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9.8. Информационные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9.8.1.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Комиссия не взимается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9.8.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1 000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9.8.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Комиссия не взимается</w: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9.8.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1964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Ответ формируется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 бумажном носителе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за период до 1 года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1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за период от 1 года (включительно) до 3-х лет (включительно)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3 000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447" w:type="pct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- за период более 3-х лет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5 00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Merge w:val="continue"/>
            <w:textDirection w:val="lrTb"/>
            <w:noWrap w:val="false"/>
          </w:tcPr>
          <w:p>
            <w:r/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9.8.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3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  <w:lang w:val="en-US"/>
              </w:rPr>
              <w:t xml:space="preserve">0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00 руб.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9.8.6.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2302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Предоставление копий поручений, приложений, договоров и других документов (за исключением документов, указанных в п.п. 9.8.7 Тарифов) по запросу Депонента</w:t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100 руб. за лист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W w:w="447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9.8.7.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en-US"/>
              </w:rPr>
            </w:r>
          </w:p>
        </w:tc>
        <w:tc>
          <w:tcPr>
            <w:tcW w:w="2302" w:type="pct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Предоставление отчетов и выписок со счета депо по запросу Депонента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(за исключением документов, указанных в п.п. 9.8.1, 9.8.4 Тарифов)</w:t>
            </w:r>
            <w:r/>
            <w:r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  <w:r>
              <w:rPr>
                <w:rFonts w:eastAsia="Times New Roman" w:asciiTheme="minorHAnsi" w:hAnsiTheme="minorHAnsi" w:cstheme="minorHAnsi"/>
                <w:bCs/>
                <w:sz w:val="20"/>
                <w:szCs w:val="20"/>
              </w:rPr>
            </w:r>
          </w:p>
        </w:tc>
        <w:tc>
          <w:tcPr>
            <w:gridSpan w:val="2"/>
            <w:tcW w:w="1324" w:type="pct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  <w:t xml:space="preserve">На бумажном насителе  - 150 руб. за документ ( без учета количества листов)</w:t>
            </w:r>
            <w:r>
              <w:rPr>
                <w:rFonts w:eastAsia="Times New Roman" w:asciiTheme="minorHAnsi" w:hAnsiTheme="minorHAnsi" w:cstheme="minorHAnsi"/>
                <w:sz w:val="20"/>
                <w:szCs w:val="20"/>
              </w:rPr>
            </w:r>
          </w:p>
        </w:tc>
        <w:tc>
          <w:tcPr>
            <w:tcW w:w="927" w:type="pct"/>
            <w:vMerge w:val="restart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74"/>
        <w:gridCol w:w="4803"/>
        <w:gridCol w:w="2837"/>
        <w:gridCol w:w="1979"/>
      </w:tblGrid>
      <w:tr>
        <w:tblPrEx/>
        <w:trPr>
          <w:trHeight w:val="363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lang w:val="ru-RU"/>
              </w:rPr>
              <w:t xml:space="preserve">10. Услуги платежного агента (при обслуживании эмитентов облигаций)</w:t>
            </w:r>
            <w:r>
              <w:rPr>
                <w:rFonts w:ascii="Times New Roman" w:hAnsi="Times New Roman" w:eastAsia="Times New Roman" w:cs="Times New Roman"/>
                <w:color w:va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vAlign w:val="center"/>
            <w:textDirection w:val="lrTb"/>
            <w:noWrap w:val="false"/>
          </w:tcPr>
          <w:p>
            <w:pPr>
              <w:ind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№       п/п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ind w:left="540" w:right="-18" w:hanging="540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7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ind w:left="72" w:right="72"/>
              <w:jc w:val="center"/>
              <w:keepNext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vAlign w:val="center"/>
            <w:textDirection w:val="lrTb"/>
            <w:noWrap w:val="false"/>
          </w:tcPr>
          <w:p>
            <w:pPr>
              <w:ind w:left="-2" w:right="-18"/>
              <w:jc w:val="center"/>
              <w:tabs>
                <w:tab w:val="left" w:pos="4464" w:leader="none"/>
                <w:tab w:val="left" w:pos="5760" w:leader="none"/>
              </w:tabs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10.1.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Ставки вознаграждения по видам облигаций           (в процентах от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 xml:space="preserve">суммы к распределению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9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  <w:t xml:space="preserve">Ставка вознаграждения       (% от суммы к распределению)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6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</w:tcBorders>
            <w:tcW w:w="226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Величина суммы к распределению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vertAlign w:val="superscript"/>
                <w:lang w:val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339" w:type="pct"/>
            <w:textDirection w:val="lrTb"/>
            <w:noWrap w:val="false"/>
          </w:tcPr>
          <w:p>
            <w:pPr>
              <w:ind w:left="34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18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8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" w:type="pct"/>
            <w:vMerge w:val="restart"/>
            <w:textDirection w:val="lrTb"/>
            <w:noWrap w:val="false"/>
          </w:tcPr>
          <w:p>
            <w:pPr>
              <w:ind w:right="-6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Вознаграждение Банка без учета НДС определяется по каждой выплате по выпуску облигаций.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Ставка вознаграждения Банка указана в процентах за одно перечисление, осуществляемое Банком по поручению эмитента по выпуску облигаций в соответствии с заключенным договором платежного агента. НДС взимается дополнительно</w:t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0"/>
        </w:trPr>
        <w:tc>
          <w:tcPr>
            <w:tcBorders>
              <w:top w:val="single" w:color="auto" w:sz="4" w:space="0"/>
            </w:tcBorders>
            <w:tcW w:w="460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До 5 млн. 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2000                              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(две тысячи) руб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Более 5 млн. до 50 млн. 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0,030%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ind w:left="34" w:right="11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Более 50 млн. до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1 000 млн.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0,025%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ind w:left="34" w:right="11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Более 1 000 млн.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до 5 000 млн.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0,020%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ind w:left="34" w:right="11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Более 5 000 млн.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до 8 000 млн.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0,016%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W w:w="460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2267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Более 8 000 млн. руб.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none" w:color="000000" w:sz="4" w:space="0"/>
            </w:tcBorders>
            <w:tcW w:w="1339" w:type="pct"/>
            <w:vAlign w:val="center"/>
            <w:textDirection w:val="lrTb"/>
            <w:noWrap w:val="false"/>
          </w:tcPr>
          <w:p>
            <w:pPr>
              <w:ind w:left="34"/>
              <w:jc w:val="center"/>
              <w:spacing w:before="40" w:after="4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0,012%,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jc w:val="center"/>
              <w:spacing w:before="40" w:after="40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но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не более 2 млн. руб.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934" w:type="pct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ascii="Times New Roman" w:hAnsi="Times New Roman" w:cs="Times New Roman"/>
                <w:i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  <w:r>
              <w:rPr>
                <w:rFonts w:ascii="Times New Roman" w:hAnsi="Times New Roman" w:cs="Times New Roman"/>
                <w:iCs/>
                <w:color w:val="auto"/>
                <w:lang w:val="ru-RU"/>
              </w:rPr>
            </w:r>
          </w:p>
        </w:tc>
      </w:tr>
    </w:tbl>
    <w:p>
      <w:pPr>
        <w:keepNext/>
        <w:spacing w:before="40"/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outlineLvl w:val="1"/>
      </w:pP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Справочно:</w:t>
      </w: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</w:r>
    </w:p>
    <w:p>
      <w:pPr>
        <w:jc w:val="both"/>
        <w:keepNext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outlineLvl w:val="1"/>
      </w:pPr>
      <w:r>
        <w:rPr>
          <w:rFonts w:ascii="Times New Roman" w:hAnsi="Times New Roman" w:eastAsia="Times New Roman" w:cs="Times New Roman"/>
          <w:iCs/>
          <w:color w:val="auto"/>
          <w:sz w:val="20"/>
          <w:szCs w:val="20"/>
          <w:lang w:val="ru-RU"/>
        </w:rPr>
        <w:t xml:space="preserve">Облигации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- облигации, выпущенные в документарной форме с обязательным централизованным хранением в уполномоченном депозитарии сертификата, оформленного на весь объем выпуска.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jc w:val="both"/>
        <w:rPr>
          <w:rFonts w:ascii="Times New Roman" w:hAnsi="Times New Roman" w:eastAsia="Times New Roman" w:cs="Times New Roman"/>
          <w:color w:val="auto"/>
          <w:sz w:val="6"/>
          <w:szCs w:val="6"/>
          <w:lang w:val="ru-RU"/>
        </w:rPr>
        <w:pBdr>
          <w:bottom w:val="single" w:color="000000" w:sz="4" w:space="1"/>
        </w:pBdr>
      </w:pPr>
      <w:r>
        <w:rPr>
          <w:rFonts w:ascii="Times New Roman" w:hAnsi="Times New Roman" w:eastAsia="Times New Roman" w:cs="Times New Roman"/>
          <w:color w:val="auto"/>
          <w:sz w:val="6"/>
          <w:szCs w:val="6"/>
          <w:lang w:val="ru-RU"/>
        </w:rPr>
      </w:r>
      <w:r>
        <w:rPr>
          <w:rFonts w:ascii="Times New Roman" w:hAnsi="Times New Roman" w:eastAsia="Times New Roman" w:cs="Times New Roman"/>
          <w:color w:val="auto"/>
          <w:sz w:val="6"/>
          <w:szCs w:val="6"/>
          <w:lang w:val="ru-RU"/>
        </w:rPr>
      </w:r>
    </w:p>
    <w:p>
      <w:pPr>
        <w:ind w:right="-17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Под начисленным периодом понимается трехмесячный период или его часть, за который клиентом оплачена соответствующая комиссия по аккредитиву.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ind w:right="-17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тратты; отсчет кварталов производится с даты открытия аккредитива.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</w:r>
    </w:p>
    <w:p>
      <w:pPr>
        <w:ind w:right="-17"/>
        <w:jc w:val="both"/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val="ru-RU"/>
        </w:rPr>
        <w:t xml:space="preserve">3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Расчет производится исходя из действующей суммы обязательства по состоянию на первый день квартала; отсчет кварталов производится с даты выдачи обязательства включительно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</w:r>
    </w:p>
    <w:p>
      <w:pPr>
        <w:ind w:right="-17"/>
        <w:jc w:val="both"/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 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  <w:lang w:val="ru-RU"/>
        </w:rPr>
      </w:r>
    </w:p>
    <w:p>
      <w:pPr>
        <w:ind w:right="-17"/>
        <w:jc w:val="both"/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vertAlign w:val="superscript"/>
          <w:lang w:val="ru-RU"/>
        </w:rPr>
        <w:t xml:space="preserve">5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val="ru-RU"/>
        </w:rPr>
        <w:t xml:space="preserve">Сумма к распределению – сумма денежных средств, поступивших от эмитента облигаций для перечисления депонентам уполномоченного депозитария</w:t>
      </w:r>
      <w:r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auto"/>
          <w:sz w:val="20"/>
          <w:szCs w:val="20"/>
          <w:lang w:val="ru-RU"/>
        </w:rPr>
      </w:r>
    </w:p>
    <w:p>
      <w:pPr>
        <w:jc w:val="center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</w:r>
      <w:r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</w:r>
    </w:p>
    <w:p>
      <w:pPr>
        <w:jc w:val="center"/>
        <w:spacing w:after="120"/>
        <w:tabs>
          <w:tab w:val="center" w:pos="1260" w:leader="none"/>
          <w:tab w:val="right" w:pos="9355" w:leader="none"/>
        </w:tabs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</w:pPr>
      <w:r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  <w:t xml:space="preserve">11. Операции с монетами из драгоценных металлов</w:t>
      </w:r>
      <w:r>
        <w:rPr>
          <w:rFonts w:ascii="Times New Roman" w:hAnsi="Times New Roman" w:eastAsia="Times New Roman" w:cs="Times New Roman"/>
          <w:b/>
          <w:color w:val="auto"/>
          <w:szCs w:val="20"/>
          <w:lang w:val="ru-RU"/>
        </w:rPr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19"/>
        <w:gridCol w:w="2552"/>
        <w:gridCol w:w="1843"/>
      </w:tblGrid>
      <w:tr>
        <w:tblPrEx/>
        <w:trPr>
          <w:trHeight w:val="88"/>
        </w:trPr>
        <w:tc>
          <w:tcPr>
            <w:tcW w:w="95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11.1.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tabs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Характеристика и количество монет: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tabs>
                <w:tab w:val="center" w:pos="426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золото, качество чеканки «анциркулейтед», 7,78 г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 300 до 499 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 500 до 999 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 1000 до 1499 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 1500 и более 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- серебро, качество чеканки «анциркулейтед», 31,1 г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175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от 500 и более 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firstLine="709"/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709"/>
              <w:jc w:val="both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300 руб./шт.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280 руб./шт.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260 руб./шт.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240 руб./шт.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150 руб./шт.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  <w:t xml:space="preserve">Комиссия включает НДС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ind w:right="-17"/>
        <w:jc w:val="both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p>
      <w:pPr>
        <w:ind w:left="720"/>
        <w:jc w:val="center"/>
        <w:spacing w:after="120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val="ru-RU"/>
        </w:rPr>
        <w:t xml:space="preserve">13. Сделки на Монетной площадке Банка России</w:t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tbl>
      <w:tblPr>
        <w:tblW w:w="4802" w:type="pct"/>
        <w:tblLayout w:type="fixed"/>
        <w:tblLook w:val="0000" w:firstRow="0" w:lastRow="0" w:firstColumn="0" w:lastColumn="0" w:noHBand="0" w:noVBand="0"/>
      </w:tblPr>
      <w:tblGrid>
        <w:gridCol w:w="972"/>
        <w:gridCol w:w="4806"/>
        <w:gridCol w:w="2552"/>
        <w:gridCol w:w="184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  <w:t xml:space="preserve">Наименование услуги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  <w:t xml:space="preserve">Тариф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12.1.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Выдача монеты Банка России в рамках сделок, заключенных на Монетной площадке Банка России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pct"/>
            <w:textDirection w:val="lrTb"/>
            <w:noWrap w:val="false"/>
          </w:tcPr>
          <w:p>
            <w:pPr>
              <w:spacing w:before="120" w:after="12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0-1% от суммы сделки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Услуга предоставляется при наличии заключенного с                     АО «Россельхозбанк» Договора на получение (сдачу) монеты Банка России в рамках сделок, согласованных на Монетной площадке Банка России.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spacing w:before="120" w:after="120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указана за одну сделку, взимается в дату, указанную в Заявке на получение монеты Банка России.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12.2.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2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Размен банкнот на монеты Банка России в рамках сделок, заключенных на Монетной площадке Банка России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54" w:type="pc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0-1% от суммы сделки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Услуга предоставляется при наличии заключенного с                           АО «Россельхозбанк» Договора на получение (сдачу) монеты Банка России в рамках сделок,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согласованных на Монетной площадке Банка России. 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Комиссия указана за одну сделку, взимается в дату, указанную в Заявке о размене банкнот Банка России на монету Банка России.».</w:t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  <w:lang w:val="ru-RU"/>
              </w:rPr>
            </w:r>
          </w:p>
        </w:tc>
      </w:tr>
    </w:tbl>
    <w:p>
      <w:pPr>
        <w:ind w:right="-17"/>
        <w:jc w:val="both"/>
        <w:rPr>
          <w:rFonts w:ascii="Times New Roman" w:hAnsi="Times New Roman" w:eastAsia="Times New Roman" w:cs="Times New Roman"/>
          <w:color w:val="auto"/>
          <w:lang w:val="ru-RU"/>
        </w:rPr>
      </w:pPr>
      <w:r>
        <w:rPr>
          <w:rFonts w:ascii="Times New Roman" w:hAnsi="Times New Roman" w:eastAsia="Times New Roman" w:cs="Times New Roman"/>
          <w:color w:val="auto"/>
          <w:lang w:val="ru-RU"/>
        </w:rPr>
      </w:r>
      <w:r>
        <w:rPr>
          <w:rFonts w:ascii="Times New Roman" w:hAnsi="Times New Roman" w:eastAsia="Times New Roman" w:cs="Times New Roman"/>
          <w:color w:val="auto"/>
          <w:lang w:val="ru-RU"/>
        </w:rPr>
      </w:r>
    </w:p>
    <w:sectPr>
      <w:headerReference w:type="default" r:id="rId12"/>
      <w:footnotePr/>
      <w:endnotePr/>
      <w:type w:val="continuous"/>
      <w:pgSz w:w="11905" w:h="16837" w:orient="portrait"/>
      <w:pgMar w:top="695" w:right="404" w:bottom="753" w:left="1124" w:header="0" w:footer="3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Times New Roman CYR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Arial Unicode MS">
    <w:panose1 w:val="020B0506020203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  <w:footnote w:id="2">
    <w:p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Style w:val="92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 [номер сноски указывается в соответствии с нумерацией сносок в </w:t>
      </w:r>
      <w:r>
        <w:rPr>
          <w:rFonts w:asciiTheme="minorHAnsi" w:hAnsiTheme="minorHAnsi" w:cstheme="minorHAnsi"/>
          <w:bCs/>
          <w:sz w:val="20"/>
          <w:szCs w:val="20"/>
        </w:rPr>
        <w:t xml:space="preserve">Тарифы комиссионного вознаграждения </w:t>
      </w:r>
      <w:r>
        <w:rPr>
          <w:rFonts w:asciiTheme="minorHAnsi" w:hAnsiTheme="minorHAnsi" w:cstheme="minorHAnsi"/>
          <w:bCs/>
          <w:sz w:val="20"/>
          <w:szCs w:val="20"/>
        </w:rPr>
      </w:r>
    </w:p>
    <w:p>
      <w:pPr>
        <w:pStyle w:val="9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АО «Россельхозбанк» на услуги кредитным организациям</w:t>
      </w:r>
      <w:r>
        <w:rPr>
          <w:rFonts w:asciiTheme="minorHAnsi" w:hAnsiTheme="minorHAnsi" w:cstheme="minorHAnsi"/>
        </w:rPr>
        <w:t xml:space="preserve">]</w:t>
      </w:r>
      <w:r>
        <w:rPr>
          <w:rFonts w:asciiTheme="minorHAnsi" w:hAnsiTheme="minorHAnsi" w:cstheme="minorHAnsi"/>
        </w:rPr>
      </w:r>
    </w:p>
    <w:p>
      <w:pPr>
        <w:pStyle w:val="9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Пункт не распространяется на корреспондентские счета в драгоценных металлах. </w:t>
      </w:r>
      <w:r>
        <w:rPr>
          <w:rFonts w:asciiTheme="minorHAnsi" w:hAnsiTheme="minorHAnsi" w:cstheme="minorHAnsi"/>
        </w:rPr>
      </w:r>
    </w:p>
  </w:footnote>
  <w:footnote w:id="3"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Theme="minorHAnsi" w:hAnsiTheme="minorHAnsi" w:cstheme="minorHAnsi"/>
          <w:sz w:val="20"/>
          <w:szCs w:val="20"/>
          <w:highlight w:val="none"/>
        </w:rPr>
      </w:pPr>
      <w:r>
        <w:rPr>
          <w:rStyle w:val="92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Theme="minorHAnsi" w:hAnsiTheme="minorHAnsi" w:cstheme="minorHAnsi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</w:t>
      </w:r>
      <w:r>
        <w:rPr>
          <w:rFonts w:asciiTheme="minorHAnsi" w:hAnsiTheme="minorHAnsi" w:cstheme="minorHAnsi"/>
          <w:bCs/>
          <w:sz w:val="20"/>
          <w:szCs w:val="20"/>
        </w:rP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rFonts w:asciiTheme="minorHAnsi" w:hAnsiTheme="minorHAnsi" w:cstheme="minorHAnsi"/>
          <w:sz w:val="20"/>
          <w:szCs w:val="20"/>
          <w:highlight w:val="none"/>
        </w:rPr>
      </w:r>
    </w:p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rFonts w:ascii="Times New Roman" w:hAnsi="Times New Roman" w:cs="Times New Roman" w:asciiTheme="minorHAnsi" w:hAnsiTheme="minorHAnsi" w:cstheme="minorHAnsi"/>
          <w:sz w:val="20"/>
          <w:szCs w:val="20"/>
          <w:highlight w:val="none"/>
        </w:rPr>
      </w:pPr>
      <w:r>
        <w:rPr>
          <w:sz w:val="12"/>
          <w:szCs w:val="12"/>
          <w:vertAlign w:val="baseline"/>
        </w:rPr>
        <w:t xml:space="preserve">3</w:t>
      </w:r>
      <w:r>
        <w:rPr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настоящем разделе термин “Депонент” используется в значении, определенном ст.7 Федерального закона от 22.04.1996 №39-ФЗ “О рынке ценных бумаг”.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</w:p>
    <w:p>
      <w:pPr>
        <w:ind w:right="-17"/>
        <w:jc w:val="both"/>
        <w:spacing w:before="40" w:after="40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  <w:highlight w:val="none"/>
        </w:rPr>
      </w:r>
      <w:r>
        <w:rPr>
          <w:rFonts w:asciiTheme="minorHAnsi" w:hAnsiTheme="minorHAnsi" w:cstheme="minorHAnsi"/>
          <w:bCs/>
          <w:sz w:val="20"/>
          <w:szCs w:val="20"/>
          <w:highlight w:val="non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ind w:left="6192"/>
      <w:shd w:val="clear" w:color="auto" w:fill="auto"/>
      <w:framePr w:w="11909" w:h="134" w:wrap="none" w:vAnchor="text" w:hAnchor="page" w:x="-5" w:y="593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866"/>
      </w:rPr>
      <w:t xml:space="preserve">2</w:t>
    </w:r>
    <w:r>
      <w:rPr>
        <w:rStyle w:val="866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22327173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  <w:r/>
      </w:p>
    </w:sdtContent>
  </w:sdt>
  <w:p>
    <w:pPr>
      <w:pStyle w:val="90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29318918"/>
      <w:docPartObj>
        <w:docPartGallery w:val="Page Numbers (Top of Page)"/>
        <w:docPartUnique w:val="true"/>
      </w:docPartObj>
      <w:rPr/>
    </w:sdtPr>
    <w:sdtContent>
      <w:p>
        <w:pPr>
          <w:pStyle w:val="90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12</w:t>
        </w:r>
        <w:r>
          <w:fldChar w:fldCharType="end"/>
        </w:r>
        <w:r/>
      </w:p>
    </w:sdtContent>
  </w:sdt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30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84" w:hanging="284"/>
        <w:tabs>
          <w:tab w:val="num" w:pos="360" w:leader="none"/>
        </w:tabs>
      </w:pPr>
      <w:rPr>
        <w:rFonts w:hint="default" w:ascii="Symbol" w:hAnsi="Symbol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15"/>
        <w:szCs w:val="15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  <w:tabs>
          <w:tab w:val="num" w:pos="12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82" w:hanging="360"/>
        <w:tabs>
          <w:tab w:val="num" w:pos="2782" w:leader="none"/>
        </w:tabs>
      </w:pPr>
      <w:rPr>
        <w:rFonts w:hint="default" w:ascii="Symbol" w:hAnsi="Symbol" w:eastAsia="Times New Roman" w:cs="Times New Roman"/>
        <w:i w:val="0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8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  <w:tabs>
          <w:tab w:val="num" w:pos="792" w:leader="none"/>
        </w:tabs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  <w:lang w:val="ru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02" w:hanging="360"/>
        <w:tabs>
          <w:tab w:val="num" w:pos="140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0" w:hanging="360"/>
        <w:tabs>
          <w:tab w:val="num" w:pos="147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0" w:hanging="360"/>
        <w:tabs>
          <w:tab w:val="num" w:pos="219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0" w:hanging="360"/>
        <w:tabs>
          <w:tab w:val="num" w:pos="291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0" w:hanging="360"/>
        <w:tabs>
          <w:tab w:val="num" w:pos="363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0" w:hanging="360"/>
        <w:tabs>
          <w:tab w:val="num" w:pos="435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0" w:hanging="360"/>
        <w:tabs>
          <w:tab w:val="num" w:pos="507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0" w:hanging="360"/>
        <w:tabs>
          <w:tab w:val="num" w:pos="579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0" w:hanging="360"/>
        <w:tabs>
          <w:tab w:val="num" w:pos="6510" w:leader="none"/>
        </w:tabs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554" w:hanging="360"/>
        <w:tabs>
          <w:tab w:val="num" w:pos="1554" w:leader="none"/>
        </w:tabs>
      </w:pPr>
      <w:rPr>
        <w:rFonts w:hint="default"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  <w:tabs>
          <w:tab w:val="num" w:pos="214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  <w:tabs>
          <w:tab w:val="num" w:pos="286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  <w:tabs>
          <w:tab w:val="num" w:pos="358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  <w:tabs>
          <w:tab w:val="num" w:pos="430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  <w:tabs>
          <w:tab w:val="num" w:pos="502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  <w:tabs>
          <w:tab w:val="num" w:pos="574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  <w:tabs>
          <w:tab w:val="num" w:pos="646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  <w:tabs>
          <w:tab w:val="num" w:pos="7189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52" w:hanging="360"/>
        <w:tabs>
          <w:tab w:val="num" w:pos="115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  <w:tabs>
          <w:tab w:val="num" w:pos="1512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  <w:tabs>
          <w:tab w:val="num" w:pos="223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  <w:tabs>
          <w:tab w:val="num" w:pos="295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  <w:tabs>
          <w:tab w:val="num" w:pos="3672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  <w:tabs>
          <w:tab w:val="num" w:pos="439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  <w:tabs>
          <w:tab w:val="num" w:pos="511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  <w:tabs>
          <w:tab w:val="num" w:pos="5832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  <w:tabs>
          <w:tab w:val="num" w:pos="6552" w:leader="none"/>
        </w:tabs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hint="default" w:ascii="Wingdings" w:hAnsi="Wingdings"/>
      </w:rPr>
    </w:lvl>
  </w:abstractNum>
  <w:num w:numId="1">
    <w:abstractNumId w:val="18"/>
  </w:num>
  <w:num w:numId="2">
    <w:abstractNumId w:val="12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27"/>
  </w:num>
  <w:num w:numId="8">
    <w:abstractNumId w:val="15"/>
  </w:num>
  <w:num w:numId="9">
    <w:abstractNumId w:val="21"/>
  </w:num>
  <w:num w:numId="10">
    <w:abstractNumId w:val="3"/>
  </w:num>
  <w:num w:numId="11">
    <w:abstractNumId w:val="25"/>
  </w:num>
  <w:num w:numId="12">
    <w:abstractNumId w:val="20"/>
  </w:num>
  <w:num w:numId="13">
    <w:abstractNumId w:val="24"/>
  </w:num>
  <w:num w:numId="14">
    <w:abstractNumId w:val="1"/>
  </w:num>
  <w:num w:numId="15">
    <w:abstractNumId w:val="17"/>
  </w:num>
  <w:num w:numId="16">
    <w:abstractNumId w:val="23"/>
  </w:num>
  <w:num w:numId="17">
    <w:abstractNumId w:val="14"/>
  </w:num>
  <w:num w:numId="18">
    <w:abstractNumId w:val="28"/>
  </w:num>
  <w:num w:numId="19">
    <w:abstractNumId w:val="9"/>
  </w:num>
  <w:num w:numId="20">
    <w:abstractNumId w:val="2"/>
  </w:num>
  <w:num w:numId="21">
    <w:abstractNumId w:val="11"/>
  </w:num>
  <w:num w:numId="22">
    <w:abstractNumId w:val="0"/>
  </w:num>
  <w:num w:numId="23">
    <w:abstractNumId w:val="13"/>
  </w:num>
  <w:num w:numId="24">
    <w:abstractNumId w:val="26"/>
  </w:num>
  <w:num w:numId="25">
    <w:abstractNumId w:val="10"/>
  </w:num>
  <w:num w:numId="26">
    <w:abstractNumId w:val="5"/>
  </w:num>
  <w:num w:numId="27">
    <w:abstractNumId w:val="16"/>
  </w:num>
  <w:num w:numId="28">
    <w:abstractNumId w:val="22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55"/>
    <w:link w:val="84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55"/>
    <w:link w:val="84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55"/>
    <w:link w:val="84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55"/>
    <w:link w:val="85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55"/>
    <w:link w:val="85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55"/>
    <w:link w:val="85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55"/>
    <w:link w:val="8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55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46"/>
    <w:next w:val="84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46"/>
    <w:next w:val="84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55"/>
    <w:link w:val="34"/>
    <w:uiPriority w:val="10"/>
    <w:rPr>
      <w:sz w:val="48"/>
      <w:szCs w:val="48"/>
    </w:rPr>
  </w:style>
  <w:style w:type="paragraph" w:styleId="36">
    <w:name w:val="Subtitle"/>
    <w:basedOn w:val="846"/>
    <w:next w:val="84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55"/>
    <w:link w:val="36"/>
    <w:uiPriority w:val="11"/>
    <w:rPr>
      <w:sz w:val="24"/>
      <w:szCs w:val="24"/>
    </w:rPr>
  </w:style>
  <w:style w:type="paragraph" w:styleId="38">
    <w:name w:val="Quote"/>
    <w:basedOn w:val="846"/>
    <w:next w:val="84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46"/>
    <w:next w:val="84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55"/>
    <w:link w:val="906"/>
    <w:uiPriority w:val="99"/>
  </w:style>
  <w:style w:type="character" w:styleId="45">
    <w:name w:val="Footer Char"/>
    <w:basedOn w:val="855"/>
    <w:link w:val="913"/>
    <w:uiPriority w:val="99"/>
  </w:style>
  <w:style w:type="paragraph" w:styleId="46">
    <w:name w:val="Caption"/>
    <w:basedOn w:val="846"/>
    <w:next w:val="84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919"/>
    <w:uiPriority w:val="99"/>
    <w:rPr>
      <w:sz w:val="18"/>
    </w:rPr>
  </w:style>
  <w:style w:type="character" w:styleId="179">
    <w:name w:val="Endnote Text Char"/>
    <w:link w:val="931"/>
    <w:uiPriority w:val="99"/>
    <w:rPr>
      <w:sz w:val="20"/>
    </w:rPr>
  </w:style>
  <w:style w:type="paragraph" w:styleId="181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183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rPr>
      <w:color w:val="000000"/>
    </w:rPr>
  </w:style>
  <w:style w:type="paragraph" w:styleId="847">
    <w:name w:val="Heading 1"/>
    <w:basedOn w:val="846"/>
    <w:next w:val="846"/>
    <w:link w:val="892"/>
    <w:qFormat/>
    <w:pPr>
      <w:jc w:val="both"/>
      <w:keepNext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val="ru-RU"/>
    </w:rPr>
  </w:style>
  <w:style w:type="paragraph" w:styleId="848">
    <w:name w:val="Heading 2"/>
    <w:basedOn w:val="846"/>
    <w:next w:val="846"/>
    <w:link w:val="893"/>
    <w:qFormat/>
    <w:pPr>
      <w:jc w:val="center"/>
      <w:keepNext/>
      <w:outlineLvl w:val="1"/>
    </w:pPr>
    <w:rPr>
      <w:rFonts w:ascii="Times New Roman" w:hAnsi="Times New Roman" w:eastAsia="Times New Roman" w:cs="Times New Roman"/>
      <w:b/>
      <w:bCs/>
      <w:color w:val="auto"/>
      <w:sz w:val="18"/>
      <w:szCs w:val="18"/>
      <w:lang w:val="ru-RU"/>
    </w:rPr>
  </w:style>
  <w:style w:type="paragraph" w:styleId="849">
    <w:name w:val="Heading 3"/>
    <w:basedOn w:val="846"/>
    <w:next w:val="846"/>
    <w:link w:val="894"/>
    <w:qFormat/>
    <w:pPr>
      <w:ind w:left="-2" w:right="-18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2"/>
    </w:pPr>
    <w:rPr>
      <w:rFonts w:ascii="Times New Roman" w:hAnsi="Times New Roman" w:eastAsia="Times New Roman" w:cs="Times New Roman"/>
      <w:b/>
      <w:bCs/>
      <w:color w:val="auto"/>
      <w:sz w:val="18"/>
      <w:szCs w:val="18"/>
      <w:lang w:val="ru-RU"/>
    </w:rPr>
  </w:style>
  <w:style w:type="paragraph" w:styleId="850">
    <w:name w:val="Heading 4"/>
    <w:basedOn w:val="846"/>
    <w:next w:val="846"/>
    <w:link w:val="895"/>
    <w:qFormat/>
    <w:pPr>
      <w:ind w:left="421" w:right="-18" w:hanging="529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3"/>
    </w:pPr>
    <w:rPr>
      <w:rFonts w:ascii="Times New Roman" w:hAnsi="Times New Roman" w:eastAsia="Times New Roman" w:cs="Times New Roman"/>
      <w:b/>
      <w:bCs/>
      <w:color w:val="auto"/>
      <w:sz w:val="18"/>
      <w:szCs w:val="18"/>
      <w:lang w:val="ru-RU"/>
    </w:rPr>
  </w:style>
  <w:style w:type="paragraph" w:styleId="851">
    <w:name w:val="Heading 5"/>
    <w:basedOn w:val="846"/>
    <w:next w:val="846"/>
    <w:link w:val="896"/>
    <w:qFormat/>
    <w:pPr>
      <w:ind w:left="567" w:right="567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4"/>
    </w:pPr>
    <w:rPr>
      <w:rFonts w:ascii="Times New Roman" w:hAnsi="Times New Roman" w:eastAsia="Times New Roman" w:cs="Times New Roman"/>
      <w:b/>
      <w:bCs/>
      <w:color w:val="auto"/>
      <w:sz w:val="22"/>
      <w:szCs w:val="22"/>
      <w:lang w:val="ru-RU"/>
    </w:rPr>
  </w:style>
  <w:style w:type="paragraph" w:styleId="852">
    <w:name w:val="Heading 6"/>
    <w:basedOn w:val="846"/>
    <w:next w:val="846"/>
    <w:link w:val="897"/>
    <w:qFormat/>
    <w:pPr>
      <w:ind w:left="-108" w:right="-18"/>
      <w:jc w:val="both"/>
      <w:keepNext/>
      <w:spacing w:line="240" w:lineRule="atLeast"/>
      <w:tabs>
        <w:tab w:val="left" w:pos="4464" w:leader="none"/>
        <w:tab w:val="left" w:pos="5760" w:leader="none"/>
      </w:tabs>
      <w:outlineLvl w:val="5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ru-RU"/>
    </w:rPr>
  </w:style>
  <w:style w:type="paragraph" w:styleId="853">
    <w:name w:val="Heading 7"/>
    <w:basedOn w:val="846"/>
    <w:next w:val="846"/>
    <w:link w:val="898"/>
    <w:qFormat/>
    <w:pPr>
      <w:ind w:left="-108"/>
      <w:keepNext/>
      <w:outlineLvl w:val="6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ru-RU"/>
    </w:rPr>
  </w:style>
  <w:style w:type="paragraph" w:styleId="854">
    <w:name w:val="Heading 8"/>
    <w:basedOn w:val="846"/>
    <w:next w:val="846"/>
    <w:link w:val="899"/>
    <w:qFormat/>
    <w:pPr>
      <w:ind w:left="540" w:right="-18" w:hanging="540"/>
      <w:jc w:val="center"/>
      <w:keepNext/>
      <w:spacing w:line="240" w:lineRule="atLeast"/>
      <w:tabs>
        <w:tab w:val="left" w:pos="4464" w:leader="none"/>
        <w:tab w:val="left" w:pos="5760" w:leader="none"/>
      </w:tabs>
      <w:outlineLvl w:val="7"/>
    </w:pPr>
    <w:rPr>
      <w:rFonts w:ascii="Times New Roman" w:hAnsi="Times New Roman" w:eastAsia="Times New Roman" w:cs="Times New Roman"/>
      <w:i/>
      <w:iCs/>
      <w:color w:val="auto"/>
      <w:lang w:val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Hyperlink"/>
    <w:basedOn w:val="855"/>
    <w:rPr>
      <w:color w:val="000080"/>
      <w:u w:val="single"/>
    </w:rPr>
  </w:style>
  <w:style w:type="character" w:styleId="859" w:customStyle="1">
    <w:name w:val="Основной текст (5)_"/>
    <w:basedOn w:val="855"/>
    <w:link w:val="876"/>
    <w:rPr>
      <w:rFonts w:ascii="Calibri" w:hAnsi="Calibri" w:eastAsia="Calibri" w:cs="Calibri"/>
      <w:b w:val="0"/>
      <w:bCs w:val="0"/>
      <w:i w:val="0"/>
      <w:iCs w:val="0"/>
      <w:smallCaps w:val="0"/>
      <w:strike w:val="0"/>
      <w:spacing w:val="-10"/>
      <w:sz w:val="44"/>
      <w:szCs w:val="44"/>
    </w:rPr>
  </w:style>
  <w:style w:type="character" w:styleId="860" w:customStyle="1">
    <w:name w:val="Основной текст (5)"/>
    <w:basedOn w:val="859"/>
    <w:rPr>
      <w:rFonts w:ascii="Calibri" w:hAnsi="Calibri" w:eastAsia="Calibri" w:cs="Calibri"/>
      <w:b w:val="0"/>
      <w:bCs w:val="0"/>
      <w:i w:val="0"/>
      <w:iCs w:val="0"/>
      <w:smallCaps w:val="0"/>
      <w:strike w:val="0"/>
      <w:spacing w:val="-10"/>
      <w:sz w:val="44"/>
      <w:szCs w:val="44"/>
    </w:rPr>
  </w:style>
  <w:style w:type="character" w:styleId="861" w:customStyle="1">
    <w:name w:val="Основной текст (2)_"/>
    <w:basedOn w:val="855"/>
    <w:link w:val="87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styleId="862" w:customStyle="1">
    <w:name w:val="Основной текст (3)_"/>
    <w:basedOn w:val="855"/>
    <w:link w:val="87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30"/>
      <w:sz w:val="41"/>
      <w:szCs w:val="41"/>
    </w:rPr>
  </w:style>
  <w:style w:type="character" w:styleId="863" w:customStyle="1">
    <w:name w:val="Основной текст (4)_"/>
    <w:basedOn w:val="855"/>
    <w:link w:val="879"/>
    <w:rPr>
      <w:rFonts w:ascii="Calibri" w:hAnsi="Calibri" w:eastAsia="Calibri" w:cs="Calibri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styleId="864" w:customStyle="1">
    <w:name w:val="Заголовок №1_"/>
    <w:basedOn w:val="855"/>
    <w:link w:val="88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865" w:customStyle="1">
    <w:name w:val="Колонтитул_"/>
    <w:basedOn w:val="855"/>
    <w:link w:val="8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styleId="866" w:customStyle="1">
    <w:name w:val="Колонтитул + 9;5 pt"/>
    <w:basedOn w:val="86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867" w:customStyle="1">
    <w:name w:val="Оглавление 2 Знак"/>
    <w:basedOn w:val="855"/>
    <w:link w:val="88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868" w:customStyle="1">
    <w:name w:val="Заголовок №2_"/>
    <w:basedOn w:val="855"/>
    <w:link w:val="8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869" w:customStyle="1">
    <w:name w:val="Основной текст_"/>
    <w:basedOn w:val="855"/>
    <w:link w:val="88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870" w:customStyle="1">
    <w:name w:val="Подпись к таблице (2)_"/>
    <w:basedOn w:val="855"/>
    <w:link w:val="88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871" w:customStyle="1">
    <w:name w:val="Основной текст (6)_"/>
    <w:basedOn w:val="855"/>
    <w:link w:val="88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872" w:customStyle="1">
    <w:name w:val="Основной текст (7)_"/>
    <w:basedOn w:val="855"/>
    <w:link w:val="88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styleId="873" w:customStyle="1">
    <w:name w:val="Основной текст (8)_"/>
    <w:basedOn w:val="855"/>
    <w:link w:val="88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874" w:customStyle="1">
    <w:name w:val="Основной текст (9)_"/>
    <w:basedOn w:val="855"/>
    <w:link w:val="88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styleId="875" w:customStyle="1">
    <w:name w:val="Подпись к таблице_"/>
    <w:basedOn w:val="855"/>
    <w:link w:val="89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styleId="876" w:customStyle="1">
    <w:name w:val="Основной текст (5)"/>
    <w:basedOn w:val="846"/>
    <w:link w:val="859"/>
    <w:pPr>
      <w:spacing w:line="0" w:lineRule="atLeast"/>
      <w:shd w:val="clear" w:color="auto" w:fill="ffffff"/>
    </w:pPr>
    <w:rPr>
      <w:rFonts w:ascii="Calibri" w:hAnsi="Calibri" w:eastAsia="Calibri" w:cs="Calibri"/>
      <w:spacing w:val="-10"/>
      <w:sz w:val="44"/>
      <w:szCs w:val="44"/>
    </w:rPr>
  </w:style>
  <w:style w:type="paragraph" w:styleId="877" w:customStyle="1">
    <w:name w:val="Основной текст (2)"/>
    <w:basedOn w:val="846"/>
    <w:link w:val="861"/>
    <w:pPr>
      <w:jc w:val="center"/>
      <w:spacing w:after="2220" w:line="379" w:lineRule="exact"/>
      <w:shd w:val="clear" w:color="auto" w:fill="ffffff"/>
    </w:pPr>
    <w:rPr>
      <w:rFonts w:ascii="Times New Roman" w:hAnsi="Times New Roman" w:eastAsia="Times New Roman" w:cs="Times New Roman"/>
      <w:spacing w:val="20"/>
      <w:sz w:val="27"/>
      <w:szCs w:val="27"/>
    </w:rPr>
  </w:style>
  <w:style w:type="paragraph" w:styleId="878" w:customStyle="1">
    <w:name w:val="Основной текст (3)"/>
    <w:basedOn w:val="846"/>
    <w:link w:val="862"/>
    <w:pPr>
      <w:ind w:firstLine="420"/>
      <w:spacing w:before="2220" w:after="540" w:line="562" w:lineRule="exact"/>
      <w:shd w:val="clear" w:color="auto" w:fill="ffffff"/>
    </w:pPr>
    <w:rPr>
      <w:rFonts w:ascii="Times New Roman" w:hAnsi="Times New Roman" w:eastAsia="Times New Roman" w:cs="Times New Roman"/>
      <w:spacing w:val="30"/>
      <w:sz w:val="41"/>
      <w:szCs w:val="41"/>
    </w:rPr>
  </w:style>
  <w:style w:type="paragraph" w:styleId="879" w:customStyle="1">
    <w:name w:val="Основной текст (4)"/>
    <w:basedOn w:val="846"/>
    <w:link w:val="863"/>
    <w:pPr>
      <w:jc w:val="center"/>
      <w:spacing w:before="540" w:after="7500" w:line="0" w:lineRule="atLeast"/>
      <w:shd w:val="clear" w:color="auto" w:fill="ffffff"/>
    </w:pPr>
    <w:rPr>
      <w:rFonts w:ascii="Calibri" w:hAnsi="Calibri" w:eastAsia="Calibri" w:cs="Calibri"/>
      <w:sz w:val="31"/>
      <w:szCs w:val="31"/>
    </w:rPr>
  </w:style>
  <w:style w:type="paragraph" w:styleId="880" w:customStyle="1">
    <w:name w:val="Заголовок №1"/>
    <w:basedOn w:val="846"/>
    <w:link w:val="864"/>
    <w:pPr>
      <w:spacing w:after="300"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1" w:customStyle="1">
    <w:name w:val="Колонтитул"/>
    <w:basedOn w:val="846"/>
    <w:link w:val="865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882">
    <w:name w:val="toc 2"/>
    <w:basedOn w:val="846"/>
    <w:link w:val="867"/>
    <w:pPr>
      <w:spacing w:before="300" w:line="408" w:lineRule="exact"/>
      <w:shd w:val="clear" w:color="auto" w:fill="ffffff"/>
    </w:pPr>
    <w:rPr>
      <w:rFonts w:ascii="Times New Roman" w:hAnsi="Times New Roman" w:eastAsia="Times New Roman" w:cs="Times New Roman"/>
      <w:sz w:val="21"/>
      <w:szCs w:val="21"/>
    </w:rPr>
  </w:style>
  <w:style w:type="paragraph" w:styleId="883" w:customStyle="1">
    <w:name w:val="Заголовок №2"/>
    <w:basedOn w:val="846"/>
    <w:link w:val="868"/>
    <w:pPr>
      <w:spacing w:after="300" w:line="0" w:lineRule="atLeas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4" w:customStyle="1">
    <w:name w:val="Основной текст1"/>
    <w:basedOn w:val="846"/>
    <w:link w:val="869"/>
    <w:pPr>
      <w:ind w:hanging="360"/>
      <w:jc w:val="both"/>
      <w:spacing w:before="300" w:line="230" w:lineRule="exact"/>
      <w:shd w:val="clear" w:color="auto" w:fill="ffffff"/>
    </w:pPr>
    <w:rPr>
      <w:rFonts w:ascii="Times New Roman" w:hAnsi="Times New Roman" w:eastAsia="Times New Roman" w:cs="Times New Roman"/>
      <w:sz w:val="19"/>
      <w:szCs w:val="19"/>
    </w:rPr>
  </w:style>
  <w:style w:type="paragraph" w:styleId="885" w:customStyle="1">
    <w:name w:val="Подпись к таблице (2)"/>
    <w:basedOn w:val="846"/>
    <w:link w:val="870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6" w:customStyle="1">
    <w:name w:val="Основной текст (6)"/>
    <w:basedOn w:val="846"/>
    <w:link w:val="871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887" w:customStyle="1">
    <w:name w:val="Основной текст (7)"/>
    <w:basedOn w:val="846"/>
    <w:link w:val="872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888" w:customStyle="1">
    <w:name w:val="Основной текст (8)"/>
    <w:basedOn w:val="846"/>
    <w:link w:val="873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889" w:customStyle="1">
    <w:name w:val="Основной текст (9)"/>
    <w:basedOn w:val="846"/>
    <w:link w:val="874"/>
    <w:pPr>
      <w:jc w:val="right"/>
      <w:spacing w:line="0" w:lineRule="atLeast"/>
      <w:shd w:val="clear" w:color="auto" w:fill="ffffff"/>
    </w:pPr>
    <w:rPr>
      <w:rFonts w:ascii="Times New Roman" w:hAnsi="Times New Roman" w:eastAsia="Times New Roman" w:cs="Times New Roman"/>
      <w:sz w:val="12"/>
      <w:szCs w:val="12"/>
    </w:rPr>
  </w:style>
  <w:style w:type="paragraph" w:styleId="890" w:customStyle="1">
    <w:name w:val="Подпись к таблице"/>
    <w:basedOn w:val="846"/>
    <w:link w:val="875"/>
    <w:pPr>
      <w:jc w:val="both"/>
      <w:spacing w:line="182" w:lineRule="exact"/>
      <w:shd w:val="clear" w:color="auto" w:fill="ffffff"/>
    </w:pPr>
    <w:rPr>
      <w:rFonts w:ascii="Times New Roman" w:hAnsi="Times New Roman" w:eastAsia="Times New Roman" w:cs="Times New Roman"/>
      <w:i/>
      <w:iCs/>
      <w:sz w:val="15"/>
      <w:szCs w:val="15"/>
    </w:rPr>
  </w:style>
  <w:style w:type="paragraph" w:styleId="891">
    <w:name w:val="Revision"/>
    <w:hidden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892" w:customStyle="1">
    <w:name w:val="Заголовок 1 Знак"/>
    <w:basedOn w:val="855"/>
    <w:link w:val="847"/>
    <w:rPr>
      <w:rFonts w:ascii="Times New Roman" w:hAnsi="Times New Roman" w:eastAsia="Times New Roman" w:cs="Times New Roman"/>
      <w:b/>
      <w:bCs/>
      <w:sz w:val="22"/>
      <w:szCs w:val="22"/>
      <w:lang w:val="ru-RU"/>
    </w:rPr>
  </w:style>
  <w:style w:type="character" w:styleId="893" w:customStyle="1">
    <w:name w:val="Заголовок 2 Знак"/>
    <w:basedOn w:val="855"/>
    <w:link w:val="848"/>
    <w:rPr>
      <w:rFonts w:ascii="Times New Roman" w:hAnsi="Times New Roman" w:eastAsia="Times New Roman" w:cs="Times New Roman"/>
      <w:b/>
      <w:bCs/>
      <w:sz w:val="18"/>
      <w:szCs w:val="18"/>
      <w:lang w:val="ru-RU"/>
    </w:rPr>
  </w:style>
  <w:style w:type="character" w:styleId="894" w:customStyle="1">
    <w:name w:val="Заголовок 3 Знак"/>
    <w:basedOn w:val="855"/>
    <w:link w:val="849"/>
    <w:rPr>
      <w:rFonts w:ascii="Times New Roman" w:hAnsi="Times New Roman" w:eastAsia="Times New Roman" w:cs="Times New Roman"/>
      <w:b/>
      <w:bCs/>
      <w:sz w:val="18"/>
      <w:szCs w:val="18"/>
      <w:lang w:val="ru-RU"/>
    </w:rPr>
  </w:style>
  <w:style w:type="character" w:styleId="895" w:customStyle="1">
    <w:name w:val="Заголовок 4 Знак"/>
    <w:basedOn w:val="855"/>
    <w:link w:val="850"/>
    <w:rPr>
      <w:rFonts w:ascii="Times New Roman" w:hAnsi="Times New Roman" w:eastAsia="Times New Roman" w:cs="Times New Roman"/>
      <w:b/>
      <w:bCs/>
      <w:sz w:val="18"/>
      <w:szCs w:val="18"/>
      <w:lang w:val="ru-RU"/>
    </w:rPr>
  </w:style>
  <w:style w:type="character" w:styleId="896" w:customStyle="1">
    <w:name w:val="Заголовок 5 Знак"/>
    <w:basedOn w:val="855"/>
    <w:link w:val="851"/>
    <w:rPr>
      <w:rFonts w:ascii="Times New Roman" w:hAnsi="Times New Roman" w:eastAsia="Times New Roman" w:cs="Times New Roman"/>
      <w:b/>
      <w:bCs/>
      <w:sz w:val="22"/>
      <w:szCs w:val="22"/>
      <w:lang w:val="ru-RU"/>
    </w:rPr>
  </w:style>
  <w:style w:type="character" w:styleId="897" w:customStyle="1">
    <w:name w:val="Заголовок 6 Знак"/>
    <w:basedOn w:val="855"/>
    <w:link w:val="852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898" w:customStyle="1">
    <w:name w:val="Заголовок 7 Знак"/>
    <w:basedOn w:val="855"/>
    <w:link w:val="853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899" w:customStyle="1">
    <w:name w:val="Заголовок 8 Знак"/>
    <w:basedOn w:val="855"/>
    <w:link w:val="854"/>
    <w:rPr>
      <w:rFonts w:ascii="Times New Roman" w:hAnsi="Times New Roman" w:eastAsia="Times New Roman" w:cs="Times New Roman"/>
      <w:i/>
      <w:iCs/>
      <w:lang w:val="ru-RU"/>
    </w:rPr>
  </w:style>
  <w:style w:type="numbering" w:styleId="900" w:customStyle="1">
    <w:name w:val="Нет списка1"/>
    <w:next w:val="857"/>
    <w:semiHidden/>
  </w:style>
  <w:style w:type="paragraph" w:styleId="901">
    <w:name w:val="Block Text"/>
    <w:basedOn w:val="846"/>
    <w:pPr>
      <w:ind w:left="780" w:right="626"/>
      <w:jc w:val="both"/>
    </w:pPr>
    <w:rPr>
      <w:rFonts w:ascii="Times New Roman" w:hAnsi="Times New Roman" w:eastAsia="Times New Roman" w:cs="Times New Roman"/>
      <w:color w:val="auto"/>
      <w:lang w:val="ru-RU"/>
    </w:rPr>
  </w:style>
  <w:style w:type="paragraph" w:styleId="902">
    <w:name w:val="Body Text 2"/>
    <w:basedOn w:val="846"/>
    <w:link w:val="903"/>
    <w:pPr>
      <w:jc w:val="both"/>
    </w:pPr>
    <w:rPr>
      <w:rFonts w:ascii="Times New Roman" w:hAnsi="Times New Roman" w:eastAsia="Times New Roman" w:cs="Times New Roman"/>
      <w:i/>
      <w:iCs/>
      <w:color w:val="auto"/>
      <w:sz w:val="20"/>
      <w:szCs w:val="20"/>
      <w:lang w:val="ru-RU"/>
    </w:rPr>
  </w:style>
  <w:style w:type="character" w:styleId="903" w:customStyle="1">
    <w:name w:val="Основной текст 2 Знак"/>
    <w:basedOn w:val="855"/>
    <w:link w:val="902"/>
    <w:rPr>
      <w:rFonts w:ascii="Times New Roman" w:hAnsi="Times New Roman" w:eastAsia="Times New Roman" w:cs="Times New Roman"/>
      <w:i/>
      <w:iCs/>
      <w:sz w:val="20"/>
      <w:szCs w:val="20"/>
      <w:lang w:val="ru-RU"/>
    </w:rPr>
  </w:style>
  <w:style w:type="paragraph" w:styleId="904">
    <w:name w:val="Body Text Indent 2"/>
    <w:basedOn w:val="846"/>
    <w:link w:val="905"/>
    <w:pPr>
      <w:ind w:left="-108"/>
      <w:jc w:val="both"/>
    </w:pPr>
    <w:rPr>
      <w:rFonts w:ascii="Times New Roman" w:hAnsi="Times New Roman" w:eastAsia="Times New Roman" w:cs="Times New Roman"/>
      <w:b/>
      <w:bCs/>
      <w:color w:val="auto"/>
      <w:sz w:val="20"/>
      <w:szCs w:val="20"/>
      <w:lang w:val="ru-RU"/>
    </w:rPr>
  </w:style>
  <w:style w:type="character" w:styleId="905" w:customStyle="1">
    <w:name w:val="Основной текст с отступом 2 Знак"/>
    <w:basedOn w:val="855"/>
    <w:link w:val="904"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906">
    <w:name w:val="Header"/>
    <w:basedOn w:val="846"/>
    <w:link w:val="907"/>
    <w:uiPriority w:val="99"/>
    <w:pPr>
      <w:tabs>
        <w:tab w:val="center" w:pos="4320" w:leader="none"/>
        <w:tab w:val="right" w:pos="8640" w:leader="none"/>
      </w:tabs>
    </w:pPr>
    <w:rPr>
      <w:rFonts w:ascii="Times New Roman" w:hAnsi="Times New Roman" w:eastAsia="Times New Roman" w:cs="Times New Roman"/>
      <w:color w:val="auto"/>
      <w:sz w:val="20"/>
      <w:szCs w:val="20"/>
      <w:lang w:val="en-GB"/>
    </w:rPr>
  </w:style>
  <w:style w:type="character" w:styleId="907" w:customStyle="1">
    <w:name w:val="Верхний колонтитул Знак"/>
    <w:basedOn w:val="855"/>
    <w:link w:val="906"/>
    <w:uiPriority w:val="99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908">
    <w:name w:val="Body Text"/>
    <w:basedOn w:val="846"/>
    <w:link w:val="909"/>
    <w:pPr>
      <w:jc w:val="both"/>
      <w:spacing w:line="312" w:lineRule="atLeast"/>
    </w:pPr>
    <w:rPr>
      <w:rFonts w:ascii="Times New Roman CYR" w:hAnsi="Times New Roman CYR" w:eastAsia="Times New Roman" w:cs="Times New Roman CYR"/>
      <w:color w:val="auto"/>
      <w:sz w:val="22"/>
      <w:szCs w:val="22"/>
      <w:lang w:val="ru-RU"/>
    </w:rPr>
  </w:style>
  <w:style w:type="character" w:styleId="909" w:customStyle="1">
    <w:name w:val="Основной текст Знак"/>
    <w:basedOn w:val="855"/>
    <w:link w:val="908"/>
    <w:rPr>
      <w:rFonts w:ascii="Times New Roman CYR" w:hAnsi="Times New Roman CYR" w:eastAsia="Times New Roman" w:cs="Times New Roman CYR"/>
      <w:sz w:val="22"/>
      <w:szCs w:val="22"/>
      <w:lang w:val="ru-RU"/>
    </w:rPr>
  </w:style>
  <w:style w:type="paragraph" w:styleId="910">
    <w:name w:val="Body Text Indent 3"/>
    <w:basedOn w:val="846"/>
    <w:link w:val="911"/>
    <w:pPr>
      <w:ind w:right="624" w:firstLine="709"/>
      <w:jc w:val="both"/>
      <w:spacing w:before="120"/>
    </w:pPr>
    <w:rPr>
      <w:rFonts w:ascii="Times New Roman" w:hAnsi="Times New Roman" w:eastAsia="Times New Roman" w:cs="Times New Roman"/>
      <w:color w:val="auto"/>
      <w:sz w:val="22"/>
      <w:szCs w:val="22"/>
      <w:lang w:val="ru-RU"/>
    </w:rPr>
  </w:style>
  <w:style w:type="character" w:styleId="911" w:customStyle="1">
    <w:name w:val="Основной текст с отступом 3 Знак"/>
    <w:basedOn w:val="855"/>
    <w:link w:val="910"/>
    <w:rPr>
      <w:rFonts w:ascii="Times New Roman" w:hAnsi="Times New Roman" w:eastAsia="Times New Roman" w:cs="Times New Roman"/>
      <w:sz w:val="22"/>
      <w:szCs w:val="22"/>
      <w:lang w:val="ru-RU"/>
    </w:rPr>
  </w:style>
  <w:style w:type="character" w:styleId="912">
    <w:name w:val="page number"/>
    <w:rPr>
      <w:rFonts w:cs="Times New Roman"/>
    </w:rPr>
  </w:style>
  <w:style w:type="paragraph" w:styleId="913">
    <w:name w:val="Footer"/>
    <w:basedOn w:val="846"/>
    <w:link w:val="914"/>
    <w:pPr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styleId="914" w:customStyle="1">
    <w:name w:val="Нижний колонтитул Знак"/>
    <w:basedOn w:val="855"/>
    <w:link w:val="913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915">
    <w:name w:val="Balloon Text"/>
    <w:basedOn w:val="846"/>
    <w:link w:val="916"/>
    <w:semiHidden/>
    <w:rPr>
      <w:rFonts w:ascii="Tahoma" w:hAnsi="Tahoma" w:eastAsia="Times New Roman" w:cs="Tahoma"/>
      <w:color w:val="auto"/>
      <w:sz w:val="16"/>
      <w:szCs w:val="16"/>
      <w:lang w:val="ru-RU"/>
    </w:rPr>
  </w:style>
  <w:style w:type="character" w:styleId="916" w:customStyle="1">
    <w:name w:val="Текст выноски Знак"/>
    <w:basedOn w:val="855"/>
    <w:link w:val="915"/>
    <w:semiHidden/>
    <w:rPr>
      <w:rFonts w:ascii="Tahoma" w:hAnsi="Tahoma" w:eastAsia="Times New Roman" w:cs="Tahoma"/>
      <w:sz w:val="16"/>
      <w:szCs w:val="16"/>
      <w:lang w:val="ru-RU"/>
    </w:rPr>
  </w:style>
  <w:style w:type="paragraph" w:styleId="917">
    <w:name w:val="Body Text Indent"/>
    <w:basedOn w:val="846"/>
    <w:link w:val="918"/>
    <w:pPr>
      <w:ind w:left="283"/>
      <w:spacing w:after="120"/>
    </w:pPr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styleId="918" w:customStyle="1">
    <w:name w:val="Основной текст с отступом Знак"/>
    <w:basedOn w:val="855"/>
    <w:link w:val="917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919">
    <w:name w:val="footnote text"/>
    <w:basedOn w:val="846"/>
    <w:link w:val="920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styleId="920" w:customStyle="1">
    <w:name w:val="Текст сноски Знак"/>
    <w:basedOn w:val="855"/>
    <w:link w:val="919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21">
    <w:name w:val="footnote reference"/>
    <w:uiPriority w:val="99"/>
    <w:qFormat/>
    <w:rPr>
      <w:rFonts w:cs="Times New Roman"/>
      <w:vertAlign w:val="superscript"/>
    </w:rPr>
  </w:style>
  <w:style w:type="table" w:styleId="922">
    <w:name w:val="Table Grid"/>
    <w:basedOn w:val="856"/>
    <w:rPr>
      <w:rFonts w:ascii="Times New Roman" w:hAnsi="Times New Roman" w:eastAsia="Times New Roman" w:cs="Times New Roman"/>
      <w:sz w:val="20"/>
      <w:szCs w:val="20"/>
      <w:lang w:val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3" w:customStyle="1">
    <w:name w:val="Default"/>
    <w:rPr>
      <w:rFonts w:ascii="Times New Roman" w:hAnsi="Times New Roman" w:eastAsia="Times New Roman" w:cs="Times New Roman"/>
      <w:color w:val="000000"/>
      <w:lang w:val="ru-RU"/>
    </w:rPr>
  </w:style>
  <w:style w:type="character" w:styleId="924">
    <w:name w:val="endnote reference"/>
    <w:rPr>
      <w:vertAlign w:val="superscript"/>
    </w:rPr>
  </w:style>
  <w:style w:type="character" w:styleId="925">
    <w:name w:val="annotation reference"/>
    <w:rPr>
      <w:sz w:val="16"/>
      <w:szCs w:val="16"/>
    </w:rPr>
  </w:style>
  <w:style w:type="paragraph" w:styleId="926">
    <w:name w:val="annotation text"/>
    <w:basedOn w:val="846"/>
    <w:link w:val="927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styleId="927" w:customStyle="1">
    <w:name w:val="Текст примечания Знак"/>
    <w:basedOn w:val="855"/>
    <w:link w:val="926"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928">
    <w:name w:val="annotation subject"/>
    <w:basedOn w:val="926"/>
    <w:next w:val="926"/>
    <w:link w:val="929"/>
    <w:rPr>
      <w:b/>
      <w:bCs/>
    </w:rPr>
  </w:style>
  <w:style w:type="character" w:styleId="929" w:customStyle="1">
    <w:name w:val="Тема примечания Знак"/>
    <w:basedOn w:val="927"/>
    <w:link w:val="928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30">
    <w:name w:val="List Bullet"/>
    <w:basedOn w:val="846"/>
    <w:pPr>
      <w:numPr>
        <w:ilvl w:val="0"/>
        <w:numId w:val="22"/>
      </w:numPr>
      <w:contextualSpacing/>
    </w:pPr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paragraph" w:styleId="931">
    <w:name w:val="endnote text"/>
    <w:basedOn w:val="846"/>
    <w:link w:val="932"/>
    <w:rPr>
      <w:rFonts w:ascii="Times New Roman" w:hAnsi="Times New Roman" w:eastAsia="Times New Roman" w:cs="Times New Roman"/>
      <w:color w:val="auto"/>
      <w:sz w:val="20"/>
      <w:szCs w:val="20"/>
      <w:lang w:val="ru-RU"/>
    </w:rPr>
  </w:style>
  <w:style w:type="character" w:styleId="932" w:customStyle="1">
    <w:name w:val="Текст концевой сноски Знак"/>
    <w:basedOn w:val="855"/>
    <w:link w:val="931"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933">
    <w:name w:val="line number"/>
    <w:basedOn w:val="855"/>
    <w:uiPriority w:val="99"/>
    <w:semiHidden/>
    <w:unhideWhenUsed/>
  </w:style>
  <w:style w:type="paragraph" w:styleId="934">
    <w:name w:val="No Spacing"/>
    <w:link w:val="935"/>
    <w:uiPriority w:val="1"/>
    <w:qFormat/>
    <w:rPr>
      <w:rFonts w:asciiTheme="minorHAnsi" w:hAnsiTheme="minorHAnsi" w:eastAsiaTheme="minorEastAsia" w:cstheme="minorBidi"/>
      <w:sz w:val="22"/>
      <w:szCs w:val="22"/>
      <w:lang w:val="ru-RU"/>
    </w:rPr>
  </w:style>
  <w:style w:type="character" w:styleId="935" w:customStyle="1">
    <w:name w:val="Без интервала Знак"/>
    <w:basedOn w:val="855"/>
    <w:link w:val="934"/>
    <w:uiPriority w:val="1"/>
    <w:rPr>
      <w:rFonts w:asciiTheme="minorHAnsi" w:hAnsiTheme="minorHAnsi" w:eastAsiaTheme="minorEastAsia" w:cstheme="minorBidi"/>
      <w:sz w:val="22"/>
      <w:szCs w:val="22"/>
      <w:lang w:val="ru-RU"/>
    </w:rPr>
  </w:style>
  <w:style w:type="paragraph" w:styleId="936">
    <w:name w:val="List Paragraph"/>
    <w:basedOn w:val="846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color w:val="auto"/>
      <w:sz w:val="22"/>
      <w:szCs w:val="22"/>
      <w:lang w:val="ru-RU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A25D-C7D1-49A4-AA25-24B69361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Россельхозбанк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Ivanova</dc:creator>
  <cp:keywords/>
  <cp:lastModifiedBy>dmitrieva-tv</cp:lastModifiedBy>
  <cp:revision>35</cp:revision>
  <dcterms:created xsi:type="dcterms:W3CDTF">2017-11-09T10:02:00Z</dcterms:created>
  <dcterms:modified xsi:type="dcterms:W3CDTF">2025-11-24T13:01:06Z</dcterms:modified>
</cp:coreProperties>
</file>