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148"/>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rFonts w:ascii="Cambria" w:hAnsi="Cambria" w:cs="Cambria"/>
                      <w:sz w:val="44"/>
                      <w:szCs w:val="44"/>
                    </w:rPr>
                  </w:pPr>
                  <w:r>
                    <w:rPr>
                      <w:rFonts w:ascii="Cambria" w:hAnsi="Cambria" w:cs="Cambria"/>
                      <w:sz w:val="44"/>
                      <w:szCs w:val="44"/>
                    </w:rPr>
                    <w:t xml:space="preserve">ТАРИФЫ КОМИССИОННОГО</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ВОЗНАГРАЖДЕНИЯ НА УСЛУГИ</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ЮРИДИЧЕСКИМ ЛИЦАМ, СУБЪЕКТАМ РОССИЙСКОЙ ФЕДЕРАЦИИ, МУНИЦИПАЛЬНЫМ ОБРАЗОВАНИЯМ, ИНДИВИДУАЛЬНЫМ</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ПРЕДПРИНИМАТЕЛЯМ И ФИЗИЧЕСКИМ</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ЛИЦАМ, ЗАНИМАЮЩИМСЯ В</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УСТАНОВЛЕННОМ ЗАКОНОДАТЕЛЬСТВОМ</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РОССИЙСКОЙ ФЕДЕРАЦИИ ПОРЯДКЕ</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ЧАСТНОЙ ПРАКТИКОЙ</w:t>
                  </w:r>
                  <w:r>
                    <w:rPr>
                      <w:rFonts w:ascii="Cambria" w:hAnsi="Cambria" w:cs="Cambria"/>
                      <w:sz w:val="44"/>
                      <w:szCs w:val="44"/>
                    </w:rPr>
                  </w:r>
                  <w:r>
                    <w:rPr>
                      <w:rFonts w:ascii="Cambria" w:hAnsi="Cambria" w:cs="Cambria"/>
                      <w:sz w:val="44"/>
                      <w:szCs w:val="44"/>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color w:val="000000"/>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rFonts w:eastAsia="Calibri"/>
                            <w:lang w:eastAsia="en-US"/>
                          </w:rPr>
                          <w:t xml:space="preserve">ГО/ВСП ГО/РФ/ВСП РФ</w:t>
                        </w:r>
                        <w:r>
                          <w:rPr>
                            <w:color w:val="000000"/>
                            <w:lang w:eastAsia="en-US"/>
                          </w:rPr>
                        </w:r>
                        <w:r>
                          <w:rPr>
                            <w:color w:val="000000"/>
                            <w:lang w:eastAsia="en-US"/>
                          </w:rPr>
                        </w:r>
                      </w:p>
                    </w:tc>
                  </w:tr>
                </w:tbl>
                <w:p>
                  <w:pPr>
                    <w:pStyle w:val="1123"/>
                    <w:jc w:val="center"/>
                    <w:rPr>
                      <w:rFonts w:ascii="Cambria" w:hAnsi="Cambria"/>
                      <w:sz w:val="16"/>
                      <w:szCs w:val="16"/>
                    </w:rPr>
                  </w:pPr>
                  <w:r>
                    <w:rPr>
                      <w:rFonts w:ascii="Cambria" w:hAnsi="Cambria"/>
                      <w:sz w:val="16"/>
                      <w:szCs w:val="16"/>
                    </w:rPr>
                  </w:r>
                  <w:r>
                    <w:rPr>
                      <w:rFonts w:ascii="Cambria" w:hAnsi="Cambria"/>
                      <w:sz w:val="16"/>
                      <w:szCs w:val="16"/>
                    </w:rPr>
                  </w:r>
                  <w:r>
                    <w:rPr>
                      <w:rFonts w:ascii="Cambria" w:hAnsi="Cambria"/>
                      <w:sz w:val="16"/>
                      <w:szCs w:val="16"/>
                    </w:rPr>
                  </w:r>
                </w:p>
              </w:tc>
            </w:tr>
            <w:tr>
              <w:tblPrEx/>
              <w:trPr>
                <w:trHeight w:val="0"/>
              </w:trPr>
              <w:tc>
                <w:tcPr>
                  <w:tcBorders>
                    <w:bottom w:val="single" w:color="008444" w:sz="12" w:space="0"/>
                  </w:tcBorders>
                  <w:tcW w:w="5000" w:type="pct"/>
                  <w:vAlign w:val="center"/>
                  <w:textDirection w:val="lrTb"/>
                  <w:noWrap w:val="false"/>
                </w:tcPr>
                <w:p>
                  <w:pPr>
                    <w:pStyle w:val="1123"/>
                    <w:jc w:val="center"/>
                  </w:pPr>
                  <w:r/>
                  <w:r/>
                </w:p>
              </w:tc>
            </w:tr>
            <w:tr>
              <w:tblPrEx/>
              <w:trPr>
                <w:trHeight w:val="360"/>
              </w:trPr>
              <w:tc>
                <w:tcPr>
                  <w:tcBorders>
                    <w:top w:val="single" w:color="008444" w:sz="12" w:space="0"/>
                  </w:tcBorders>
                  <w:tcW w:w="5000" w:type="pct"/>
                  <w:vAlign w:val="center"/>
                  <w:textDirection w:val="lrTb"/>
                  <w:noWrap w:val="false"/>
                </w:tcPr>
                <w:p>
                  <w:pPr>
                    <w:pStyle w:val="1123"/>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bCs/>
                      <w:sz w:val="32"/>
                      <w:szCs w:val="32"/>
                    </w:rPr>
                  </w:pPr>
                  <w:r>
                    <w:rPr>
                      <w:bCs/>
                      <w:sz w:val="32"/>
                      <w:szCs w:val="32"/>
                    </w:rPr>
                    <w:t xml:space="preserve">действуют с </w:t>
                  </w:r>
                  <w:r>
                    <w:rPr>
                      <w:bCs/>
                      <w:sz w:val="32"/>
                      <w:szCs w:val="32"/>
                    </w:rPr>
                    <w:t xml:space="preserve">13</w:t>
                  </w:r>
                  <w:r>
                    <w:rPr>
                      <w:bCs/>
                      <w:sz w:val="32"/>
                      <w:szCs w:val="32"/>
                    </w:rPr>
                    <w:t xml:space="preserve">.</w:t>
                  </w:r>
                  <w:r>
                    <w:rPr>
                      <w:bCs/>
                      <w:sz w:val="32"/>
                      <w:szCs w:val="32"/>
                    </w:rPr>
                    <w:t xml:space="preserve">08</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23"/>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tc>
      </w:tr>
    </w:tbl>
    <w:p>
      <w:pPr>
        <w:pStyle w:val="1123"/>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07"/>
      </w:pPr>
      <w:r/>
      <w:r/>
    </w:p>
    <w:p>
      <w:pPr>
        <w:pStyle w:val="1107"/>
      </w:pPr>
      <w:r/>
      <w:r/>
    </w:p>
    <w:p>
      <w:pPr>
        <w:pStyle w:val="1107"/>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07"/>
        <w:rPr>
          <w:b/>
          <w:caps/>
        </w:rPr>
      </w:pPr>
      <w:r>
        <w:rPr>
          <w:i/>
        </w:rPr>
        <w:br w:type="page" w:clear="all"/>
      </w:r>
      <w:r>
        <w:rPr>
          <w:b/>
          <w:caps/>
        </w:rPr>
        <w:t xml:space="preserve">Содержание</w:t>
      </w:r>
      <w:r>
        <w:rPr>
          <w:b/>
          <w:caps/>
        </w:rPr>
        <w:t xml:space="preserve">:</w:t>
      </w:r>
      <w:r>
        <w:rPr>
          <w:b/>
          <w:caps/>
        </w:rPr>
      </w:r>
      <w:r>
        <w:rPr>
          <w:b/>
          <w:caps/>
        </w:rPr>
      </w:r>
    </w:p>
    <w:p>
      <w:pPr>
        <w:pStyle w:val="1107"/>
        <w:rPr>
          <w:caps/>
        </w:rPr>
      </w:pPr>
      <w:r>
        <w:rPr>
          <w:caps/>
        </w:rPr>
      </w:r>
      <w:r>
        <w:rPr>
          <w:caps/>
        </w:rPr>
      </w:r>
      <w:r>
        <w:rPr>
          <w:caps/>
        </w:rPr>
      </w:r>
    </w:p>
    <w:p>
      <w:pPr>
        <w:pStyle w:val="1127"/>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25"/>
        </w:rPr>
        <w:fldChar w:fldCharType="begin"/>
      </w:r>
      <w:r>
        <w:rPr>
          <w:rStyle w:val="1125"/>
        </w:rPr>
        <w:instrText xml:space="preserve"> </w:instrText>
      </w:r>
      <w:r>
        <w:instrText xml:space="preserve">HYPERLINK \l "_Toc170984446"</w:instrText>
      </w:r>
      <w:r>
        <w:rPr>
          <w:rStyle w:val="1125"/>
        </w:rPr>
        <w:instrText xml:space="preserve"> </w:instrText>
      </w:r>
      <w:r>
        <w:rPr>
          <w:rStyle w:val="1125"/>
        </w:rPr>
        <w:fldChar w:fldCharType="separate"/>
      </w:r>
      <w:r>
        <w:rPr>
          <w:rStyle w:val="1125"/>
        </w:rPr>
        <w:t xml:space="preserve">1.</w:t>
      </w:r>
      <w:r>
        <w:rPr>
          <w:rFonts w:ascii="Calibri" w:hAnsi="Calibri"/>
          <w:bCs w:val="0"/>
          <w:caps w:val="0"/>
          <w:szCs w:val="22"/>
        </w:rPr>
        <w:tab/>
      </w:r>
      <w:r>
        <w:rPr>
          <w:rStyle w:val="1125"/>
        </w:rPr>
        <w:t xml:space="preserve">Открытие и ведение счетов</w:t>
      </w:r>
      <w:r>
        <w:tab/>
      </w:r>
      <w:r>
        <w:fldChar w:fldCharType="begin"/>
      </w:r>
      <w:r>
        <w:instrText xml:space="preserve"> PAGEREF _Toc170984446 \h </w:instrText>
      </w:r>
      <w:r>
        <w:fldChar w:fldCharType="separate"/>
      </w:r>
      <w:r>
        <w:t xml:space="preserve">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"_Toc170984447"</w:instrText>
      </w:r>
      <w:r>
        <w:rPr>
          <w:rStyle w:val="1125"/>
        </w:rPr>
        <w:instrText xml:space="preserve"> </w:instrText>
      </w:r>
      <w:r>
        <w:rPr>
          <w:rStyle w:val="1125"/>
        </w:rPr>
        <w:fldChar w:fldCharType="separate"/>
      </w:r>
      <w:r>
        <w:rPr>
          <w:rStyle w:val="1125"/>
        </w:rPr>
        <w:t xml:space="preserve">2.</w:t>
      </w:r>
      <w:r>
        <w:rPr>
          <w:rFonts w:ascii="Calibri" w:hAnsi="Calibri"/>
          <w:bCs w:val="0"/>
          <w:caps w:val="0"/>
          <w:szCs w:val="22"/>
        </w:rPr>
        <w:tab/>
      </w:r>
      <w:r>
        <w:rPr>
          <w:rStyle w:val="1125"/>
        </w:rPr>
        <w:t xml:space="preserve">Кассовые операции*</w:t>
      </w:r>
      <w:r>
        <w:tab/>
      </w:r>
      <w:r>
        <w:fldChar w:fldCharType="begin"/>
      </w:r>
      <w:r>
        <w:instrText xml:space="preserve"> PAGEREF _Toc170984447 \h </w:instrText>
      </w:r>
      <w:r>
        <w:fldChar w:fldCharType="separate"/>
      </w:r>
      <w:r>
        <w:t xml:space="preserve">23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"_Toc170984448"</w:instrText>
      </w:r>
      <w:r>
        <w:rPr>
          <w:rStyle w:val="1125"/>
        </w:rPr>
        <w:instrText xml:space="preserve"> </w:instrText>
      </w:r>
      <w:r>
        <w:rPr>
          <w:rStyle w:val="1125"/>
        </w:rPr>
        <w:fldChar w:fldCharType="separate"/>
      </w:r>
      <w:r>
        <w:rPr>
          <w:rStyle w:val="1125"/>
        </w:rPr>
        <w:t xml:space="preserve">3.</w:t>
      </w:r>
      <w:r>
        <w:rPr>
          <w:rFonts w:ascii="Calibri" w:hAnsi="Calibri"/>
          <w:bCs w:val="0"/>
          <w:caps w:val="0"/>
          <w:szCs w:val="22"/>
        </w:rPr>
        <w:tab/>
      </w:r>
      <w:r>
        <w:rPr>
          <w:rStyle w:val="1125"/>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27</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"_Toc170984449"</w:instrText>
      </w:r>
      <w:r>
        <w:rPr>
          <w:rStyle w:val="1125"/>
        </w:rPr>
        <w:instrText xml:space="preserve"> </w:instrText>
      </w:r>
      <w:r>
        <w:rPr>
          <w:rStyle w:val="1125"/>
        </w:rPr>
        <w:fldChar w:fldCharType="separate"/>
      </w:r>
      <w:r>
        <w:rPr>
          <w:rStyle w:val="1125"/>
        </w:rPr>
        <w:t xml:space="preserve">4.</w:t>
      </w:r>
      <w:r>
        <w:rPr>
          <w:rFonts w:ascii="Calibri" w:hAnsi="Calibri"/>
          <w:bCs w:val="0"/>
          <w:caps w:val="0"/>
          <w:szCs w:val="22"/>
        </w:rPr>
        <w:tab/>
      </w:r>
      <w:r>
        <w:rPr>
          <w:rStyle w:val="1125"/>
        </w:rPr>
        <w:t xml:space="preserve">Операции с ценными бумагами</w:t>
      </w:r>
      <w:r>
        <w:tab/>
      </w:r>
      <w:r>
        <w:fldChar w:fldCharType="begin"/>
      </w:r>
      <w:r>
        <w:instrText xml:space="preserve"> PAGEREF _Toc170984449 \h </w:instrText>
      </w:r>
      <w:r>
        <w:fldChar w:fldCharType="separate"/>
      </w:r>
      <w:r>
        <w:t xml:space="preserve">32</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"_Toc170984450"</w:instrText>
      </w:r>
      <w:r>
        <w:rPr>
          <w:rStyle w:val="1125"/>
        </w:rPr>
        <w:instrText xml:space="preserve"> </w:instrText>
      </w:r>
      <w:r>
        <w:rPr>
          <w:rStyle w:val="1125"/>
        </w:rPr>
        <w:fldChar w:fldCharType="separate"/>
      </w:r>
      <w:r>
        <w:rPr>
          <w:rStyle w:val="1125"/>
        </w:rPr>
        <w:t xml:space="preserve">5.</w:t>
      </w:r>
      <w:r>
        <w:rPr>
          <w:rFonts w:ascii="Calibri" w:hAnsi="Calibri"/>
          <w:bCs w:val="0"/>
          <w:caps w:val="0"/>
          <w:szCs w:val="22"/>
        </w:rPr>
        <w:tab/>
      </w:r>
      <w:r>
        <w:rPr>
          <w:rStyle w:val="1125"/>
        </w:rPr>
        <w:t xml:space="preserve">Документарные операции</w:t>
      </w:r>
      <w:r>
        <w:tab/>
      </w:r>
      <w:r>
        <w:fldChar w:fldCharType="begin"/>
      </w:r>
      <w:r>
        <w:instrText xml:space="preserve"> PAGEREF _Toc170984450 \h </w:instrText>
      </w:r>
      <w:r>
        <w:fldChar w:fldCharType="separate"/>
      </w:r>
      <w:r>
        <w:t xml:space="preserve">33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"_Toc170984451"</w:instrText>
      </w:r>
      <w:r>
        <w:rPr>
          <w:rStyle w:val="1125"/>
        </w:rPr>
        <w:instrText xml:space="preserve"> </w:instrText>
      </w:r>
      <w:r>
        <w:rPr>
          <w:rStyle w:val="1125"/>
        </w:rPr>
        <w:fldChar w:fldCharType="separate"/>
      </w:r>
      <w:r>
        <w:rPr>
          <w:rStyle w:val="1125"/>
        </w:rPr>
        <w:t xml:space="preserve">6.</w:t>
      </w:r>
      <w:r>
        <w:rPr>
          <w:rFonts w:ascii="Calibri" w:hAnsi="Calibri"/>
          <w:bCs w:val="0"/>
          <w:caps w:val="0"/>
          <w:szCs w:val="22"/>
        </w:rPr>
        <w:tab/>
      </w:r>
      <w:r>
        <w:rPr>
          <w:rStyle w:val="1125"/>
        </w:rPr>
        <w:t xml:space="preserve">Гарантийные операции</w:t>
      </w:r>
      <w:r>
        <w:tab/>
      </w:r>
      <w:r>
        <w:fldChar w:fldCharType="begin"/>
      </w:r>
      <w:r>
        <w:instrText xml:space="preserve"> PAGEREF _Toc170984451 \h </w:instrText>
      </w:r>
      <w:r>
        <w:fldChar w:fldCharType="separate"/>
      </w:r>
      <w:r>
        <w:t xml:space="preserve">40</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"_Toc170984452"</w:instrText>
      </w:r>
      <w:r>
        <w:rPr>
          <w:rStyle w:val="1125"/>
        </w:rPr>
        <w:instrText xml:space="preserve"> </w:instrText>
      </w:r>
      <w:r>
        <w:rPr>
          <w:rStyle w:val="1125"/>
        </w:rPr>
        <w:fldChar w:fldCharType="separate"/>
      </w:r>
      <w:r>
        <w:rPr>
          <w:rStyle w:val="1125"/>
        </w:rPr>
        <w:t xml:space="preserve">7.</w:t>
      </w:r>
      <w:r>
        <w:rPr>
          <w:rFonts w:ascii="Calibri" w:hAnsi="Calibri"/>
          <w:bCs w:val="0"/>
          <w:caps w:val="0"/>
          <w:szCs w:val="22"/>
        </w:rPr>
        <w:tab/>
      </w:r>
      <w:r>
        <w:rPr>
          <w:rStyle w:val="1125"/>
        </w:rPr>
        <w:t xml:space="preserve">Дистанционное банковское обслуживание (ДБО)</w:t>
      </w:r>
      <w:r>
        <w:tab/>
      </w:r>
      <w:r>
        <w:fldChar w:fldCharType="begin"/>
      </w:r>
      <w:r>
        <w:instrText xml:space="preserve"> PAGEREF _Toc170984452 \h </w:instrText>
      </w:r>
      <w:r>
        <w:fldChar w:fldCharType="separate"/>
      </w:r>
      <w:r>
        <w:t xml:space="preserve">42</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"_Toc170984453"</w:instrText>
      </w:r>
      <w:r>
        <w:rPr>
          <w:rStyle w:val="1125"/>
        </w:rPr>
        <w:instrText xml:space="preserve"> </w:instrText>
      </w:r>
      <w:r>
        <w:rPr>
          <w:rStyle w:val="1125"/>
        </w:rPr>
        <w:fldChar w:fldCharType="separate"/>
      </w:r>
      <w:r>
        <w:rPr>
          <w:rStyle w:val="1125"/>
        </w:rPr>
        <w:t xml:space="preserve">8.</w:t>
      </w:r>
      <w:r>
        <w:rPr>
          <w:rFonts w:ascii="Calibri" w:hAnsi="Calibri"/>
          <w:bCs w:val="0"/>
          <w:caps w:val="0"/>
          <w:szCs w:val="22"/>
        </w:rPr>
        <w:tab/>
      </w:r>
      <w:r>
        <w:rPr>
          <w:rStyle w:val="1125"/>
        </w:rPr>
        <w:t xml:space="preserve">Хранение ценностей клиентов в хранилище ценностей Банка</w:t>
      </w:r>
      <w:r>
        <w:tab/>
      </w:r>
      <w:r>
        <w:fldChar w:fldCharType="begin"/>
      </w:r>
      <w:r>
        <w:instrText xml:space="preserve"> PAGEREF _Toc170984453 \h </w:instrText>
      </w:r>
      <w:r>
        <w:fldChar w:fldCharType="separate"/>
      </w:r>
      <w:r>
        <w:t xml:space="preserve">48</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"_Toc170984454"</w:instrText>
      </w:r>
      <w:r>
        <w:rPr>
          <w:rStyle w:val="1125"/>
        </w:rPr>
        <w:instrText xml:space="preserve"> </w:instrText>
      </w:r>
      <w:r>
        <w:rPr>
          <w:rStyle w:val="1125"/>
        </w:rPr>
        <w:fldChar w:fldCharType="separate"/>
      </w:r>
      <w:r>
        <w:rPr>
          <w:rStyle w:val="1125"/>
        </w:rPr>
        <w:t xml:space="preserve">9.</w:t>
      </w:r>
      <w:r>
        <w:rPr>
          <w:rFonts w:ascii="Calibri" w:hAnsi="Calibri"/>
          <w:bCs w:val="0"/>
          <w:caps w:val="0"/>
          <w:szCs w:val="22"/>
        </w:rPr>
        <w:tab/>
      </w:r>
      <w:r>
        <w:rPr>
          <w:rStyle w:val="1125"/>
        </w:rPr>
        <w:t xml:space="preserve">Операции по предоставлению клиентам в аренду индивидуальных сейфовых ячеек</w:t>
      </w:r>
      <w:r>
        <w:tab/>
      </w:r>
      <w:r>
        <w:fldChar w:fldCharType="begin"/>
      </w:r>
      <w:r>
        <w:instrText xml:space="preserve"> PAGEREF _Toc170984454 \h </w:instrText>
      </w:r>
      <w:r>
        <w:fldChar w:fldCharType="separate"/>
      </w:r>
      <w:r>
        <w:t xml:space="preserve">49</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72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"_Toc170984455"</w:instrText>
      </w:r>
      <w:r>
        <w:rPr>
          <w:rStyle w:val="1125"/>
        </w:rPr>
        <w:instrText xml:space="preserve"> </w:instrText>
      </w:r>
      <w:r>
        <w:rPr>
          <w:rStyle w:val="1125"/>
        </w:rPr>
        <w:fldChar w:fldCharType="separate"/>
      </w:r>
      <w:r>
        <w:rPr>
          <w:rStyle w:val="1125"/>
        </w:rPr>
        <w:t xml:space="preserve">10.</w:t>
      </w:r>
      <w:r>
        <w:rPr>
          <w:rFonts w:ascii="Calibri" w:hAnsi="Calibri"/>
          <w:bCs w:val="0"/>
          <w:caps w:val="0"/>
          <w:szCs w:val="22"/>
        </w:rPr>
        <w:tab/>
      </w:r>
      <w:r>
        <w:rPr>
          <w:rStyle w:val="1125"/>
        </w:rPr>
        <w:t xml:space="preserve">Услуги инкассации</w:t>
      </w:r>
      <w:r>
        <w:tab/>
      </w:r>
      <w:r>
        <w:fldChar w:fldCharType="begin"/>
      </w:r>
      <w:r>
        <w:instrText xml:space="preserve"> PAGEREF _Toc170984455 \h </w:instrText>
      </w:r>
      <w:r>
        <w:fldChar w:fldCharType="separate"/>
      </w:r>
      <w:r>
        <w:t xml:space="preserve">54</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72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"_Toc170984456"</w:instrText>
      </w:r>
      <w:r>
        <w:rPr>
          <w:rStyle w:val="1125"/>
        </w:rPr>
        <w:instrText xml:space="preserve"> </w:instrText>
      </w:r>
      <w:r>
        <w:rPr>
          <w:rStyle w:val="1125"/>
        </w:rPr>
        <w:fldChar w:fldCharType="separate"/>
      </w:r>
      <w:r>
        <w:rPr>
          <w:rStyle w:val="1125"/>
        </w:rPr>
        <w:t xml:space="preserve">11.</w:t>
      </w:r>
      <w:r>
        <w:rPr>
          <w:rFonts w:ascii="Calibri" w:hAnsi="Calibri"/>
          <w:bCs w:val="0"/>
          <w:caps w:val="0"/>
          <w:szCs w:val="22"/>
        </w:rPr>
        <w:tab/>
      </w:r>
      <w:r>
        <w:rPr>
          <w:rStyle w:val="1125"/>
        </w:rPr>
        <w:t xml:space="preserve">Операции по покупке-продаже иностранной валюты</w:t>
      </w:r>
      <w:r>
        <w:tab/>
      </w:r>
      <w:r>
        <w:fldChar w:fldCharType="begin"/>
      </w:r>
      <w:r>
        <w:instrText xml:space="preserve"> PAGEREF _Toc170984456 \h </w:instrText>
      </w:r>
      <w:r>
        <w:fldChar w:fldCharType="separate"/>
      </w:r>
      <w:r>
        <w:t xml:space="preserve">54</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72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"_Toc170984457"</w:instrText>
      </w:r>
      <w:r>
        <w:rPr>
          <w:rStyle w:val="1125"/>
        </w:rPr>
        <w:instrText xml:space="preserve"> </w:instrText>
      </w:r>
      <w:r>
        <w:rPr>
          <w:rStyle w:val="1125"/>
        </w:rPr>
        <w:fldChar w:fldCharType="separate"/>
      </w:r>
      <w:r>
        <w:rPr>
          <w:rStyle w:val="1125"/>
        </w:rPr>
        <w:t xml:space="preserve">12.</w:t>
      </w:r>
      <w:r>
        <w:rPr>
          <w:rFonts w:ascii="Calibri" w:hAnsi="Calibri"/>
          <w:bCs w:val="0"/>
          <w:caps w:val="0"/>
          <w:szCs w:val="22"/>
        </w:rPr>
        <w:tab/>
      </w:r>
      <w:r>
        <w:rPr>
          <w:rStyle w:val="1125"/>
        </w:rPr>
        <w:t xml:space="preserve">Кредитные операции</w:t>
      </w:r>
      <w:r>
        <w:tab/>
      </w:r>
      <w:r>
        <w:fldChar w:fldCharType="begin"/>
      </w:r>
      <w:r>
        <w:instrText xml:space="preserve"> PAGEREF _Toc170984457 \h </w:instrText>
      </w:r>
      <w:r>
        <w:fldChar w:fldCharType="separate"/>
      </w:r>
      <w:r>
        <w:t xml:space="preserve">56</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72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"_Toc170984458"</w:instrText>
      </w:r>
      <w:r>
        <w:rPr>
          <w:rStyle w:val="1125"/>
        </w:rPr>
        <w:instrText xml:space="preserve"> </w:instrText>
      </w:r>
      <w:r>
        <w:rPr>
          <w:rStyle w:val="1125"/>
        </w:rPr>
        <w:fldChar w:fldCharType="separate"/>
      </w:r>
      <w:r>
        <w:rPr>
          <w:rStyle w:val="1125"/>
        </w:rPr>
        <w:t xml:space="preserve">13.</w:t>
      </w:r>
      <w:r>
        <w:rPr>
          <w:rFonts w:ascii="Calibri" w:hAnsi="Calibri"/>
          <w:bCs w:val="0"/>
          <w:caps w:val="0"/>
          <w:szCs w:val="22"/>
        </w:rPr>
        <w:tab/>
      </w:r>
      <w:r>
        <w:rPr>
          <w:rStyle w:val="1125"/>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_Toc170984458 \h </w:instrText>
      </w:r>
      <w:r>
        <w:fldChar w:fldCharType="separate"/>
      </w:r>
      <w:r>
        <w:t xml:space="preserve">66</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"_Toc170984459"</w:instrText>
      </w:r>
      <w:r>
        <w:rPr>
          <w:rStyle w:val="1125"/>
        </w:rPr>
        <w:instrText xml:space="preserve"> </w:instrText>
      </w:r>
      <w:r>
        <w:rPr>
          <w:rStyle w:val="1125"/>
        </w:rPr>
        <w:fldChar w:fldCharType="separate"/>
      </w:r>
      <w:r>
        <w:rPr>
          <w:rStyle w:val="1125"/>
        </w:rPr>
        <w:t xml:space="preserve">14. Депозитарные услуги**</w:t>
      </w:r>
      <w:r>
        <w:tab/>
      </w:r>
      <w:r>
        <w:fldChar w:fldCharType="begin"/>
      </w:r>
      <w:r>
        <w:instrText xml:space="preserve"> PAGEREF _Toc170984459 \h </w:instrText>
      </w:r>
      <w:r>
        <w:fldChar w:fldCharType="separate"/>
      </w:r>
      <w:r>
        <w:t xml:space="preserve">68</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"_Toc170984460"</w:instrText>
      </w:r>
      <w:r>
        <w:rPr>
          <w:rStyle w:val="1125"/>
        </w:rPr>
        <w:instrText xml:space="preserve"> </w:instrText>
      </w:r>
      <w:r>
        <w:rPr>
          <w:rStyle w:val="1125"/>
        </w:rPr>
        <w:fldChar w:fldCharType="separate"/>
      </w:r>
      <w:r>
        <w:rPr>
          <w:rStyle w:val="1125"/>
        </w:rPr>
        <w:t xml:space="preserve">15. Операции с монетами из драгоценных металлов</w:t>
      </w:r>
      <w:r>
        <w:tab/>
      </w:r>
      <w:r>
        <w:fldChar w:fldCharType="begin"/>
      </w:r>
      <w:r>
        <w:instrText xml:space="preserve"> PAGEREF _Toc170984460 \h </w:instrText>
      </w:r>
      <w:r>
        <w:fldChar w:fldCharType="separate"/>
      </w:r>
      <w:r>
        <w:t xml:space="preserve">73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"_Toc170984461"</w:instrText>
      </w:r>
      <w:r>
        <w:rPr>
          <w:rStyle w:val="1125"/>
        </w:rPr>
        <w:instrText xml:space="preserve"> </w:instrText>
      </w:r>
      <w:r>
        <w:rPr>
          <w:rStyle w:val="1125"/>
        </w:rPr>
        <w:fldChar w:fldCharType="separate"/>
      </w:r>
      <w:r>
        <w:rPr>
          <w:rStyle w:val="1125"/>
        </w:rPr>
        <w:t xml:space="preserve">16. Операции с драгоценными металлами</w:t>
      </w:r>
      <w:r>
        <w:tab/>
      </w:r>
      <w:r>
        <w:fldChar w:fldCharType="begin"/>
      </w:r>
      <w:r>
        <w:instrText xml:space="preserve"> PAGEREF _Toc170984461 \h </w:instrText>
      </w:r>
      <w:r>
        <w:fldChar w:fldCharType="separate"/>
      </w:r>
      <w:r>
        <w:t xml:space="preserve">73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"_Toc170984462"</w:instrText>
      </w:r>
      <w:r>
        <w:rPr>
          <w:rStyle w:val="1125"/>
        </w:rPr>
        <w:instrText xml:space="preserve"> </w:instrText>
      </w:r>
      <w:r>
        <w:rPr>
          <w:rStyle w:val="1125"/>
        </w:rPr>
        <w:fldChar w:fldCharType="separate"/>
      </w:r>
      <w:r>
        <w:rPr>
          <w:rStyle w:val="1125"/>
        </w:rPr>
        <w:t xml:space="preserve">17. Обслуживание с использованием Торговой системы РСХБ - Дилинг АО «Россельхозбанк», Торговой системы РСХБ - Дилинг 2.0</w:t>
      </w:r>
      <w:r>
        <w:tab/>
      </w:r>
      <w:r>
        <w:fldChar w:fldCharType="begin"/>
      </w:r>
      <w:r>
        <w:instrText xml:space="preserve"> PAGEREF _Toc170984462 \h </w:instrText>
      </w:r>
      <w:r>
        <w:fldChar w:fldCharType="separate"/>
      </w:r>
      <w:r>
        <w:t xml:space="preserve">75</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"_Toc170984463"</w:instrText>
      </w:r>
      <w:r>
        <w:rPr>
          <w:rStyle w:val="1125"/>
        </w:rPr>
        <w:instrText xml:space="preserve"> </w:instrText>
      </w:r>
      <w:r>
        <w:rPr>
          <w:rStyle w:val="1125"/>
        </w:rPr>
        <w:fldChar w:fldCharType="separate"/>
      </w:r>
      <w:r>
        <w:rPr>
          <w:rStyle w:val="1125"/>
        </w:rPr>
        <w:t xml:space="preserve">18. Операци</w:t>
      </w:r>
      <w:bookmarkStart w:id="3" w:name="_Hlt170984464"/>
      <w:r>
        <w:rPr>
          <w:rStyle w:val="1125"/>
        </w:rPr>
        <w:t xml:space="preserve">и</w:t>
      </w:r>
      <w:bookmarkEnd w:id="3"/>
      <w:r>
        <w:rPr>
          <w:rStyle w:val="1125"/>
        </w:rPr>
        <w:t xml:space="preserve"> с использованием цифрового рубля</w:t>
      </w:r>
      <w:r>
        <w:tab/>
      </w:r>
      <w:r>
        <w:fldChar w:fldCharType="begin"/>
      </w:r>
      <w:r>
        <w:instrText xml:space="preserve"> PAGEREF _Toc170984463 \h </w:instrText>
      </w:r>
      <w:r>
        <w:fldChar w:fldCharType="separate"/>
      </w:r>
      <w:r>
        <w:t xml:space="preserve">77</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Style w:val="1125"/>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25"/>
        </w:rPr>
      </w:r>
      <w:r>
        <w:rPr>
          <w:rStyle w:val="1125"/>
        </w:rPr>
      </w:r>
    </w:p>
    <w:p>
      <w:pPr>
        <w:pStyle w:val="1127"/>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rPr>
          <w:lang w:val="en-US" w:eastAsia="en-US"/>
        </w:rPr>
      </w:pPr>
      <w:r>
        <w:rPr>
          <w:lang w:val="en-US" w:eastAsia="en-US"/>
        </w:rPr>
      </w:r>
      <w:r>
        <w:rPr>
          <w:lang w:val="en-US" w:eastAsia="en-US"/>
        </w:rPr>
      </w:r>
      <w:r>
        <w:rPr>
          <w:lang w:val="en-US" w:eastAsia="en-US"/>
        </w:rPr>
      </w:r>
    </w:p>
    <w:p>
      <w:pPr>
        <w:pStyle w:val="1111"/>
        <w:numPr>
          <w:ilvl w:val="0"/>
          <w:numId w:val="16"/>
        </w:numPr>
        <w:rPr>
          <w:lang w:val="ru-RU"/>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343"/>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rPr>
                <w:b/>
                <w:sz w:val="20"/>
                <w:szCs w:val="20"/>
              </w:rPr>
            </w:pPr>
            <w:r>
              <w:rPr>
                <w:b/>
                <w:sz w:val="20"/>
                <w:szCs w:val="20"/>
              </w:rPr>
              <w:t xml:space="preserve">№</w:t>
            </w:r>
            <w:r>
              <w:rPr>
                <w:b/>
                <w:sz w:val="20"/>
                <w:szCs w:val="20"/>
              </w:rPr>
            </w:r>
            <w:r>
              <w:rPr>
                <w:b/>
                <w:sz w:val="20"/>
                <w:szCs w:val="20"/>
              </w:rPr>
            </w:r>
          </w:p>
          <w:p>
            <w:pPr>
              <w:pStyle w:val="110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14" w:type="dxa"/>
            <w:vAlign w:val="center"/>
            <w:textDirection w:val="lrTb"/>
            <w:noWrap w:val="false"/>
          </w:tcPr>
          <w:p>
            <w:pPr>
              <w:pStyle w:val="110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0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0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55"/>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5"/>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07"/>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07"/>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7"/>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7"/>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07"/>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5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0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0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0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0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0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rPr>
                <w:sz w:val="20"/>
                <w:szCs w:val="20"/>
              </w:rPr>
            </w:pPr>
            <w:r>
              <w:rPr>
                <w:sz w:val="20"/>
                <w:szCs w:val="20"/>
              </w:rPr>
              <w:t xml:space="preserve">550 руб.</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0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0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1.1.7.1.</w:t>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07"/>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07"/>
              <w:jc w:val="center"/>
              <w:spacing w:after="120"/>
              <w:rPr>
                <w:sz w:val="20"/>
                <w:szCs w:val="20"/>
              </w:rPr>
            </w:pPr>
            <w:r>
              <w:rPr>
                <w:sz w:val="20"/>
                <w:szCs w:val="20"/>
              </w:rPr>
              <w:t xml:space="preserve">300 руб. </w:t>
            </w:r>
            <w:r>
              <w:rPr>
                <w:sz w:val="20"/>
                <w:szCs w:val="20"/>
              </w:rPr>
            </w:r>
            <w:r>
              <w:rPr>
                <w:sz w:val="20"/>
                <w:szCs w:val="20"/>
              </w:rPr>
            </w:r>
          </w:p>
          <w:p>
            <w:pPr>
              <w:pStyle w:val="1107"/>
              <w:jc w:val="center"/>
              <w:spacing w:after="120"/>
              <w:rPr>
                <w:sz w:val="20"/>
                <w:szCs w:val="20"/>
              </w:rPr>
            </w:pPr>
            <w:r>
              <w:rPr>
                <w:sz w:val="20"/>
                <w:szCs w:val="20"/>
              </w:rPr>
              <w:t xml:space="preserve">при ОБЩЕЙ СУММЕ </w:t>
            </w:r>
            <w:r>
              <w:rPr>
                <w:sz w:val="20"/>
                <w:szCs w:val="20"/>
              </w:rPr>
            </w:r>
            <w:r>
              <w:rPr>
                <w:sz w:val="20"/>
                <w:szCs w:val="20"/>
              </w:rPr>
            </w:r>
          </w:p>
          <w:p>
            <w:pPr>
              <w:pStyle w:val="1107"/>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07"/>
              <w:jc w:val="center"/>
              <w:spacing w:after="120"/>
              <w:rPr>
                <w:sz w:val="20"/>
                <w:szCs w:val="20"/>
              </w:rPr>
            </w:pPr>
            <w:r>
              <w:rPr>
                <w:sz w:val="20"/>
                <w:szCs w:val="20"/>
              </w:rPr>
              <w:t xml:space="preserve">1% от суммы </w:t>
            </w:r>
            <w:r>
              <w:rPr>
                <w:sz w:val="20"/>
                <w:szCs w:val="20"/>
              </w:rPr>
            </w:r>
            <w:r>
              <w:rPr>
                <w:sz w:val="20"/>
                <w:szCs w:val="20"/>
              </w:rPr>
            </w:r>
          </w:p>
          <w:p>
            <w:pPr>
              <w:pStyle w:val="1107"/>
              <w:jc w:val="center"/>
              <w:spacing w:after="120"/>
              <w:rPr>
                <w:sz w:val="20"/>
                <w:szCs w:val="20"/>
              </w:rPr>
            </w:pPr>
            <w:r>
              <w:rPr>
                <w:sz w:val="20"/>
                <w:szCs w:val="20"/>
              </w:rPr>
              <w:t xml:space="preserve">при ОБЩЕЙ СУММЕ</w:t>
            </w:r>
            <w:r>
              <w:rPr>
                <w:sz w:val="20"/>
                <w:szCs w:val="20"/>
              </w:rPr>
            </w:r>
            <w:r>
              <w:rPr>
                <w:sz w:val="20"/>
                <w:szCs w:val="20"/>
              </w:rPr>
            </w:r>
          </w:p>
          <w:p>
            <w:pPr>
              <w:pStyle w:val="1107"/>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07"/>
              <w:jc w:val="center"/>
              <w:spacing w:after="120"/>
              <w:rPr>
                <w:sz w:val="20"/>
                <w:szCs w:val="20"/>
              </w:rPr>
            </w:pPr>
            <w:r>
              <w:rPr>
                <w:sz w:val="20"/>
                <w:szCs w:val="20"/>
              </w:rPr>
              <w:t xml:space="preserve">1,7% от суммы </w:t>
            </w:r>
            <w:r>
              <w:rPr>
                <w:sz w:val="20"/>
                <w:szCs w:val="20"/>
              </w:rPr>
            </w:r>
            <w:r>
              <w:rPr>
                <w:sz w:val="20"/>
                <w:szCs w:val="20"/>
              </w:rPr>
            </w:r>
          </w:p>
          <w:p>
            <w:pPr>
              <w:pStyle w:val="1107"/>
              <w:jc w:val="center"/>
              <w:spacing w:after="120"/>
              <w:rPr>
                <w:sz w:val="20"/>
                <w:szCs w:val="20"/>
              </w:rPr>
            </w:pPr>
            <w:r>
              <w:rPr>
                <w:sz w:val="20"/>
                <w:szCs w:val="20"/>
              </w:rPr>
              <w:t xml:space="preserve">при ОБЩЕЙ СУММЕ</w:t>
            </w:r>
            <w:r>
              <w:rPr>
                <w:sz w:val="20"/>
                <w:szCs w:val="20"/>
              </w:rPr>
            </w:r>
            <w:r>
              <w:rPr>
                <w:sz w:val="20"/>
                <w:szCs w:val="20"/>
              </w:rPr>
            </w:r>
          </w:p>
          <w:p>
            <w:pPr>
              <w:pStyle w:val="1107"/>
              <w:jc w:val="center"/>
              <w:spacing w:after="120"/>
              <w:rPr>
                <w:sz w:val="20"/>
                <w:szCs w:val="20"/>
              </w:rPr>
            </w:pPr>
            <w:r>
              <w:rPr>
                <w:sz w:val="20"/>
                <w:szCs w:val="20"/>
              </w:rPr>
              <w:t xml:space="preserve">с 300 000,01 руб. </w:t>
            </w:r>
            <w:r>
              <w:rPr>
                <w:sz w:val="20"/>
                <w:szCs w:val="20"/>
              </w:rPr>
            </w:r>
            <w:r>
              <w:rPr>
                <w:sz w:val="20"/>
                <w:szCs w:val="20"/>
              </w:rPr>
            </w:r>
          </w:p>
          <w:p>
            <w:pPr>
              <w:pStyle w:val="1107"/>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07"/>
              <w:jc w:val="center"/>
              <w:spacing w:after="120"/>
              <w:rPr>
                <w:sz w:val="20"/>
                <w:szCs w:val="20"/>
              </w:rPr>
            </w:pPr>
            <w:r>
              <w:rPr>
                <w:sz w:val="20"/>
                <w:szCs w:val="20"/>
              </w:rPr>
              <w:t xml:space="preserve">3,7% от суммы </w:t>
            </w:r>
            <w:r>
              <w:rPr>
                <w:sz w:val="20"/>
                <w:szCs w:val="20"/>
              </w:rPr>
            </w:r>
            <w:r>
              <w:rPr>
                <w:sz w:val="20"/>
                <w:szCs w:val="20"/>
              </w:rPr>
            </w:r>
          </w:p>
          <w:p>
            <w:pPr>
              <w:pStyle w:val="1107"/>
              <w:jc w:val="center"/>
              <w:spacing w:after="120"/>
              <w:rPr>
                <w:sz w:val="20"/>
                <w:szCs w:val="20"/>
              </w:rPr>
            </w:pPr>
            <w:r>
              <w:rPr>
                <w:sz w:val="20"/>
                <w:szCs w:val="20"/>
              </w:rPr>
              <w:t xml:space="preserve">при ОБЩЕЙ СУММЕ</w:t>
            </w:r>
            <w:r>
              <w:rPr>
                <w:sz w:val="20"/>
                <w:szCs w:val="20"/>
              </w:rPr>
            </w:r>
            <w:r>
              <w:rPr>
                <w:sz w:val="20"/>
                <w:szCs w:val="20"/>
              </w:rPr>
            </w:r>
          </w:p>
          <w:p>
            <w:pPr>
              <w:pStyle w:val="1107"/>
              <w:jc w:val="center"/>
              <w:spacing w:after="120"/>
              <w:rPr>
                <w:sz w:val="20"/>
                <w:szCs w:val="20"/>
              </w:rPr>
            </w:pPr>
            <w:r>
              <w:rPr>
                <w:sz w:val="20"/>
                <w:szCs w:val="20"/>
              </w:rPr>
              <w:t xml:space="preserve">с 2 000 000,01 руб. </w:t>
            </w:r>
            <w:r>
              <w:rPr>
                <w:sz w:val="20"/>
                <w:szCs w:val="20"/>
              </w:rPr>
            </w:r>
            <w:r>
              <w:rPr>
                <w:sz w:val="20"/>
                <w:szCs w:val="20"/>
              </w:rPr>
            </w:r>
          </w:p>
          <w:p>
            <w:pPr>
              <w:pStyle w:val="1107"/>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07"/>
              <w:jc w:val="center"/>
              <w:spacing w:after="120"/>
              <w:rPr>
                <w:sz w:val="20"/>
                <w:szCs w:val="20"/>
              </w:rPr>
            </w:pPr>
            <w:r>
              <w:rPr>
                <w:sz w:val="20"/>
                <w:szCs w:val="20"/>
              </w:rPr>
              <w:t xml:space="preserve">6% от суммы</w:t>
            </w:r>
            <w:r>
              <w:rPr>
                <w:sz w:val="20"/>
                <w:szCs w:val="20"/>
              </w:rPr>
            </w:r>
            <w:r>
              <w:rPr>
                <w:sz w:val="20"/>
                <w:szCs w:val="20"/>
              </w:rPr>
            </w:r>
          </w:p>
          <w:p>
            <w:pPr>
              <w:pStyle w:val="1107"/>
              <w:jc w:val="center"/>
              <w:spacing w:after="120"/>
              <w:rPr>
                <w:sz w:val="20"/>
                <w:szCs w:val="20"/>
              </w:rPr>
            </w:pPr>
            <w:r>
              <w:rPr>
                <w:sz w:val="20"/>
                <w:szCs w:val="20"/>
              </w:rPr>
              <w:t xml:space="preserve">при ОБЩЕЙ СУММЕ</w:t>
            </w:r>
            <w:r>
              <w:rPr>
                <w:sz w:val="20"/>
                <w:szCs w:val="20"/>
              </w:rPr>
            </w:r>
            <w:r>
              <w:rPr>
                <w:sz w:val="20"/>
                <w:szCs w:val="20"/>
              </w:rPr>
            </w:r>
          </w:p>
          <w:p>
            <w:pPr>
              <w:pStyle w:val="1107"/>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0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0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07"/>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0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0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0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07"/>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07"/>
              <w:jc w:val="both"/>
              <w:rPr>
                <w:sz w:val="20"/>
                <w:szCs w:val="20"/>
              </w:rPr>
            </w:pPr>
            <w:r>
              <w:rPr>
                <w:sz w:val="20"/>
                <w:szCs w:val="20"/>
              </w:rPr>
              <w:t xml:space="preserve">- перечисление алиментов, пенсий,</w:t>
            </w:r>
            <w:r>
              <w:rPr>
                <w:sz w:val="20"/>
                <w:szCs w:val="20"/>
              </w:rPr>
            </w:r>
            <w:r>
              <w:rPr>
                <w:sz w:val="20"/>
                <w:szCs w:val="20"/>
              </w:rPr>
            </w:r>
          </w:p>
          <w:p>
            <w:pPr>
              <w:pStyle w:val="110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0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0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0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0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0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0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0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0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07"/>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0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0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0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0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0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07"/>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2"/>
                <w:szCs w:val="22"/>
              </w:rPr>
            </w:pPr>
            <w:r>
              <w:rPr>
                <w:bCs/>
                <w:sz w:val="22"/>
                <w:szCs w:val="22"/>
              </w:rPr>
              <w:t xml:space="preserve">500 руб.</w:t>
            </w:r>
            <w:r>
              <w:rPr>
                <w:bCs/>
                <w:sz w:val="22"/>
                <w:szCs w:val="22"/>
              </w:rPr>
            </w:r>
            <w:r>
              <w:rPr>
                <w:bCs/>
                <w:sz w:val="22"/>
                <w:szCs w:val="22"/>
              </w:rPr>
            </w:r>
          </w:p>
          <w:p>
            <w:pPr>
              <w:pStyle w:val="1107"/>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0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0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07"/>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1107"/>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07"/>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07"/>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14" w:type="dxa"/>
            <w:vAlign w:val="top"/>
            <w:textDirection w:val="lrTb"/>
            <w:noWrap w:val="false"/>
          </w:tcPr>
          <w:p>
            <w:pPr>
              <w:pStyle w:val="110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3000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ind w:left="-52" w:firstLine="52"/>
              <w:jc w:val="both"/>
              <w:spacing w:before="40"/>
              <w:rPr>
                <w:bCs/>
                <w:sz w:val="20"/>
                <w:szCs w:val="20"/>
              </w:rPr>
            </w:pPr>
            <w:r>
              <w:rPr>
                <w:bCs/>
                <w:sz w:val="20"/>
                <w:szCs w:val="20"/>
              </w:rPr>
            </w:r>
            <w:r>
              <w:rPr>
                <w:bCs/>
                <w:sz w:val="20"/>
                <w:szCs w:val="20"/>
              </w:rPr>
            </w:r>
            <w:r>
              <w:rPr>
                <w:bCs/>
                <w:sz w:val="20"/>
                <w:szCs w:val="20"/>
              </w:rPr>
            </w:r>
          </w:p>
          <w:p>
            <w:pPr>
              <w:pStyle w:val="1107"/>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07"/>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07"/>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07"/>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07"/>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07"/>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07"/>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07"/>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07"/>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07"/>
              <w:jc w:val="both"/>
              <w:spacing w:before="40" w:after="40"/>
              <w:rPr>
                <w:bCs/>
                <w:sz w:val="20"/>
                <w:szCs w:val="20"/>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2"/>
                <w:szCs w:val="22"/>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rPr>
                <w:sz w:val="20"/>
                <w:szCs w:val="20"/>
              </w:rPr>
            </w:pPr>
            <w:r>
              <w:rPr>
                <w:sz w:val="20"/>
                <w:szCs w:val="20"/>
              </w:rPr>
              <w:t xml:space="preserve">0,33%</w:t>
            </w:r>
            <w:r>
              <w:rPr>
                <w:sz w:val="20"/>
                <w:szCs w:val="20"/>
              </w:rPr>
            </w:r>
            <w:r>
              <w:rPr>
                <w:sz w:val="20"/>
                <w:szCs w:val="20"/>
              </w:rPr>
            </w:r>
          </w:p>
          <w:p>
            <w:pPr>
              <w:pStyle w:val="1107"/>
              <w:jc w:val="center"/>
              <w:rPr>
                <w:sz w:val="20"/>
                <w:szCs w:val="20"/>
              </w:rPr>
            </w:pPr>
            <w:r>
              <w:rPr>
                <w:sz w:val="20"/>
                <w:szCs w:val="20"/>
              </w:rPr>
              <w:t xml:space="preserve">минимум </w:t>
            </w:r>
            <w:r>
              <w:rPr>
                <w:sz w:val="20"/>
                <w:szCs w:val="20"/>
              </w:rPr>
            </w:r>
            <w:r>
              <w:rPr>
                <w:sz w:val="20"/>
                <w:szCs w:val="20"/>
              </w:rPr>
            </w:r>
          </w:p>
          <w:p>
            <w:pPr>
              <w:pStyle w:val="1107"/>
              <w:jc w:val="center"/>
              <w:rPr>
                <w:sz w:val="20"/>
                <w:szCs w:val="20"/>
              </w:rPr>
            </w:pPr>
            <w:r>
              <w:rPr>
                <w:sz w:val="20"/>
                <w:szCs w:val="20"/>
              </w:rPr>
              <w:t xml:space="preserve">25 долл. США,</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07"/>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0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07"/>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0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0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0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07"/>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07"/>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07"/>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07"/>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
                <w:bCs/>
                <w:i/>
                <w:sz w:val="20"/>
                <w:szCs w:val="20"/>
              </w:rPr>
            </w:pPr>
            <w:r>
              <w:rPr>
                <w:b/>
                <w:bCs/>
                <w:i/>
                <w:sz w:val="20"/>
                <w:szCs w:val="20"/>
              </w:rPr>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14" w:type="dxa"/>
            <w:vAlign w:val="top"/>
            <w:textDirection w:val="lrTb"/>
            <w:noWrap w:val="false"/>
          </w:tcPr>
          <w:p>
            <w:pPr>
              <w:pStyle w:val="1107"/>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07"/>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0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07"/>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07"/>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250 руб. 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07"/>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0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0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rPr>
                <w:bCs/>
                <w:sz w:val="20"/>
                <w:szCs w:val="20"/>
              </w:rPr>
            </w:pPr>
            <w:r>
              <w:rPr>
                <w:bCs/>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rPr>
                <w:sz w:val="20"/>
                <w:szCs w:val="20"/>
              </w:rPr>
            </w:pPr>
            <w:r>
              <w:rPr>
                <w:sz w:val="20"/>
                <w:szCs w:val="20"/>
              </w:rPr>
              <w:t xml:space="preserve">Не взимается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0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0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07"/>
        <w:rPr>
          <w:lang w:eastAsia="en-US"/>
        </w:rPr>
      </w:pPr>
      <w:r>
        <w:rPr>
          <w:lang w:eastAsia="en-US"/>
        </w:rPr>
      </w:r>
      <w:r>
        <w:rPr>
          <w:lang w:eastAsia="en-US"/>
        </w:rPr>
      </w:r>
      <w:r>
        <w:rPr>
          <w:lang w:eastAsia="en-US"/>
        </w:rPr>
      </w:r>
    </w:p>
    <w:p>
      <w:pPr>
        <w:pStyle w:val="1107"/>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0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7"/>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0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07"/>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11"/>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7"/>
              <w:jc w:val="center"/>
              <w:rPr>
                <w:b/>
                <w:bCs/>
                <w:sz w:val="20"/>
                <w:szCs w:val="20"/>
              </w:rPr>
            </w:pPr>
            <w:r>
              <w:rPr>
                <w:b/>
                <w:bCs/>
                <w:sz w:val="20"/>
                <w:szCs w:val="20"/>
              </w:rPr>
              <w:t xml:space="preserve">№</w:t>
            </w:r>
            <w:r>
              <w:rPr>
                <w:b/>
                <w:bCs/>
                <w:sz w:val="20"/>
                <w:szCs w:val="20"/>
              </w:rPr>
            </w:r>
            <w:r>
              <w:rPr>
                <w:b/>
                <w:bCs/>
                <w:sz w:val="20"/>
                <w:szCs w:val="20"/>
              </w:rPr>
            </w:r>
          </w:p>
          <w:p>
            <w:pPr>
              <w:pStyle w:val="1107"/>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0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0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0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7"/>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07"/>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7"/>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7"/>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07"/>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07"/>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07"/>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7"/>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07"/>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07"/>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07"/>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7"/>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07"/>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07"/>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07"/>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07"/>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7"/>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7"/>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7"/>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7"/>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7"/>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07"/>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07"/>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07"/>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7"/>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07"/>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07"/>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07"/>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07"/>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07"/>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07"/>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both"/>
              <w:spacing w:before="40"/>
              <w:rPr>
                <w:sz w:val="20"/>
                <w:szCs w:val="20"/>
                <w:lang w:eastAsia="en-US"/>
              </w:rPr>
            </w:pPr>
            <w:r>
              <w:rPr>
                <w:sz w:val="20"/>
                <w:szCs w:val="20"/>
                <w:lang w:val="en-US"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07"/>
        <w:rPr>
          <w:bCs/>
          <w:sz w:val="20"/>
          <w:szCs w:val="20"/>
          <w:u w:val="single"/>
        </w:rPr>
      </w:pPr>
      <w:r>
        <w:rPr>
          <w:bCs/>
          <w:sz w:val="20"/>
          <w:szCs w:val="20"/>
          <w:u w:val="single"/>
        </w:rPr>
      </w:r>
      <w:r>
        <w:rPr>
          <w:bCs/>
          <w:sz w:val="20"/>
          <w:szCs w:val="20"/>
          <w:u w:val="single"/>
        </w:rPr>
      </w:r>
      <w:r>
        <w:rPr>
          <w:bCs/>
          <w:sz w:val="20"/>
          <w:szCs w:val="20"/>
          <w:u w:val="single"/>
        </w:rPr>
      </w:r>
    </w:p>
    <w:p>
      <w:pPr>
        <w:pStyle w:val="1107"/>
        <w:rPr>
          <w:bCs/>
          <w:sz w:val="20"/>
          <w:szCs w:val="20"/>
          <w:u w:val="single"/>
        </w:rPr>
      </w:pPr>
      <w:r>
        <w:rPr>
          <w:bCs/>
          <w:sz w:val="20"/>
          <w:szCs w:val="20"/>
          <w:u w:val="single"/>
        </w:rPr>
      </w:r>
      <w:r>
        <w:rPr>
          <w:bCs/>
          <w:sz w:val="20"/>
          <w:szCs w:val="20"/>
          <w:u w:val="single"/>
        </w:rPr>
      </w:r>
      <w:r>
        <w:rPr>
          <w:bCs/>
          <w:sz w:val="20"/>
          <w:szCs w:val="20"/>
          <w:u w:val="single"/>
        </w:rPr>
      </w:r>
    </w:p>
    <w:p>
      <w:pPr>
        <w:pStyle w:val="1107"/>
        <w:rPr>
          <w:bCs/>
          <w:sz w:val="20"/>
          <w:szCs w:val="20"/>
          <w:u w:val="single"/>
        </w:rPr>
      </w:pPr>
      <w:r>
        <w:rPr>
          <w:bCs/>
          <w:sz w:val="20"/>
          <w:szCs w:val="20"/>
          <w:u w:val="single"/>
        </w:rPr>
      </w:r>
      <w:r>
        <w:rPr>
          <w:bCs/>
          <w:sz w:val="20"/>
          <w:szCs w:val="20"/>
          <w:u w:val="single"/>
        </w:rPr>
      </w:r>
      <w:r>
        <w:rPr>
          <w:bCs/>
          <w:sz w:val="20"/>
          <w:szCs w:val="20"/>
          <w:u w:val="single"/>
        </w:rPr>
      </w:r>
    </w:p>
    <w:p>
      <w:pPr>
        <w:pStyle w:val="1107"/>
        <w:rPr>
          <w:bCs/>
          <w:sz w:val="20"/>
          <w:szCs w:val="20"/>
          <w:u w:val="single"/>
        </w:rPr>
      </w:pPr>
      <w:r>
        <w:rPr>
          <w:bCs/>
          <w:sz w:val="20"/>
          <w:szCs w:val="20"/>
          <w:u w:val="single"/>
        </w:rPr>
      </w:r>
      <w:r>
        <w:rPr>
          <w:bCs/>
          <w:sz w:val="20"/>
          <w:szCs w:val="20"/>
          <w:u w:val="single"/>
        </w:rPr>
      </w:r>
      <w:r>
        <w:rPr>
          <w:bCs/>
          <w:sz w:val="20"/>
          <w:szCs w:val="20"/>
          <w:u w:val="single"/>
        </w:rPr>
      </w:r>
    </w:p>
    <w:p>
      <w:pPr>
        <w:pStyle w:val="1107"/>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07"/>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07"/>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07"/>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07"/>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07"/>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07"/>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0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1"/>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07"/>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07"/>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07"/>
              <w:contextualSpacing/>
              <w:jc w:val="center"/>
              <w:spacing w:before="40"/>
              <w:rPr>
                <w:sz w:val="20"/>
                <w:szCs w:val="20"/>
              </w:rPr>
            </w:pPr>
            <w:r>
              <w:rPr>
                <w:sz w:val="20"/>
                <w:szCs w:val="20"/>
              </w:rPr>
              <w:t xml:space="preserve">0,15 % </w:t>
            </w:r>
            <w:r>
              <w:rPr>
                <w:sz w:val="20"/>
                <w:szCs w:val="20"/>
              </w:rPr>
            </w:r>
            <w:r>
              <w:rPr>
                <w:sz w:val="20"/>
                <w:szCs w:val="20"/>
              </w:rPr>
            </w:r>
          </w:p>
          <w:p>
            <w:pPr>
              <w:pStyle w:val="1107"/>
              <w:contextualSpacing/>
              <w:jc w:val="center"/>
              <w:spacing w:before="40"/>
              <w:rPr>
                <w:sz w:val="20"/>
                <w:szCs w:val="20"/>
              </w:rPr>
            </w:pPr>
            <w:r>
              <w:rPr>
                <w:sz w:val="20"/>
                <w:szCs w:val="20"/>
              </w:rPr>
              <w:t xml:space="preserve">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w:t>
            </w:r>
            <w:r>
              <w:rPr>
                <w:sz w:val="20"/>
                <w:szCs w:val="20"/>
              </w:rPr>
              <w:t xml:space="preserve">(далее – </w:t>
            </w:r>
            <w:r>
              <w:rPr>
                <w:sz w:val="20"/>
                <w:szCs w:val="20"/>
              </w:rPr>
              <w:t xml:space="preserve">«ЦРМ</w:t>
            </w:r>
            <w:r>
              <w:rPr>
                <w:sz w:val="20"/>
                <w:szCs w:val="20"/>
              </w:rPr>
              <w:t xml:space="preserve">Б») и</w:t>
            </w:r>
            <w:r>
              <w:rPr>
                <w:sz w:val="20"/>
                <w:szCs w:val="20"/>
              </w:rPr>
              <w:t xml:space="preserve"> РФ АО «Россельхозбанк» - «ЦКБ» (далее - ЦКБ),</w:t>
            </w:r>
            <w:r>
              <w:rPr>
                <w:sz w:val="20"/>
                <w:szCs w:val="20"/>
              </w:rPr>
            </w:r>
            <w:r>
              <w:rPr>
                <w:sz w:val="20"/>
                <w:szCs w:val="20"/>
              </w:rPr>
            </w:r>
          </w:p>
          <w:p>
            <w:pPr>
              <w:pStyle w:val="1107"/>
              <w:jc w:val="center"/>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tc>
        <w:tc>
          <w:tcPr>
            <w:tcBorders>
              <w:bottom w:val="single" w:color="000000" w:sz="4" w:space="0"/>
            </w:tcBorders>
            <w:tcW w:w="3969" w:type="dxa"/>
            <w:vAlign w:val="top"/>
            <w:textDirection w:val="lrTb"/>
            <w:noWrap w:val="false"/>
          </w:tcPr>
          <w:p>
            <w:pPr>
              <w:pStyle w:val="1107"/>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07"/>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07"/>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07"/>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0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0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0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0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0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0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7"/>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0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0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07"/>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07"/>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07"/>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07"/>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07"/>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07"/>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07"/>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07"/>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07"/>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07"/>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07"/>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07"/>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07"/>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07"/>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07"/>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07"/>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07"/>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07"/>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07"/>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07"/>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07"/>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07"/>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0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0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07"/>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07"/>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07"/>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07"/>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07"/>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0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07"/>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07"/>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0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07"/>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07"/>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07"/>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0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t xml:space="preserve">3 000 руб.</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0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0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0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0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0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t xml:space="preserve">0,15 % </w:t>
            </w:r>
            <w:r>
              <w:rPr>
                <w:sz w:val="20"/>
                <w:szCs w:val="20"/>
              </w:rPr>
            </w:r>
            <w:r>
              <w:rPr>
                <w:sz w:val="20"/>
                <w:szCs w:val="20"/>
              </w:rPr>
            </w:r>
          </w:p>
          <w:p>
            <w:pPr>
              <w:pStyle w:val="1107"/>
              <w:jc w:val="center"/>
              <w:rPr>
                <w:sz w:val="20"/>
                <w:szCs w:val="20"/>
              </w:rPr>
            </w:pPr>
            <w:r>
              <w:rPr>
                <w:sz w:val="20"/>
                <w:szCs w:val="20"/>
              </w:rPr>
              <w:t xml:space="preserve">минимум 500 руб., максимум 80 000 руб. 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0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7"/>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7"/>
              <w:jc w:val="both"/>
              <w:rPr>
                <w:sz w:val="20"/>
                <w:szCs w:val="20"/>
              </w:rPr>
            </w:pPr>
            <w:r>
              <w:rPr>
                <w:sz w:val="20"/>
                <w:szCs w:val="20"/>
              </w:rPr>
              <w:t xml:space="preserve">Комиссия взимается:</w:t>
            </w:r>
            <w:r>
              <w:rPr>
                <w:sz w:val="20"/>
                <w:szCs w:val="20"/>
              </w:rPr>
            </w:r>
            <w:r>
              <w:rPr>
                <w:sz w:val="20"/>
                <w:szCs w:val="20"/>
              </w:rPr>
            </w:r>
          </w:p>
          <w:p>
            <w:pPr>
              <w:pStyle w:val="110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0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07"/>
              <w:contextualSpacing/>
              <w:jc w:val="center"/>
              <w:rPr>
                <w:sz w:val="20"/>
                <w:szCs w:val="20"/>
              </w:rPr>
            </w:pPr>
            <w:r>
              <w:rPr>
                <w:sz w:val="20"/>
                <w:szCs w:val="20"/>
              </w:rPr>
              <w:t xml:space="preserve">0,12%</w:t>
            </w:r>
            <w:r>
              <w:rPr>
                <w:sz w:val="20"/>
                <w:szCs w:val="20"/>
              </w:rPr>
            </w:r>
            <w:r>
              <w:rPr>
                <w:sz w:val="20"/>
                <w:szCs w:val="20"/>
              </w:rPr>
            </w:r>
          </w:p>
          <w:p>
            <w:pPr>
              <w:pStyle w:val="1107"/>
              <w:contextualSpacing/>
              <w:jc w:val="center"/>
              <w:rPr>
                <w:sz w:val="20"/>
                <w:szCs w:val="20"/>
              </w:rPr>
            </w:pPr>
            <w:r>
              <w:rPr>
                <w:sz w:val="20"/>
                <w:szCs w:val="20"/>
              </w:rPr>
              <w:t xml:space="preserve">минимум 250 руб.,</w:t>
            </w:r>
            <w:r>
              <w:rPr>
                <w:sz w:val="20"/>
                <w:szCs w:val="20"/>
              </w:rPr>
            </w:r>
            <w:r>
              <w:rPr>
                <w:sz w:val="20"/>
                <w:szCs w:val="20"/>
              </w:rPr>
            </w:r>
          </w:p>
          <w:p>
            <w:pPr>
              <w:pStyle w:val="1107"/>
              <w:contextualSpacing/>
              <w:jc w:val="center"/>
              <w:rPr>
                <w:sz w:val="20"/>
                <w:szCs w:val="20"/>
              </w:rPr>
            </w:pPr>
            <w:r>
              <w:rPr>
                <w:sz w:val="20"/>
                <w:szCs w:val="20"/>
              </w:rPr>
              <w:t xml:space="preserve">максимум 10 000 руб.</w:t>
            </w:r>
            <w:r>
              <w:rPr>
                <w:sz w:val="20"/>
                <w:szCs w:val="20"/>
              </w:rPr>
            </w:r>
            <w:r>
              <w:rPr>
                <w:sz w:val="20"/>
                <w:szCs w:val="20"/>
              </w:rPr>
            </w:r>
          </w:p>
          <w:p>
            <w:pPr>
              <w:pStyle w:val="1107"/>
              <w:contextualSpacing/>
              <w:jc w:val="center"/>
              <w:rPr>
                <w:sz w:val="20"/>
                <w:szCs w:val="20"/>
              </w:rPr>
            </w:pPr>
            <w:r>
              <w:rPr>
                <w:sz w:val="20"/>
                <w:szCs w:val="20"/>
              </w:rPr>
              <w:t xml:space="preserve">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07"/>
              <w:contextualSpacing/>
              <w:jc w:val="center"/>
              <w:rPr>
                <w:sz w:val="20"/>
                <w:szCs w:val="20"/>
              </w:rPr>
            </w:pPr>
            <w:r>
              <w:rPr>
                <w:sz w:val="20"/>
                <w:szCs w:val="20"/>
              </w:rPr>
              <w:t xml:space="preserve">минимум 150 руб.,</w:t>
            </w:r>
            <w:r>
              <w:rPr>
                <w:sz w:val="20"/>
                <w:szCs w:val="20"/>
              </w:rPr>
            </w:r>
            <w:r>
              <w:rPr>
                <w:sz w:val="20"/>
                <w:szCs w:val="20"/>
              </w:rPr>
            </w:r>
          </w:p>
          <w:p>
            <w:pPr>
              <w:pStyle w:val="1107"/>
              <w:contextualSpacing/>
              <w:jc w:val="center"/>
              <w:rPr>
                <w:sz w:val="20"/>
                <w:szCs w:val="20"/>
              </w:rPr>
            </w:pPr>
            <w:r>
              <w:rPr>
                <w:sz w:val="20"/>
                <w:szCs w:val="20"/>
              </w:rPr>
              <w:t xml:space="preserve">максимум 5 000 руб.</w:t>
            </w:r>
            <w:r>
              <w:rPr>
                <w:sz w:val="20"/>
                <w:szCs w:val="20"/>
              </w:rPr>
            </w:r>
            <w:r>
              <w:rPr>
                <w:sz w:val="20"/>
                <w:szCs w:val="20"/>
              </w:rPr>
            </w:r>
          </w:p>
          <w:p>
            <w:pPr>
              <w:pStyle w:val="1107"/>
              <w:contextualSpacing/>
              <w:jc w:val="center"/>
              <w:rPr>
                <w:sz w:val="20"/>
                <w:szCs w:val="20"/>
              </w:rPr>
            </w:pPr>
            <w:r>
              <w:rPr>
                <w:sz w:val="20"/>
                <w:szCs w:val="20"/>
              </w:rPr>
              <w:t xml:space="preserve">для других РФ Банка</w:t>
            </w:r>
            <w:r>
              <w:rPr>
                <w:sz w:val="20"/>
                <w:szCs w:val="20"/>
              </w:rPr>
            </w:r>
            <w:r>
              <w:rPr>
                <w:sz w:val="20"/>
                <w:szCs w:val="20"/>
              </w:rPr>
            </w:r>
          </w:p>
        </w:tc>
        <w:tc>
          <w:tcPr>
            <w:tcW w:w="3969" w:type="dxa"/>
            <w:vAlign w:val="top"/>
            <w:textDirection w:val="lrTb"/>
            <w:noWrap w:val="false"/>
          </w:tcPr>
          <w:p>
            <w:pPr>
              <w:pStyle w:val="110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07"/>
              <w:jc w:val="both"/>
              <w:rPr>
                <w:b/>
                <w:sz w:val="20"/>
                <w:szCs w:val="20"/>
              </w:rPr>
            </w:pPr>
            <w:r>
              <w:rPr>
                <w:b/>
                <w:sz w:val="20"/>
                <w:szCs w:val="20"/>
              </w:rPr>
              <w:t xml:space="preserve">Комиссия не взимается:</w:t>
            </w:r>
            <w:r>
              <w:rPr>
                <w:b/>
                <w:sz w:val="20"/>
                <w:szCs w:val="20"/>
              </w:rPr>
            </w:r>
            <w:r>
              <w:rPr>
                <w:b/>
                <w:sz w:val="20"/>
                <w:szCs w:val="20"/>
              </w:rPr>
            </w:r>
          </w:p>
          <w:p>
            <w:pPr>
              <w:pStyle w:val="1107"/>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0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0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0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0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07"/>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07"/>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07"/>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07"/>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07"/>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07"/>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07"/>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07"/>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spacing w:after="120"/>
              <w:rPr>
                <w:sz w:val="20"/>
                <w:szCs w:val="20"/>
              </w:rPr>
            </w:pPr>
            <w:r>
              <w:rPr>
                <w:sz w:val="20"/>
                <w:szCs w:val="20"/>
              </w:rPr>
            </w:r>
            <w:r>
              <w:rPr>
                <w:sz w:val="20"/>
                <w:szCs w:val="20"/>
              </w:rPr>
            </w:r>
            <w:r>
              <w:rPr>
                <w:sz w:val="20"/>
                <w:szCs w:val="20"/>
              </w:rPr>
            </w:r>
          </w:p>
        </w:tc>
      </w:tr>
    </w:tbl>
    <w:p>
      <w:pPr>
        <w:pStyle w:val="1107"/>
      </w:pPr>
      <w:r/>
      <w:r/>
    </w:p>
    <w:p>
      <w:pPr>
        <w:pStyle w:val="1107"/>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07"/>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07"/>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07"/>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07"/>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07"/>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07"/>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07"/>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07"/>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07"/>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07"/>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07"/>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07"/>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07"/>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07"/>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07"/>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07"/>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07"/>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07"/>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07"/>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07"/>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07"/>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07"/>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07"/>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07"/>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07"/>
        <w:rPr>
          <w:bCs/>
          <w:i/>
          <w:sz w:val="20"/>
          <w:szCs w:val="20"/>
        </w:rPr>
      </w:pPr>
      <w:r>
        <w:rPr>
          <w:bCs/>
          <w:i/>
          <w:sz w:val="20"/>
          <w:szCs w:val="20"/>
        </w:rPr>
        <w:t xml:space="preserve">4.     При проверке СПД:</w:t>
      </w:r>
      <w:r>
        <w:rPr>
          <w:bCs/>
          <w:i/>
          <w:sz w:val="20"/>
          <w:szCs w:val="20"/>
        </w:rPr>
      </w:r>
      <w:r>
        <w:rPr>
          <w:bCs/>
          <w:i/>
          <w:sz w:val="20"/>
          <w:szCs w:val="20"/>
        </w:rPr>
      </w:r>
    </w:p>
    <w:p>
      <w:pPr>
        <w:pStyle w:val="1107"/>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07"/>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07"/>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07"/>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07"/>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07"/>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07"/>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07"/>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07"/>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07"/>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07"/>
        <w:rPr>
          <w:i/>
          <w:sz w:val="20"/>
          <w:szCs w:val="20"/>
        </w:rPr>
      </w:pPr>
      <w:r>
        <w:rPr>
          <w:i/>
          <w:sz w:val="20"/>
          <w:szCs w:val="20"/>
        </w:rPr>
      </w:r>
      <w:r>
        <w:rPr>
          <w:i/>
          <w:sz w:val="20"/>
          <w:szCs w:val="20"/>
        </w:rPr>
      </w:r>
      <w:r>
        <w:rPr>
          <w:i/>
          <w:sz w:val="20"/>
          <w:szCs w:val="20"/>
        </w:rPr>
      </w:r>
    </w:p>
    <w:p>
      <w:pPr>
        <w:pStyle w:val="110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1"/>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07"/>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0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07"/>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7"/>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0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07"/>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7"/>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0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07"/>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07"/>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07"/>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07"/>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07"/>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0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07"/>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7"/>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07"/>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7"/>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07"/>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07"/>
              <w:jc w:val="both"/>
              <w:spacing w:before="40"/>
              <w:rPr>
                <w:sz w:val="20"/>
                <w:szCs w:val="20"/>
              </w:rPr>
            </w:pPr>
            <w:r>
              <w:rPr>
                <w:sz w:val="20"/>
                <w:szCs w:val="20"/>
              </w:rPr>
              <w:t xml:space="preserve">Комиссия включает НДС.</w:t>
            </w:r>
            <w:r>
              <w:rPr>
                <w:sz w:val="20"/>
                <w:szCs w:val="20"/>
              </w:rPr>
            </w:r>
            <w:r>
              <w:rPr>
                <w:sz w:val="20"/>
                <w:szCs w:val="20"/>
              </w:rPr>
            </w:r>
          </w:p>
          <w:p>
            <w:pPr>
              <w:pStyle w:val="110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07"/>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07"/>
      </w:pPr>
      <w:r/>
      <w:bookmarkStart w:id="32" w:name="_Toc341179150"/>
      <w:r/>
      <w:bookmarkStart w:id="33" w:name="_Toc341179207"/>
      <w:r/>
      <w:r/>
    </w:p>
    <w:p>
      <w:pPr>
        <w:pStyle w:val="1111"/>
        <w:numPr>
          <w:ilvl w:val="0"/>
          <w:numId w:val="16"/>
        </w:numPr>
      </w:pPr>
      <w:r/>
      <w:bookmarkStart w:id="34" w:name="_Toc170984450"/>
      <w:r>
        <w:t xml:space="preserve">Документарные операции</w:t>
      </w:r>
      <w:bookmarkEnd w:id="32"/>
      <w:r/>
      <w:bookmarkEnd w:id="33"/>
      <w:r/>
      <w:bookmarkEnd w:id="34"/>
      <w:r/>
      <w:r/>
    </w:p>
    <w:p>
      <w:pPr>
        <w:pStyle w:val="1107"/>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
                <w:sz w:val="22"/>
                <w:szCs w:val="22"/>
              </w:rPr>
            </w:pPr>
            <w:r>
              <w:rPr>
                <w:b/>
                <w:sz w:val="22"/>
                <w:szCs w:val="22"/>
              </w:rPr>
              <w:t xml:space="preserve">№</w:t>
            </w:r>
            <w:r>
              <w:rPr>
                <w:b/>
                <w:sz w:val="22"/>
                <w:szCs w:val="22"/>
              </w:rPr>
            </w:r>
            <w:r>
              <w:rPr>
                <w:b/>
                <w:sz w:val="22"/>
                <w:szCs w:val="22"/>
              </w:rPr>
            </w:r>
          </w:p>
          <w:p>
            <w:pPr>
              <w:pStyle w:val="1107"/>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07"/>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0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0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07"/>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0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07"/>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07"/>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07"/>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0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0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0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0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07"/>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07"/>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07"/>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0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0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07"/>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07"/>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07"/>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07"/>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07"/>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07"/>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07"/>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0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07"/>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07"/>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0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07"/>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0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sz w:val="20"/>
                <w:szCs w:val="20"/>
              </w:rPr>
            </w:pPr>
            <w:r>
              <w:rPr>
                <w:sz w:val="20"/>
                <w:szCs w:val="20"/>
              </w:rPr>
              <w:t xml:space="preserve">0,15% от суммы,</w:t>
            </w:r>
            <w:r>
              <w:rPr>
                <w:sz w:val="20"/>
                <w:szCs w:val="20"/>
              </w:rPr>
            </w:r>
            <w:r>
              <w:rPr>
                <w:sz w:val="20"/>
                <w:szCs w:val="20"/>
              </w:rPr>
            </w:r>
          </w:p>
          <w:p>
            <w:pPr>
              <w:pStyle w:val="110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0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sz w:val="20"/>
                <w:szCs w:val="20"/>
              </w:rPr>
            </w:pPr>
            <w:r>
              <w:rPr>
                <w:sz w:val="20"/>
                <w:szCs w:val="20"/>
              </w:rPr>
              <w:t xml:space="preserve">0,15% от суммы,</w:t>
            </w:r>
            <w:r>
              <w:rPr>
                <w:sz w:val="20"/>
                <w:szCs w:val="20"/>
              </w:rPr>
            </w:r>
            <w:r>
              <w:rPr>
                <w:sz w:val="20"/>
                <w:szCs w:val="20"/>
              </w:rPr>
            </w:r>
          </w:p>
          <w:p>
            <w:pPr>
              <w:pStyle w:val="110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0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bl>
    <w:p>
      <w:pPr>
        <w:pStyle w:val="110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0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0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0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0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0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0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0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07"/>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07"/>
        <w:jc w:val="both"/>
        <w:rPr>
          <w:rFonts w:eastAsia="Calibri"/>
          <w:sz w:val="20"/>
          <w:szCs w:val="20"/>
          <w:lang w:val="en-US"/>
        </w:rPr>
      </w:pPr>
      <w:r>
        <w:rPr>
          <w:rFonts w:eastAsia="Calibri"/>
          <w:sz w:val="20"/>
          <w:szCs w:val="20"/>
          <w:lang w:val="en-US"/>
        </w:rPr>
      </w:r>
      <w:r>
        <w:rPr>
          <w:rFonts w:eastAsia="Calibri"/>
          <w:sz w:val="20"/>
          <w:szCs w:val="20"/>
          <w:lang w:val="en-US"/>
        </w:rPr>
      </w:r>
      <w:r>
        <w:rPr>
          <w:rFonts w:eastAsia="Calibri"/>
          <w:sz w:val="20"/>
          <w:szCs w:val="20"/>
          <w:lang w:val="en-US"/>
        </w:rPr>
      </w:r>
    </w:p>
    <w:p>
      <w:pPr>
        <w:pStyle w:val="1107"/>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1"/>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07"/>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07"/>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07"/>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07"/>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0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07"/>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07"/>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0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07"/>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07"/>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07"/>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0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07"/>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07"/>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07"/>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07"/>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07"/>
              <w:jc w:val="center"/>
              <w:spacing w:before="40"/>
              <w:rPr>
                <w:sz w:val="20"/>
                <w:szCs w:val="20"/>
              </w:rPr>
            </w:pPr>
            <w:r>
              <w:rPr>
                <w:sz w:val="20"/>
                <w:szCs w:val="20"/>
              </w:rPr>
              <w:t xml:space="preserve">6.2.2.</w:t>
            </w:r>
            <w:r>
              <w:rPr>
                <w:sz w:val="20"/>
                <w:szCs w:val="20"/>
              </w:rPr>
            </w:r>
            <w:r>
              <w:rPr>
                <w:sz w:val="20"/>
                <w:szCs w:val="20"/>
              </w:rPr>
            </w:r>
          </w:p>
          <w:p>
            <w:pPr>
              <w:pStyle w:val="110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07"/>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07"/>
              <w:jc w:val="both"/>
              <w:rPr>
                <w:b/>
                <w:bCs/>
                <w:sz w:val="20"/>
                <w:szCs w:val="20"/>
              </w:rPr>
            </w:pPr>
            <w:r>
              <w:rPr>
                <w:rFonts w:eastAsia="Calibri"/>
                <w:sz w:val="20"/>
                <w:szCs w:val="20"/>
              </w:rPr>
              <w:t xml:space="preserve">Размер и порядок уплаты комиссии фиксируется в Соглашении о по</w:t>
            </w:r>
            <w:r>
              <w:rPr>
                <w:rFonts w:eastAsia="Calibri"/>
                <w:sz w:val="20"/>
                <w:szCs w:val="20"/>
              </w:rPr>
              <w:t xml:space="preserve">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0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7"/>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0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7"/>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7"/>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0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7"/>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0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0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0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0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0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0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07"/>
      </w:pPr>
      <w:r/>
      <w:r/>
    </w:p>
    <w:p>
      <w:pPr>
        <w:pStyle w:val="1111"/>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0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0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0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0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0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0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07"/>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0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0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07"/>
              <w:spacing w:before="40" w:after="40"/>
              <w:rPr>
                <w:bCs/>
                <w:sz w:val="20"/>
                <w:szCs w:val="20"/>
              </w:rPr>
            </w:pPr>
            <w:r>
              <w:rPr>
                <w:bCs/>
                <w:sz w:val="20"/>
                <w:szCs w:val="20"/>
              </w:rPr>
              <w:t xml:space="preserve">- по Московской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07"/>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0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0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07"/>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07"/>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07"/>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07"/>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07"/>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07"/>
              <w:jc w:val="center"/>
              <w:rPr>
                <w:sz w:val="20"/>
                <w:szCs w:val="20"/>
              </w:rPr>
            </w:pPr>
            <w:r>
              <w:rPr>
                <w:sz w:val="20"/>
                <w:szCs w:val="20"/>
              </w:rPr>
              <w:t xml:space="preserve">5 000 руб. в месяц</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900 руб. в месяц</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900 руб. в месяц</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0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0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7"/>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07"/>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07"/>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07"/>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07"/>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07"/>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07"/>
              <w:jc w:val="both"/>
              <w:spacing w:before="40"/>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07"/>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07"/>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07"/>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07"/>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07"/>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0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0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07"/>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07"/>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07"/>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07"/>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07"/>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0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7"/>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7"/>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0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7"/>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07"/>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0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07"/>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07"/>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07"/>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07"/>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07"/>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07"/>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07"/>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0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07"/>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07"/>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07"/>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0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0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0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0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7"/>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07"/>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0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0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07"/>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07"/>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0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7"/>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7"/>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07"/>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7"/>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0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7"/>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0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7"/>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07"/>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07"/>
            </w:pPr>
            <w:r>
              <w:t xml:space="preserve">Сервис «SMS информирование»</w:t>
            </w:r>
            <w:r/>
          </w:p>
          <w:p>
            <w:pPr>
              <w:pStyle w:val="1107"/>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07"/>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07"/>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07"/>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07"/>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07"/>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07"/>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07"/>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07"/>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pStyle w:val="1107"/>
              <w:jc w:val="both"/>
              <w:spacing w:before="40" w:after="40"/>
              <w:rPr>
                <w:bCs/>
                <w:sz w:val="20"/>
                <w:szCs w:val="20"/>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
              <w:rPr>
                <w:rFonts w:ascii="Times New Roman" w:hAnsi="Times New Roman"/>
                <w:sz w:val="20"/>
                <w:szCs w:val="20"/>
                <w:highlight w:val="none"/>
              </w:rPr>
            </w:r>
            <w:r>
              <w:rPr>
                <w:bCs/>
                <w:sz w:val="20"/>
                <w:szCs w:val="20"/>
              </w:rPr>
            </w:r>
            <w:r>
              <w:rPr>
                <w:bCs/>
                <w:sz w:val="20"/>
                <w:szCs w:val="20"/>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pStyle w:val="1107"/>
              <w:jc w:val="both"/>
              <w:spacing w:before="40" w:after="40"/>
              <w:rPr>
                <w:bCs/>
                <w:sz w:val="20"/>
                <w:szCs w:val="20"/>
              </w:rPr>
            </w:pPr>
            <w:r>
              <w:rPr>
                <w:bCs/>
                <w:sz w:val="20"/>
                <w:szCs w:val="20"/>
              </w:rPr>
            </w:r>
            <w:r>
              <w:rPr>
                <w:bCs/>
                <w:sz w:val="20"/>
                <w:szCs w:val="20"/>
              </w:rPr>
            </w:r>
          </w:p>
        </w:tc>
      </w:tr>
    </w:tbl>
    <w:p>
      <w:pPr>
        <w:pStyle w:val="1107"/>
        <w:jc w:val="both"/>
        <w:rPr>
          <w:bCs/>
          <w:iCs/>
          <w:sz w:val="20"/>
          <w:szCs w:val="20"/>
        </w:rPr>
      </w:pPr>
      <w:r>
        <w:rPr>
          <w:bCs/>
          <w:iCs/>
          <w:sz w:val="20"/>
          <w:szCs w:val="20"/>
        </w:rPr>
      </w:r>
      <w:r>
        <w:rPr>
          <w:bCs/>
          <w:iCs/>
          <w:sz w:val="20"/>
          <w:szCs w:val="20"/>
        </w:rPr>
      </w:r>
      <w:r>
        <w:rPr>
          <w:bCs/>
          <w:iCs/>
          <w:sz w:val="20"/>
          <w:szCs w:val="20"/>
        </w:rPr>
      </w:r>
    </w:p>
    <w:p>
      <w:pPr>
        <w:pStyle w:val="1107"/>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07"/>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07"/>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ind w:right="21"/>
        <w:jc w:val="both"/>
        <w:spacing w:before="40"/>
        <w:tabs>
          <w:tab w:val="left" w:pos="284" w:leader="none"/>
          <w:tab w:val="left" w:pos="1134" w:leader="none"/>
        </w:tabs>
        <w:rPr>
          <w:bCs/>
          <w:i/>
          <w:sz w:val="20"/>
          <w:szCs w:val="20"/>
        </w:rPr>
      </w:pPr>
      <w:r>
        <w:rPr>
          <w:bCs/>
          <w:i/>
          <w:iCs/>
          <w:sz w:val="20"/>
          <w:szCs w:val="20"/>
        </w:rPr>
      </w:r>
      <w:r>
        <w:rPr>
          <w:rFonts w:eastAsia="Calibri"/>
          <w:color w:val="000000"/>
          <w:sz w:val="22"/>
          <w:szCs w:val="22"/>
          <w:highlight w:val="none"/>
          <w:lang w:eastAsia="en-US"/>
        </w:rPr>
        <w:t xml:space="preserve">5. </w:t>
      </w:r>
      <w:r>
        <w:rPr>
          <w:rFonts w:eastAsia="Calibri"/>
          <w:i/>
          <w:iCs/>
          <w:color w:val="000000"/>
          <w:sz w:val="22"/>
          <w:szCs w:val="22"/>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22"/>
          <w:szCs w:val="22"/>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22"/>
          <w:szCs w:val="22"/>
          <w:highlight w:val="none"/>
        </w:rPr>
        <w:t xml:space="preserve"> Условиями </w:t>
      </w:r>
      <w:r>
        <w:rPr>
          <w:b w:val="0"/>
          <w:bCs w:val="0"/>
          <w:i/>
          <w:iCs/>
          <w:sz w:val="22"/>
          <w:szCs w:val="22"/>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22"/>
          <w:szCs w:val="22"/>
          <w:highlight w:val="none"/>
        </w:rPr>
        <w:t xml:space="preserve">в рамках Единого сервисного договора</w:t>
      </w:r>
      <w:r>
        <w:rPr>
          <w:b w:val="0"/>
          <w:bCs w:val="0"/>
          <w:i/>
          <w:iCs/>
          <w:sz w:val="22"/>
          <w:szCs w:val="22"/>
          <w:highlight w:val="none"/>
        </w:rPr>
        <w:t xml:space="preserve"> (Приложение 2.2 к </w:t>
      </w:r>
      <w:r>
        <w:rPr>
          <w:b w:val="0"/>
          <w:bCs w:val="0"/>
          <w:i/>
          <w:iCs/>
          <w:color w:val="000000"/>
          <w:sz w:val="22"/>
          <w:szCs w:val="22"/>
          <w:highlight w:val="none"/>
        </w:rPr>
        <w:t xml:space="preserve">к Единому сер</w:t>
      </w:r>
      <w:r>
        <w:rPr>
          <w:b w:val="0"/>
          <w:bCs w:val="0"/>
          <w:i/>
          <w:iCs/>
          <w:color w:val="000000"/>
          <w:sz w:val="22"/>
          <w:szCs w:val="22"/>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22"/>
          <w:szCs w:val="22"/>
          <w:highlight w:val="none"/>
        </w:rPr>
        <w:t xml:space="preserve">ации частной практикой, в АО «Россельхозбанк»</w:t>
      </w:r>
      <w:r>
        <w:rPr>
          <w:b w:val="0"/>
          <w:bCs w:val="0"/>
          <w:i/>
          <w:iCs/>
          <w:sz w:val="22"/>
          <w:szCs w:val="22"/>
          <w:highlight w:val="none"/>
        </w:rPr>
        <w:t xml:space="preserve">).</w:t>
      </w:r>
      <w:r>
        <w:rPr>
          <w:rFonts w:ascii="Times New Roman" w:hAnsi="Times New Roman" w:eastAsia="Times New Roman"/>
          <w:bCs/>
          <w:i/>
          <w:iCs/>
          <w:sz w:val="22"/>
          <w:szCs w:val="22"/>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20"/>
          <w:szCs w:val="20"/>
        </w:rPr>
      </w:r>
      <w:r>
        <w:rPr>
          <w:bCs/>
          <w:i/>
          <w:iCs/>
          <w:sz w:val="20"/>
          <w:szCs w:val="20"/>
        </w:rPr>
      </w:r>
    </w:p>
    <w:p>
      <w:pPr>
        <w:pStyle w:val="1107"/>
        <w:ind w:right="21"/>
        <w:jc w:val="both"/>
        <w:spacing w:before="40"/>
        <w:tabs>
          <w:tab w:val="left" w:pos="284" w:leader="none"/>
          <w:tab w:val="left" w:pos="1134" w:leader="none"/>
        </w:tabs>
        <w:rPr>
          <w:i/>
          <w:iCs/>
          <w:sz w:val="20"/>
          <w:szCs w:val="20"/>
        </w:rPr>
      </w:pPr>
      <w:r>
        <w:rPr>
          <w:bCs/>
          <w:i/>
          <w:iCs/>
          <w:sz w:val="20"/>
          <w:szCs w:val="20"/>
        </w:rPr>
      </w:r>
      <w:r>
        <w:rPr>
          <w:bCs/>
          <w:i/>
          <w:iCs/>
          <w:sz w:val="20"/>
          <w:szCs w:val="20"/>
        </w:rPr>
      </w:r>
      <w:r>
        <w:rPr>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t xml:space="preserve">* </w:t>
      </w:r>
      <w:r>
        <w:rPr>
          <w:bCs/>
          <w:i/>
          <w:iCs/>
          <w:sz w:val="20"/>
          <w:szCs w:val="20"/>
        </w:rPr>
        <w:t xml:space="preserve">*</w:t>
      </w:r>
      <w:r>
        <w:rPr>
          <w:bCs/>
          <w:i/>
          <w:iCs/>
          <w:sz w:val="20"/>
          <w:szCs w:val="20"/>
        </w:rPr>
        <w:t xml:space="preserve"> </w:t>
      </w:r>
      <w:r>
        <w:rPr>
          <w:rFonts w:eastAsia="Calibri"/>
          <w:color w:val="000000"/>
          <w:sz w:val="20"/>
          <w:szCs w:val="20"/>
          <w:highlight w:val="none"/>
          <w:lang w:eastAsia="en-US"/>
        </w:rPr>
        <w:t xml:space="preserve"> </w:t>
      </w:r>
      <w:r>
        <w:rPr>
          <w:rFonts w:ascii="Times New Roman" w:hAnsi="Times New Roman" w:eastAsia="Times New Roman"/>
          <w:bCs/>
          <w:i/>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20"/>
          <w:szCs w:val="20"/>
          <w:highlight w:val="none"/>
          <w:lang w:eastAsia="ru-RU"/>
        </w:rPr>
        <w:t xml:space="preserve">, осуществляющим контроль</w:t>
      </w:r>
      <w:r>
        <w:rPr>
          <w:rFonts w:ascii="Times New Roman" w:hAnsi="Times New Roman" w:eastAsia="Times New Roman"/>
          <w:bCs/>
          <w:i/>
          <w:iCs/>
          <w:sz w:val="20"/>
          <w:szCs w:val="20"/>
          <w:highlight w:val="none"/>
          <w:lang w:eastAsia="ru-RU"/>
        </w:rPr>
        <w:t xml:space="preserve"> </w:t>
      </w:r>
      <w:r>
        <w:rPr>
          <w:rFonts w:ascii="Times New Roman" w:hAnsi="Times New Roman" w:eastAsia="Times New Roman"/>
          <w:bCs/>
          <w:i/>
          <w:iCs/>
          <w:sz w:val="20"/>
          <w:szCs w:val="20"/>
          <w:highlight w:val="none"/>
          <w:lang w:eastAsia="ru-RU"/>
        </w:rPr>
        <w:t xml:space="preserve">за платежами </w:t>
      </w:r>
      <w:r>
        <w:rPr>
          <w:rFonts w:ascii="Times New Roman" w:hAnsi="Times New Roman" w:eastAsia="Times New Roman"/>
          <w:bCs/>
          <w:i/>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
          <w:iCs/>
          <w:sz w:val="20"/>
          <w:szCs w:val="20"/>
          <w:highlight w:val="none"/>
          <w:lang w:eastAsia="ru-RU"/>
        </w:rPr>
        <w:t xml:space="preserve">«Об инвестиционных фондах»</w:t>
      </w:r>
      <w:r>
        <w:rPr>
          <w:rFonts w:eastAsia="Calibri"/>
          <w:i/>
          <w:iCs/>
          <w:color w:val="000000"/>
          <w:sz w:val="20"/>
          <w:szCs w:val="20"/>
          <w:highlight w:val="none"/>
          <w:lang w:eastAsia="en-US"/>
        </w:rPr>
        <w:t xml:space="preserve"> или </w:t>
      </w:r>
      <w:r>
        <w:rPr>
          <w:rFonts w:eastAsia="Calibri"/>
          <w:i/>
          <w:iCs/>
          <w:color w:val="000000"/>
          <w:sz w:val="20"/>
          <w:szCs w:val="20"/>
          <w:lang w:eastAsia="en-US"/>
        </w:rPr>
        <w:t xml:space="preserve">Федеральным законом </w:t>
      </w:r>
      <w:r>
        <w:rPr>
          <w:i/>
          <w:iCs/>
          <w:sz w:val="20"/>
          <w:szCs w:val="20"/>
        </w:rPr>
        <w:t xml:space="preserve">от 07.05.1998 №</w:t>
      </w:r>
      <w:r>
        <w:rPr>
          <w:i/>
          <w:iCs/>
          <w:sz w:val="20"/>
          <w:szCs w:val="20"/>
        </w:rPr>
        <w:t xml:space="preserve"> </w:t>
      </w:r>
      <w:r>
        <w:rPr>
          <w:i/>
          <w:iCs/>
          <w:sz w:val="20"/>
          <w:szCs w:val="20"/>
        </w:rPr>
        <w:t xml:space="preserve">75-ФЗ «О негосударственных пенсионных фондах»,</w:t>
      </w:r>
      <w:r>
        <w:rPr>
          <w:rFonts w:eastAsia="Calibri"/>
          <w:i/>
          <w:iCs/>
          <w:color w:val="000000"/>
          <w:sz w:val="20"/>
          <w:szCs w:val="20"/>
          <w:highlight w:val="none"/>
          <w:lang w:eastAsia="en-US"/>
        </w:rPr>
        <w:t xml:space="preserve"> </w:t>
      </w:r>
      <w:r>
        <w:rPr>
          <w:rFonts w:eastAsia="Calibri"/>
          <w:i/>
          <w:iCs/>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07"/>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11"/>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0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07"/>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0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0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07"/>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07"/>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07"/>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0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07"/>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07"/>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07"/>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0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07"/>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07"/>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07"/>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0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07"/>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07"/>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07"/>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0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1"/>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07"/>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07"/>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07"/>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07"/>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07"/>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94х280х480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p>
            <w:pPr>
              <w:pStyle w:val="1107"/>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131х280х480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9.1.4.</w:t>
            </w:r>
            <w:r>
              <w:rPr>
                <w:sz w:val="20"/>
                <w:szCs w:val="20"/>
              </w:rPr>
            </w:r>
            <w:r>
              <w:rPr>
                <w:sz w:val="20"/>
                <w:szCs w:val="20"/>
              </w:rPr>
            </w:r>
          </w:p>
        </w:tc>
        <w:tc>
          <w:tcPr>
            <w:shd w:val="clear" w:color="000000" w:fill="ffffff"/>
            <w:tcBorders>
              <w:top w:val="single" w:color="000000" w:sz="4" w:space="0"/>
              <w:left w:val="singl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300х600х480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105"/>
        </w:trPr>
        <w:tc>
          <w:tcPr>
            <w:tcBorders>
              <w:left w:val="single" w:color="000000" w:sz="4" w:space="0"/>
              <w:bottom w:val="single" w:color="000000" w:sz="4" w:space="0"/>
              <w:right w:val="single" w:color="000000" w:sz="4" w:space="0"/>
            </w:tcBorders>
            <w:tcW w:w="851" w:type="dxa"/>
            <w:vAlign w:val="bottom"/>
            <w:textDirection w:val="lrTb"/>
            <w:noWrap/>
          </w:tcPr>
          <w:p>
            <w:pPr>
              <w:pStyle w:val="1107"/>
              <w:rPr>
                <w:b/>
                <w:bCs/>
              </w:rPr>
            </w:pPr>
            <w:r>
              <w:rPr>
                <w:b/>
                <w:bCs/>
              </w:rPr>
            </w:r>
            <w:r>
              <w:rPr>
                <w:b/>
                <w:bCs/>
              </w:rPr>
            </w:r>
            <w:r>
              <w:rPr>
                <w:b/>
                <w:bCs/>
              </w:rPr>
            </w:r>
          </w:p>
        </w:tc>
        <w:tc>
          <w:tcPr>
            <w:tcBorders>
              <w:left w:val="single" w:color="000000" w:sz="4" w:space="0"/>
              <w:bottom w:val="single" w:color="000000" w:sz="4" w:space="0"/>
              <w:right w:val="single" w:color="000000" w:sz="4" w:space="0"/>
            </w:tcBorders>
            <w:tcW w:w="3969"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bottom"/>
            <w:textDirection w:val="lrTb"/>
            <w:noWrap/>
          </w:tcPr>
          <w:p>
            <w:pPr>
              <w:pStyle w:val="1107"/>
              <w:rPr>
                <w:sz w:val="20"/>
                <w:szCs w:val="20"/>
              </w:rPr>
            </w:pPr>
            <w:r>
              <w:rPr>
                <w:sz w:val="20"/>
                <w:szCs w:val="20"/>
              </w:rPr>
            </w:r>
            <w:r>
              <w:rPr>
                <w:sz w:val="20"/>
                <w:szCs w:val="20"/>
              </w:rPr>
            </w:r>
            <w:r>
              <w:rPr>
                <w:sz w:val="20"/>
                <w:szCs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9.1.5.</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07"/>
              <w:spacing w:after="160" w:line="259" w:lineRule="auto"/>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07"/>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07"/>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07"/>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07"/>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16"/>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9.1.6.</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9.1.7.</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9.1.8.</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9.1.9.</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9.1.10.</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9.1.12.</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44"/>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78,4х265х480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5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9.1.15.</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214х265х480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9.1.18.</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78,4х295х480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9.1.20.</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140х295х480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251х295х480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9.1.22.</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100х310х440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125х310х440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9.1.28.</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300х310х440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65х255х375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28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ячейки135х255х375 (мм) </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210х255х375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right w:val="single" w:color="000000" w:sz="4" w:space="0"/>
            </w:tcBorders>
            <w:tcW w:w="1985" w:type="dxa"/>
            <w:vAlign w:val="top"/>
            <w:textDirection w:val="lrTb"/>
            <w:noWrap w:val="false"/>
          </w:tcPr>
          <w:p>
            <w:pPr>
              <w:pStyle w:val="1107"/>
              <w:rPr>
                <w:i/>
                <w:sz w:val="20"/>
                <w:szCs w:val="20"/>
              </w:rPr>
            </w:pPr>
            <w:r>
              <w:rPr>
                <w:i/>
                <w:sz w:val="20"/>
                <w:szCs w:val="20"/>
              </w:rPr>
              <w:t xml:space="preserve"> </w:t>
            </w:r>
            <w:r>
              <w:rPr>
                <w:i/>
                <w:sz w:val="20"/>
                <w:szCs w:val="20"/>
              </w:rPr>
            </w:r>
            <w:r>
              <w:rPr>
                <w:i/>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130х300х500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300х300х500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146х260х390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9.1.35.</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220х260х390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07"/>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r>
        <w:tblPrEx/>
        <w:trPr>
          <w:trHeight w:val="16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07"/>
              <w:rPr>
                <w:color w:val="000000"/>
                <w:sz w:val="18"/>
                <w:szCs w:val="18"/>
              </w:rPr>
            </w:pPr>
            <w:r>
              <w:rPr>
                <w:color w:val="000000"/>
                <w:sz w:val="18"/>
                <w:szCs w:val="18"/>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07"/>
              <w:rPr>
                <w:color w:val="000000"/>
                <w:sz w:val="18"/>
                <w:szCs w:val="18"/>
              </w:rPr>
            </w:pPr>
            <w:r>
              <w:rPr>
                <w:color w:val="000000"/>
                <w:sz w:val="18"/>
                <w:szCs w:val="18"/>
              </w:rPr>
              <w:t xml:space="preserve">Сумма неустойки уплачивается в день возврата ключа</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07"/>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bl>
    <w:p>
      <w:pPr>
        <w:pStyle w:val="1107"/>
        <w:rPr>
          <w:lang w:eastAsia="en-US"/>
        </w:rPr>
      </w:pPr>
      <w:r>
        <w:rPr>
          <w:lang w:eastAsia="en-US"/>
        </w:rPr>
      </w:r>
      <w:r>
        <w:rPr>
          <w:lang w:eastAsia="en-US"/>
        </w:rPr>
      </w:r>
      <w:r>
        <w:rPr>
          <w:lang w:eastAsia="en-US"/>
        </w:rPr>
      </w:r>
    </w:p>
    <w:p>
      <w:pPr>
        <w:pStyle w:val="1107"/>
        <w:rPr>
          <w:lang w:eastAsia="en-US"/>
        </w:rPr>
      </w:pPr>
      <w:r>
        <w:rPr>
          <w:lang w:eastAsia="en-US"/>
        </w:rPr>
      </w:r>
      <w:r>
        <w:rPr>
          <w:lang w:eastAsia="en-US"/>
        </w:rPr>
      </w:r>
      <w:r>
        <w:rPr>
          <w:lang w:eastAsia="en-US"/>
        </w:rPr>
      </w:r>
    </w:p>
    <w:p>
      <w:pPr>
        <w:pStyle w:val="1111"/>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07"/>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07"/>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07"/>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07"/>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07"/>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07"/>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07"/>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07"/>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07"/>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0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07"/>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0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7"/>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07"/>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0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07"/>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07"/>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07"/>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07"/>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07"/>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07"/>
        <w:tabs>
          <w:tab w:val="left" w:pos="2985" w:leader="none"/>
        </w:tabs>
        <w:rPr>
          <w:sz w:val="20"/>
          <w:szCs w:val="20"/>
        </w:rPr>
      </w:pPr>
      <w:r>
        <w:rPr>
          <w:sz w:val="20"/>
          <w:szCs w:val="20"/>
        </w:rPr>
      </w:r>
      <w:r>
        <w:rPr>
          <w:sz w:val="20"/>
          <w:szCs w:val="20"/>
        </w:rPr>
      </w:r>
      <w:r>
        <w:rPr>
          <w:sz w:val="20"/>
          <w:szCs w:val="20"/>
        </w:rPr>
      </w:r>
    </w:p>
    <w:p>
      <w:pPr>
        <w:pStyle w:val="1111"/>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07"/>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0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0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0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07"/>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07"/>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0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0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0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0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0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0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07"/>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0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0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0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0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0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0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7"/>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07"/>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07"/>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07"/>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07"/>
        <w:rPr>
          <w:lang w:eastAsia="en-US"/>
        </w:rPr>
      </w:pPr>
      <w:r/>
      <w:bookmarkStart w:id="81" w:name="_Toc314217418"/>
      <w:r/>
      <w:bookmarkStart w:id="82" w:name="_Toc341179160"/>
      <w:r/>
      <w:bookmarkStart w:id="83" w:name="_Toc341179217"/>
      <w:r/>
      <w:bookmarkStart w:id="84" w:name="_Toc341179381"/>
      <w:r>
        <w:rPr>
          <w:lang w:eastAsia="en-US"/>
        </w:rPr>
      </w:r>
      <w:r>
        <w:rPr>
          <w:lang w:eastAsia="en-US"/>
        </w:rPr>
      </w:r>
    </w:p>
    <w:p>
      <w:pPr>
        <w:pStyle w:val="1107"/>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7"/>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07"/>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7"/>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0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74"/>
                <w:sz w:val="20"/>
                <w:szCs w:val="20"/>
              </w:rPr>
              <w:footnoteReference w:id="2"/>
            </w:r>
            <w:r>
              <w:rPr>
                <w:sz w:val="20"/>
                <w:szCs w:val="20"/>
              </w:rPr>
              <w:t xml:space="preserve"> со дня, следующего за: </w:t>
            </w:r>
            <w:r>
              <w:rPr>
                <w:sz w:val="20"/>
                <w:szCs w:val="20"/>
              </w:rPr>
            </w:r>
            <w:r>
              <w:rPr>
                <w:sz w:val="20"/>
                <w:szCs w:val="20"/>
              </w:rPr>
            </w:r>
          </w:p>
          <w:p>
            <w:pPr>
              <w:pStyle w:val="110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07"/>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0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07"/>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0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55"/>
              <w:numPr>
                <w:ilvl w:val="0"/>
                <w:numId w:val="27"/>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0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0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74"/>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более 1%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rPr>
                <w:sz w:val="20"/>
                <w:szCs w:val="20"/>
              </w:rPr>
            </w:pPr>
            <w:r>
              <w:rPr>
                <w:sz w:val="20"/>
                <w:szCs w:val="20"/>
              </w:rPr>
              <w:t xml:space="preserve">При изменении:</w:t>
            </w:r>
            <w:r>
              <w:rPr>
                <w:sz w:val="20"/>
                <w:szCs w:val="20"/>
              </w:rPr>
            </w:r>
            <w:r>
              <w:rPr>
                <w:sz w:val="20"/>
                <w:szCs w:val="20"/>
              </w:rPr>
            </w:r>
          </w:p>
          <w:p>
            <w:pPr>
              <w:pStyle w:val="110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0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0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0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0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0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0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07"/>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07"/>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07"/>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07"/>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07"/>
              <w:jc w:val="center"/>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07"/>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07"/>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0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0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0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0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07"/>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0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both"/>
              <w:spacing w:before="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7"/>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0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0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07"/>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after="40"/>
              <w:rPr>
                <w:sz w:val="20"/>
                <w:szCs w:val="20"/>
              </w:rPr>
            </w:pPr>
            <w:r>
              <w:rPr>
                <w:sz w:val="20"/>
                <w:szCs w:val="20"/>
              </w:rPr>
              <w:t xml:space="preserve">0,2% от суммы, </w:t>
            </w:r>
            <w:r>
              <w:rPr>
                <w:sz w:val="20"/>
                <w:szCs w:val="20"/>
              </w:rPr>
            </w:r>
            <w:r>
              <w:rPr>
                <w:sz w:val="20"/>
                <w:szCs w:val="20"/>
              </w:rPr>
            </w:r>
          </w:p>
          <w:p>
            <w:pPr>
              <w:pStyle w:val="1107"/>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r>
              <w:rPr>
                <w:sz w:val="20"/>
                <w:szCs w:val="20"/>
              </w:rPr>
            </w:r>
          </w:p>
          <w:p>
            <w:pPr>
              <w:pStyle w:val="110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07"/>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0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07"/>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0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07"/>
              <w:jc w:val="both"/>
              <w:spacing w:before="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07"/>
              <w:jc w:val="both"/>
              <w:spacing w:before="40"/>
              <w:rPr>
                <w:sz w:val="20"/>
                <w:szCs w:val="20"/>
              </w:rPr>
            </w:pPr>
            <w:r>
              <w:rPr>
                <w:sz w:val="20"/>
                <w:szCs w:val="20"/>
              </w:rPr>
            </w:r>
            <w:r>
              <w:rPr>
                <w:sz w:val="20"/>
                <w:szCs w:val="20"/>
              </w:rPr>
            </w:r>
            <w:r>
              <w:rPr>
                <w:sz w:val="20"/>
                <w:szCs w:val="20"/>
              </w:rPr>
            </w:r>
          </w:p>
        </w:tc>
      </w:tr>
    </w:tbl>
    <w:p>
      <w:pPr>
        <w:pStyle w:val="1107"/>
        <w:ind w:left="284"/>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0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0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0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0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7"/>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0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0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r>
        <w:rPr>
          <w:bCs/>
          <w:iCs/>
          <w:sz w:val="20"/>
          <w:szCs w:val="20"/>
        </w:rPr>
      </w:r>
    </w:p>
    <w:p>
      <w:pPr>
        <w:pStyle w:val="110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r>
        <w:rPr>
          <w:bCs/>
          <w:iCs/>
          <w:sz w:val="20"/>
          <w:szCs w:val="20"/>
        </w:rPr>
      </w:r>
    </w:p>
    <w:p>
      <w:pPr>
        <w:pStyle w:val="110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r>
        <w:rPr>
          <w:bCs/>
          <w:iCs/>
          <w:sz w:val="20"/>
          <w:szCs w:val="20"/>
        </w:rPr>
      </w:r>
    </w:p>
    <w:p>
      <w:pPr>
        <w:pStyle w:val="110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0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07"/>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r>
        <w:rPr>
          <w:bCs/>
          <w:iCs/>
          <w:sz w:val="20"/>
          <w:szCs w:val="20"/>
        </w:rPr>
      </w:r>
    </w:p>
    <w:p>
      <w:pPr>
        <w:pStyle w:val="1107"/>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107"/>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0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107"/>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107"/>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107"/>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10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r>
        <w:rPr>
          <w:sz w:val="20"/>
          <w:szCs w:val="20"/>
        </w:rPr>
      </w:r>
    </w:p>
    <w:p>
      <w:pPr>
        <w:pStyle w:val="1107"/>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107"/>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t xml:space="preserve">.</w:t>
      </w:r>
      <w:r>
        <w:rPr>
          <w:sz w:val="20"/>
          <w:szCs w:val="20"/>
        </w:rPr>
      </w:r>
      <w:r>
        <w:rPr>
          <w:sz w:val="20"/>
          <w:szCs w:val="20"/>
        </w:rPr>
      </w:r>
    </w:p>
    <w:p>
      <w:pPr>
        <w:pStyle w:val="1107"/>
        <w:rPr>
          <w:sz w:val="20"/>
          <w:szCs w:val="20"/>
        </w:rPr>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br w:type="page" w:clear="all"/>
      </w:r>
      <w:r>
        <w:rPr>
          <w:sz w:val="20"/>
          <w:szCs w:val="20"/>
        </w:rPr>
      </w:r>
      <w:r>
        <w:rPr>
          <w:sz w:val="20"/>
          <w:szCs w:val="20"/>
        </w:rPr>
      </w:r>
    </w:p>
    <w:p>
      <w:pPr>
        <w:pStyle w:val="1107"/>
        <w:jc w:val="both"/>
        <w:spacing w:after="120"/>
        <w:rPr>
          <w:sz w:val="20"/>
          <w:szCs w:val="20"/>
        </w:rPr>
        <w:outlineLvl w:val="5"/>
      </w:pPr>
      <w:r>
        <w:rPr>
          <w:sz w:val="20"/>
          <w:szCs w:val="20"/>
        </w:rPr>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07"/>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788" w:type="dxa"/>
            <w:vAlign w:val="top"/>
            <w:textDirection w:val="lrTb"/>
            <w:noWrap w:val="false"/>
          </w:tcPr>
          <w:p>
            <w:pPr>
              <w:pStyle w:val="1107"/>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07"/>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394"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0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788"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0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394"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394" w:type="dxa"/>
            <w:vAlign w:val="top"/>
            <w:textDirection w:val="lrTb"/>
            <w:noWrap w:val="false"/>
          </w:tcPr>
          <w:p>
            <w:pPr>
              <w:pStyle w:val="1107"/>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07"/>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394" w:type="dxa"/>
            <w:vAlign w:val="top"/>
            <w:textDirection w:val="lrTb"/>
            <w:noWrap w:val="false"/>
          </w:tcPr>
          <w:p>
            <w:pPr>
              <w:pStyle w:val="1107"/>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07"/>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ППРФ от 06.09.2022 № 1570 </w:t>
            </w:r>
            <w:r>
              <w:rPr>
                <w:bCs/>
                <w:iCs/>
                <w:sz w:val="20"/>
                <w:szCs w:val="20"/>
              </w:rPr>
            </w:r>
            <w:r>
              <w:rPr>
                <w:bCs/>
                <w:iCs/>
                <w:sz w:val="20"/>
                <w:szCs w:val="20"/>
              </w:rPr>
            </w:r>
          </w:p>
          <w:p>
            <w:pPr>
              <w:pStyle w:val="1107"/>
              <w:keepNext/>
              <w:spacing w:before="40"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lang w:eastAsia="en-US"/>
              </w:rPr>
              <w:t xml:space="preserve">- Решение № </w:t>
            </w:r>
            <w:r>
              <w:rPr>
                <w:rFonts w:eastAsia="Calibri"/>
                <w:sz w:val="20"/>
                <w:szCs w:val="20"/>
                <w:lang w:eastAsia="en-US"/>
              </w:rPr>
              <w:t xml:space="preserve">2070</w:t>
            </w:r>
            <w:r>
              <w:rPr>
                <w:bCs/>
                <w:iCs/>
                <w:sz w:val="20"/>
                <w:szCs w:val="20"/>
                <w:lang w:eastAsia="en-US"/>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07"/>
        <w:ind w:firstLine="540"/>
        <w:jc w:val="both"/>
        <w:spacing w:before="40"/>
        <w:rPr>
          <w:b/>
          <w:bCs/>
          <w:sz w:val="2"/>
          <w:szCs w:val="2"/>
        </w:rPr>
      </w:pPr>
      <w:r>
        <w:rPr>
          <w:b/>
          <w:bCs/>
          <w:sz w:val="2"/>
          <w:szCs w:val="2"/>
        </w:rPr>
      </w:r>
      <w:r>
        <w:rPr>
          <w:b/>
          <w:bCs/>
          <w:sz w:val="2"/>
          <w:szCs w:val="2"/>
        </w:rPr>
      </w:r>
      <w:r>
        <w:rPr>
          <w:b/>
          <w:bCs/>
          <w:sz w:val="2"/>
          <w:szCs w:val="2"/>
        </w:rPr>
      </w:r>
    </w:p>
    <w:p>
      <w:pPr>
        <w:pStyle w:val="1107"/>
        <w:jc w:val="both"/>
        <w:rPr>
          <w:bCs/>
          <w:iCs/>
        </w:rPr>
      </w:pPr>
      <w:r>
        <w:rPr>
          <w:bCs/>
          <w:iCs/>
        </w:rPr>
      </w:r>
      <w:r>
        <w:rPr>
          <w:bCs/>
          <w:iCs/>
        </w:rPr>
      </w:r>
      <w:r>
        <w:rPr>
          <w:bCs/>
          <w:iCs/>
        </w:rPr>
      </w:r>
    </w:p>
    <w:p>
      <w:pPr>
        <w:pStyle w:val="1107"/>
        <w:rPr>
          <w:lang w:eastAsia="en-US"/>
        </w:rPr>
      </w:pPr>
      <w:r>
        <w:rPr>
          <w:lang w:eastAsia="en-US"/>
        </w:rPr>
      </w:r>
      <w:r>
        <w:rPr>
          <w:lang w:eastAsia="en-US"/>
        </w:rPr>
      </w:r>
      <w:r>
        <w:rPr>
          <w:lang w:eastAsia="en-US"/>
        </w:rPr>
      </w:r>
    </w:p>
    <w:p>
      <w:pPr>
        <w:pStyle w:val="1111"/>
        <w:ind w:left="1070"/>
        <w:jc w:val="left"/>
      </w:pPr>
      <w:r/>
      <w:bookmarkEnd w:id="81"/>
      <w:r/>
      <w:bookmarkEnd w:id="82"/>
      <w:r/>
      <w:bookmarkEnd w:id="83"/>
      <w:r/>
      <w:bookmarkStart w:id="85" w:name="_Toc317529141"/>
      <w:r>
        <w:rPr>
          <w:lang w:val="ru-RU"/>
        </w:rPr>
        <w:t xml:space="preserve">13.</w:t>
      </w:r>
      <w:r>
        <w:t xml:space="preserve"> </w:t>
      </w:r>
      <w:bookmarkEnd w:id="84"/>
      <w:r/>
      <w:bookmarkEnd w:id="85"/>
      <w:r>
        <w:t xml:space="preserve">Обслуживание торгово-сервисных предприятий</w:t>
      </w:r>
      <w:r>
        <w:footnoteReference w:id="6"/>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07"/>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0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07"/>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Согласно </w:t>
            </w:r>
            <w:r>
              <w:rPr>
                <w:sz w:val="20"/>
                <w:szCs w:val="20"/>
              </w:rPr>
            </w:r>
            <w:r>
              <w:rPr>
                <w:sz w:val="20"/>
                <w:szCs w:val="20"/>
              </w:rPr>
            </w:r>
          </w:p>
          <w:p>
            <w:pPr>
              <w:pStyle w:val="1107"/>
              <w:jc w:val="center"/>
              <w:rPr>
                <w:sz w:val="20"/>
                <w:szCs w:val="20"/>
              </w:rPr>
            </w:pPr>
            <w:r>
              <w:rPr>
                <w:sz w:val="20"/>
                <w:szCs w:val="20"/>
              </w:rPr>
              <w:t xml:space="preserve">Приложению к Тарифам</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0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07"/>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07"/>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07"/>
              <w:jc w:val="center"/>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07"/>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07"/>
              <w:jc w:val="center"/>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07"/>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088" w:type="dxa"/>
            <w:vAlign w:val="top"/>
            <w:textDirection w:val="lrTb"/>
            <w:noWrap w:val="false"/>
          </w:tcPr>
          <w:p>
            <w:pPr>
              <w:pStyle w:val="1107"/>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07"/>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07"/>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088" w:type="dxa"/>
            <w:vAlign w:val="top"/>
            <w:textDirection w:val="lrTb"/>
            <w:noWrap w:val="false"/>
          </w:tcPr>
          <w:p>
            <w:pPr>
              <w:pStyle w:val="1107"/>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07"/>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13.5.1.4.</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088" w:type="dxa"/>
            <w:vAlign w:val="top"/>
            <w:textDirection w:val="lrTb"/>
            <w:noWrap w:val="false"/>
          </w:tcPr>
          <w:p>
            <w:pPr>
              <w:pStyle w:val="1107"/>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13.6.1</w:t>
            </w:r>
            <w:r>
              <w:rPr>
                <w:sz w:val="20"/>
                <w:szCs w:val="20"/>
              </w:rPr>
            </w:r>
            <w:r>
              <w:rPr>
                <w:sz w:val="20"/>
                <w:szCs w:val="20"/>
              </w:rPr>
            </w:r>
          </w:p>
        </w:tc>
        <w:tc>
          <w:tcPr>
            <w:tcW w:w="3870" w:type="dxa"/>
            <w:vAlign w:val="top"/>
            <w:textDirection w:val="lrTb"/>
            <w:noWrap w:val="false"/>
          </w:tcPr>
          <w:p>
            <w:pPr>
              <w:pStyle w:val="1107"/>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088" w:type="dxa"/>
            <w:vAlign w:val="top"/>
            <w:textDirection w:val="lrTb"/>
            <w:noWrap w:val="false"/>
          </w:tcPr>
          <w:p>
            <w:pPr>
              <w:pStyle w:val="1107"/>
              <w:rPr>
                <w:sz w:val="20"/>
                <w:szCs w:val="20"/>
              </w:rPr>
            </w:pPr>
            <w:r>
              <w:rPr>
                <w:sz w:val="20"/>
                <w:szCs w:val="20"/>
              </w:rPr>
              <w:t xml:space="preserve">37 руб. за операцию</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13.6.2</w:t>
            </w:r>
            <w:r>
              <w:rPr>
                <w:sz w:val="20"/>
                <w:szCs w:val="20"/>
              </w:rPr>
            </w:r>
            <w:r>
              <w:rPr>
                <w:sz w:val="20"/>
                <w:szCs w:val="20"/>
              </w:rPr>
            </w:r>
          </w:p>
        </w:tc>
        <w:tc>
          <w:tcPr>
            <w:tcW w:w="3870" w:type="dxa"/>
            <w:vAlign w:val="top"/>
            <w:textDirection w:val="lrTb"/>
            <w:noWrap w:val="false"/>
          </w:tcPr>
          <w:p>
            <w:pPr>
              <w:pStyle w:val="1107"/>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088" w:type="dxa"/>
            <w:vAlign w:val="top"/>
            <w:textDirection w:val="lrTb"/>
            <w:noWrap w:val="false"/>
          </w:tcPr>
          <w:p>
            <w:pPr>
              <w:pStyle w:val="1107"/>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bl>
    <w:p>
      <w:pPr>
        <w:pStyle w:val="1107"/>
        <w:rPr>
          <w:i/>
          <w:sz w:val="20"/>
          <w:szCs w:val="20"/>
        </w:rPr>
      </w:pPr>
      <w:r>
        <w:rPr>
          <w:i/>
          <w:sz w:val="20"/>
          <w:szCs w:val="20"/>
        </w:rPr>
        <w:t xml:space="preserve">Примечание:</w:t>
      </w:r>
      <w:r>
        <w:rPr>
          <w:i/>
          <w:sz w:val="20"/>
          <w:szCs w:val="20"/>
        </w:rPr>
        <w:t xml:space="preserve">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1107"/>
      </w:pPr>
      <w:r/>
      <w:r/>
    </w:p>
    <w:p>
      <w:pPr>
        <w:pStyle w:val="1111"/>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07"/>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2 000 руб., </w:t>
            </w:r>
            <w:r>
              <w:rPr>
                <w:sz w:val="20"/>
                <w:szCs w:val="20"/>
              </w:rPr>
            </w:r>
            <w:r>
              <w:rPr>
                <w:sz w:val="20"/>
                <w:szCs w:val="20"/>
              </w:rPr>
            </w:r>
          </w:p>
          <w:p>
            <w:pPr>
              <w:pStyle w:val="1107"/>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07"/>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07"/>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07"/>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53"/>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53"/>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07"/>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53"/>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5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7"/>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53"/>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07"/>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07"/>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07"/>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7"/>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07"/>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07"/>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07"/>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07"/>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07"/>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07"/>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07"/>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7"/>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07"/>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7"/>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07"/>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7"/>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07"/>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0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0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0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0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0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0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53"/>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07"/>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07"/>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7"/>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07"/>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7"/>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07"/>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7"/>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500 руб.</w:t>
            </w:r>
            <w:r>
              <w:rPr>
                <w:sz w:val="20"/>
                <w:szCs w:val="20"/>
              </w:rPr>
            </w:r>
            <w:r>
              <w:rPr>
                <w:sz w:val="20"/>
                <w:szCs w:val="20"/>
              </w:rPr>
            </w:r>
          </w:p>
          <w:p>
            <w:pPr>
              <w:pStyle w:val="110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1 000 руб.</w:t>
            </w:r>
            <w:r>
              <w:rPr>
                <w:sz w:val="20"/>
                <w:szCs w:val="20"/>
              </w:rPr>
            </w:r>
            <w:r>
              <w:rPr>
                <w:sz w:val="20"/>
                <w:szCs w:val="20"/>
              </w:rPr>
            </w:r>
          </w:p>
          <w:p>
            <w:pPr>
              <w:pStyle w:val="110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7"/>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53"/>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53"/>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53"/>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07"/>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7"/>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7"/>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107"/>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100 руб. за лист</w:t>
            </w:r>
            <w:r>
              <w:rPr>
                <w:sz w:val="20"/>
                <w:szCs w:val="20"/>
              </w:rPr>
            </w:r>
            <w:r>
              <w:rPr>
                <w:sz w:val="20"/>
                <w:szCs w:val="20"/>
              </w:rPr>
            </w:r>
          </w:p>
        </w:tc>
        <w:tc>
          <w:tcPr>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07"/>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07"/>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07"/>
        <w:rPr>
          <w:i/>
          <w:sz w:val="16"/>
          <w:szCs w:val="16"/>
        </w:rPr>
      </w:pPr>
      <w:r>
        <w:rPr>
          <w:i/>
          <w:sz w:val="16"/>
          <w:szCs w:val="16"/>
        </w:rPr>
      </w:r>
      <w:r>
        <w:rPr>
          <w:i/>
          <w:sz w:val="16"/>
          <w:szCs w:val="16"/>
        </w:rPr>
      </w:r>
      <w:r>
        <w:rPr>
          <w:i/>
          <w:sz w:val="16"/>
          <w:szCs w:val="16"/>
        </w:rPr>
      </w:r>
    </w:p>
    <w:p>
      <w:pPr>
        <w:pStyle w:val="1111"/>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07"/>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07"/>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07"/>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07"/>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07"/>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0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0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0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0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0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0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0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0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0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07"/>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07"/>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11"/>
        <w:rPr>
          <w:lang w:val="ru-RU"/>
        </w:rPr>
      </w:pPr>
      <w:r>
        <w:t xml:space="preserve">16. Операции с драгоценными металлами</w:t>
      </w:r>
      <w:r>
        <w:rPr>
          <w:lang w:val="ru-RU"/>
        </w:rPr>
      </w:r>
      <w:r>
        <w:rPr>
          <w:lang w:val="ru-RU"/>
        </w:rPr>
      </w:r>
    </w:p>
    <w:p>
      <w:pPr>
        <w:pStyle w:val="1107"/>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07"/>
              <w:jc w:val="center"/>
              <w:rPr>
                <w:b/>
                <w:sz w:val="20"/>
                <w:szCs w:val="20"/>
              </w:rPr>
            </w:pPr>
            <w:r>
              <w:rPr>
                <w:b/>
                <w:sz w:val="20"/>
                <w:szCs w:val="20"/>
              </w:rPr>
              <w:t xml:space="preserve">№</w:t>
            </w:r>
            <w:r>
              <w:rPr>
                <w:b/>
                <w:sz w:val="20"/>
                <w:szCs w:val="20"/>
              </w:rPr>
            </w:r>
            <w:r>
              <w:rPr>
                <w:b/>
                <w:sz w:val="20"/>
                <w:szCs w:val="20"/>
              </w:rPr>
            </w:r>
          </w:p>
          <w:p>
            <w:pPr>
              <w:pStyle w:val="1107"/>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0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52"/>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w:t>
            </w:r>
            <w:r>
              <w:rPr>
                <w:rFonts w:ascii="Times New Roman" w:hAnsi="Times New Roman" w:cs="Times New Roman"/>
                <w:bCs w:val="0"/>
                <w:i w:val="0"/>
                <w:iCs w:val="0"/>
                <w:smallCaps w:val="0"/>
                <w:sz w:val="20"/>
                <w:szCs w:val="20"/>
              </w:rPr>
              <w:t xml:space="preserve"> счет</w:t>
            </w:r>
            <w:r>
              <w:rPr>
                <w:rFonts w:ascii="Times New Roman" w:hAnsi="Times New Roman" w:cs="Times New Roman"/>
                <w:bCs w:val="0"/>
                <w:i w:val="0"/>
                <w:iCs w:val="0"/>
                <w:smallCaps w:val="0"/>
                <w:sz w:val="20"/>
                <w:szCs w:val="20"/>
              </w:rPr>
              <w:t xml:space="preserve">а</w:t>
            </w:r>
            <w:r>
              <w:rPr>
                <w:rFonts w:ascii="Times New Roman" w:hAnsi="Times New Roman" w:cs="Times New Roman"/>
                <w:bCs w:val="0"/>
                <w:i w:val="0"/>
                <w:iCs w:val="0"/>
                <w:smallCaps w:val="0"/>
                <w:sz w:val="20"/>
                <w:szCs w:val="20"/>
              </w:rPr>
              <w:t xml:space="preserve">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52"/>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30" w:type="dxa"/>
            <w:vAlign w:val="top"/>
            <w:textDirection w:val="lrTb"/>
            <w:noWrap w:val="false"/>
          </w:tcPr>
          <w:p>
            <w:pPr>
              <w:pStyle w:val="1152"/>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139"/>
                <w:i/>
                <w:iCs/>
                <w:smallCaps/>
                <w:szCs w:val="22"/>
              </w:rPr>
              <w:footnoteReference w:id="8"/>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39"/>
                <w:i/>
                <w:iCs/>
                <w:smallCaps/>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spacing w:before="20"/>
                    <w:tabs>
                      <w:tab w:val="left" w:pos="58"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left w:val="single" w:color="000000" w:sz="4" w:space="0"/>
            </w:tcBorders>
            <w:tcW w:w="184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39"/>
                <w:i/>
                <w:iCs/>
                <w:smallCaps/>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07"/>
        <w:rPr>
          <w:lang w:val="en-US" w:eastAsia="en-US"/>
        </w:rPr>
      </w:pPr>
      <w:r>
        <w:rPr>
          <w:lang w:val="en-US" w:eastAsia="en-US"/>
        </w:rPr>
      </w:r>
      <w:r>
        <w:rPr>
          <w:lang w:val="en-US" w:eastAsia="en-US"/>
        </w:rPr>
      </w:r>
      <w:r>
        <w:rPr>
          <w:lang w:val="en-US" w:eastAsia="en-US"/>
        </w:rPr>
      </w:r>
    </w:p>
    <w:p>
      <w:pPr>
        <w:pStyle w:val="1107"/>
        <w:rPr>
          <w:lang w:val="en-US" w:eastAsia="en-US"/>
        </w:rPr>
      </w:pPr>
      <w:r>
        <w:rPr>
          <w:lang w:val="en-US" w:eastAsia="en-US"/>
        </w:rPr>
      </w:r>
      <w:r>
        <w:rPr>
          <w:lang w:val="en-US" w:eastAsia="en-US"/>
        </w:rPr>
      </w:r>
      <w:r>
        <w:rPr>
          <w:lang w:val="en-US" w:eastAsia="en-US"/>
        </w:rPr>
      </w:r>
    </w:p>
    <w:p>
      <w:pPr>
        <w:pStyle w:val="1111"/>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07"/>
        <w:rPr>
          <w:lang w:val="en-US" w:eastAsia="en-US"/>
        </w:rPr>
      </w:pPr>
      <w:r>
        <w:rPr>
          <w:lang w:val="en-US" w:eastAsia="en-US"/>
        </w:rPr>
      </w:r>
      <w:r>
        <w:rPr>
          <w:lang w:val="en-US" w:eastAsia="en-US"/>
        </w:rPr>
      </w:r>
      <w:r>
        <w:rPr>
          <w:lang w:val="en-US" w:eastAsia="en-US"/>
        </w:rPr>
      </w:r>
    </w:p>
    <w:tbl>
      <w:tblPr>
        <w:tblW w:w="97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66"/>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066" w:type="dxa"/>
            <w:vAlign w:val="center"/>
            <w:textDirection w:val="lrTb"/>
            <w:noWrap w:val="false"/>
          </w:tcPr>
          <w:p>
            <w:pPr>
              <w:pStyle w:val="1107"/>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434" w:type="dxa"/>
            <w:vAlign w:val="center"/>
            <w:textDirection w:val="lrTb"/>
            <w:noWrap w:val="false"/>
          </w:tcPr>
          <w:p>
            <w:pPr>
              <w:pStyle w:val="1107"/>
              <w:rPr>
                <w:b/>
                <w:bCs/>
                <w:lang w:eastAsia="en-US"/>
              </w:rPr>
            </w:pPr>
            <w:r>
              <w:rPr>
                <w:b/>
                <w:bCs/>
                <w:lang w:eastAsia="en-US"/>
              </w:rPr>
              <w:t xml:space="preserve">Наименование услуги</w:t>
            </w:r>
            <w:r>
              <w:rPr>
                <w:b/>
                <w:bCs/>
                <w:lang w:eastAsia="en-US"/>
              </w:rPr>
            </w:r>
            <w:r>
              <w:rPr>
                <w:b/>
                <w:bCs/>
                <w:lang w:eastAsia="en-US"/>
              </w:rPr>
            </w:r>
          </w:p>
        </w:tc>
        <w:tc>
          <w:tcPr>
            <w:tcW w:w="1833" w:type="dxa"/>
            <w:vAlign w:val="center"/>
            <w:textDirection w:val="lrTb"/>
            <w:noWrap w:val="false"/>
          </w:tcPr>
          <w:p>
            <w:pPr>
              <w:pStyle w:val="1107"/>
              <w:rPr>
                <w:b/>
                <w:bCs/>
                <w:lang w:eastAsia="en-US"/>
              </w:rPr>
            </w:pPr>
            <w:r>
              <w:rPr>
                <w:b/>
                <w:bCs/>
                <w:lang w:eastAsia="en-US"/>
              </w:rPr>
              <w:t xml:space="preserve">Тариф</w:t>
            </w:r>
            <w:r>
              <w:rPr>
                <w:b/>
                <w:bCs/>
                <w:lang w:eastAsia="en-US"/>
              </w:rPr>
            </w:r>
            <w:r>
              <w:rPr>
                <w:b/>
                <w:bCs/>
                <w:lang w:eastAsia="en-US"/>
              </w:rPr>
            </w:r>
          </w:p>
        </w:tc>
        <w:tc>
          <w:tcPr>
            <w:tcW w:w="3448" w:type="dxa"/>
            <w:vAlign w:val="center"/>
            <w:textDirection w:val="lrTb"/>
            <w:noWrap w:val="false"/>
          </w:tcPr>
          <w:p>
            <w:pPr>
              <w:pStyle w:val="1107"/>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Смена логина</w:t>
            </w:r>
            <w:r>
              <w:rPr>
                <w:sz w:val="20"/>
                <w:szCs w:val="20"/>
                <w:lang w:eastAsia="en-US"/>
              </w:rPr>
              <w:footnoteReference w:id="11"/>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34" w:type="dxa"/>
            <w:vAlign w:val="top"/>
            <w:textDirection w:val="lrTb"/>
            <w:noWrap w:val="false"/>
          </w:tcPr>
          <w:p>
            <w:pPr>
              <w:pStyle w:val="1107"/>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33" w:type="dxa"/>
            <w:vAlign w:val="top"/>
            <w:textDirection w:val="lrTb"/>
            <w:noWrap w:val="false"/>
          </w:tcPr>
          <w:p>
            <w:pPr>
              <w:pStyle w:val="1107"/>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434" w:type="dxa"/>
            <w:vAlign w:val="top"/>
            <w:textDirection w:val="lrTb"/>
            <w:noWrap w:val="false"/>
          </w:tcPr>
          <w:p>
            <w:pPr>
              <w:pStyle w:val="110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448" w:type="dxa"/>
            <w:vAlign w:val="top"/>
            <w:textDirection w:val="lrTb"/>
            <w:noWrap w:val="false"/>
          </w:tcPr>
          <w:p>
            <w:pPr>
              <w:pStyle w:val="1107"/>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0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0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07"/>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34" w:type="dxa"/>
            <w:vAlign w:val="top"/>
            <w:textDirection w:val="lrTb"/>
            <w:noWrap w:val="false"/>
          </w:tcPr>
          <w:p>
            <w:pPr>
              <w:pStyle w:val="1107"/>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07"/>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0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07"/>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Смена логина</w:t>
            </w:r>
            <w:r>
              <w:rPr>
                <w:sz w:val="20"/>
                <w:szCs w:val="20"/>
                <w:lang w:eastAsia="en-US"/>
              </w:rPr>
              <w:footnoteReference w:id="12"/>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p>
            <w:pPr>
              <w:pStyle w:val="1107"/>
              <w:rPr>
                <w:sz w:val="20"/>
                <w:szCs w:val="20"/>
                <w:lang w:eastAsia="en-US"/>
              </w:rPr>
            </w:pPr>
            <w:r>
              <w:rPr>
                <w:sz w:val="20"/>
                <w:szCs w:val="20"/>
                <w:lang w:eastAsia="en-US"/>
              </w:rPr>
            </w:r>
            <w:r>
              <w:rPr>
                <w:sz w:val="20"/>
                <w:szCs w:val="20"/>
                <w:lang w:eastAsia="en-US"/>
              </w:rPr>
            </w:r>
            <w:r>
              <w:rPr>
                <w:sz w:val="20"/>
                <w:szCs w:val="20"/>
                <w:lang w:eastAsia="en-US"/>
              </w:rPr>
            </w:r>
          </w:p>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bl>
    <w:p>
      <w:pPr>
        <w:pStyle w:val="1107"/>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07"/>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07"/>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07"/>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r>
      <w:r>
        <mc:AlternateContent>
          <mc:Choice Requires="wpg">
            <w:drawing>
              <wp:inline xmlns:wp="http://schemas.openxmlformats.org/drawingml/2006/wordprocessingDrawing" distT="0" distB="0" distL="0" distR="0">
                <wp:extent cx="6344791" cy="4463977"/>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1181509391" name=""/>
                        <pic:cNvPicPr/>
                        <pic:nvPr/>
                      </pic:nvPicPr>
                      <pic:blipFill>
                        <a:blip r:embed="rId12">
                          <a:extLst>
                            <a:ext uri="{96DAC541-7B7A-43D3-8B79-37D633B846F1}">
                              <asvg:svgBlip xmlns:asvg="http://schemas.microsoft.com/office/drawing/2016/SVG/main" r:embed="rId13"/>
                            </a:ext>
                          </a:extLst>
                        </a:blip>
                        <a:srcRect l="0" t="0" r="0" b="17807"/>
                        <a:stretch/>
                      </pic:blipFill>
                      <pic:spPr bwMode="auto">
                        <a:xfrm rot="0" flipH="0" flipV="0">
                          <a:off x="0" y="0"/>
                          <a:ext cx="6344789" cy="4463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9.59pt;height:351.49pt;mso-wrap-distance-left:0.00pt;mso-wrap-distance-top:0.00pt;mso-wrap-distance-right:0.00pt;mso-wrap-distance-bottom:0.00pt;rotation:0;" stroked="f">
                <v:path textboxrect="0,0,0,0"/>
                <v:imagedata r:id="rId12" o:title=""/>
              </v:shape>
            </w:pict>
          </mc:Fallback>
        </mc:AlternateContent>
      </w:r>
      <w:r>
        <w:rPr>
          <w:bCs/>
          <w:i/>
          <w:iCs/>
          <w:sz w:val="20"/>
          <w:szCs w:val="20"/>
          <w:lang w:eastAsia="en-US"/>
        </w:rPr>
      </w:r>
      <w:r>
        <w:rPr>
          <w:bCs/>
          <w:i/>
          <w:iCs/>
          <w:sz w:val="20"/>
          <w:szCs w:val="20"/>
          <w:lang w:eastAsia="en-US"/>
        </w:rPr>
      </w:r>
    </w:p>
    <w:p>
      <w:pPr>
        <w:pStyle w:val="1107"/>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i/>
          <w:iCs/>
          <w:sz w:val="20"/>
          <w:szCs w:val="20"/>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i/>
          <w:iCs/>
          <w:sz w:val="20"/>
          <w:szCs w:val="20"/>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iCs/>
          <w:sz w:val="20"/>
          <w:szCs w:val="20"/>
          <w:highlight w:val="none"/>
          <w:lang w:eastAsia="en-US"/>
        </w:rPr>
      </w:r>
      <w:r>
        <w:rPr>
          <w:bCs/>
          <w:i/>
          <w:sz w:val="20"/>
          <w:szCs w:val="20"/>
          <w:lang w:eastAsia="en-US"/>
        </w:rPr>
      </w:r>
    </w:p>
    <w:p>
      <w:pPr>
        <w:rPr>
          <w:bCs/>
          <w:i/>
          <w:sz w:val="20"/>
          <w:szCs w:val="20"/>
          <w:lang w:eastAsia="en-US"/>
        </w:rPr>
      </w:pPr>
      <w:r>
        <w:rPr>
          <w:bCs/>
          <w:i/>
          <w:iCs/>
          <w:sz w:val="20"/>
          <w:szCs w:val="20"/>
          <w:lang w:eastAsia="en-US"/>
        </w:rPr>
      </w:r>
      <w:r>
        <w:rPr>
          <w:bCs/>
          <w:i/>
          <w:iCs/>
          <w:sz w:val="20"/>
          <w:szCs w:val="20"/>
          <w:lang w:eastAsia="en-US"/>
        </w:rPr>
      </w:r>
      <w:r>
        <w:rPr>
          <w:bCs/>
          <w:i/>
          <w:sz w:val="20"/>
          <w:szCs w:val="20"/>
          <w:lang w:eastAsia="en-US"/>
        </w:rPr>
      </w:r>
    </w:p>
    <w:p>
      <w:pPr>
        <w:rPr>
          <w:bCs/>
          <w:i/>
          <w:sz w:val="20"/>
          <w:szCs w:val="20"/>
          <w:lang w:eastAsia="en-US"/>
        </w:rPr>
      </w:pPr>
      <w:r>
        <w:rPr>
          <w:i/>
          <w:iCs/>
          <w:sz w:val="20"/>
          <w:szCs w:val="20"/>
          <w:lang w:eastAsia="en-US"/>
        </w:rPr>
      </w:r>
      <w:r>
        <w:rPr>
          <w:i/>
          <w:iCs/>
          <w:sz w:val="20"/>
          <w:szCs w:val="20"/>
          <w:lang w:eastAsia="en-US"/>
        </w:rPr>
      </w:r>
      <w:r>
        <w:rPr>
          <w:bCs/>
          <w:i/>
          <w:sz w:val="20"/>
          <w:szCs w:val="20"/>
          <w:lang w:eastAsia="en-US"/>
        </w:rPr>
      </w:r>
    </w:p>
    <w:p>
      <w:pPr>
        <w:pStyle w:val="1107"/>
        <w:rPr>
          <w:i/>
          <w:iCs/>
          <w:sz w:val="20"/>
          <w:szCs w:val="20"/>
          <w:lang w:eastAsia="en-US"/>
        </w:rPr>
      </w:pPr>
      <w:r>
        <w:rPr>
          <w:bCs/>
          <w:i/>
          <w:iCs/>
          <w:sz w:val="20"/>
          <w:szCs w:val="20"/>
          <w:lang w:eastAsia="en-US"/>
        </w:rPr>
      </w:r>
      <w:r>
        <w:rPr>
          <w:i/>
          <w:iCs/>
          <w:sz w:val="20"/>
          <w:szCs w:val="20"/>
          <w:lang w:eastAsia="en-US"/>
        </w:rPr>
      </w:r>
      <w:r>
        <w:rPr>
          <w:i/>
          <w:iCs/>
          <w:sz w:val="20"/>
          <w:szCs w:val="20"/>
          <w:lang w:eastAsia="en-US"/>
        </w:rPr>
      </w:r>
    </w:p>
    <w:p>
      <w:pPr>
        <w:pStyle w:val="1107"/>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11"/>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07"/>
              <w:ind w:hanging="137"/>
              <w:jc w:val="center"/>
              <w:rPr>
                <w:sz w:val="22"/>
                <w:szCs w:val="22"/>
              </w:rPr>
            </w:pPr>
            <w:r>
              <w:rPr>
                <w:sz w:val="22"/>
                <w:szCs w:val="22"/>
              </w:rPr>
              <w:t xml:space="preserve">№</w:t>
            </w:r>
            <w:r>
              <w:rPr>
                <w:sz w:val="22"/>
                <w:szCs w:val="22"/>
              </w:rPr>
            </w:r>
            <w:r>
              <w:rPr>
                <w:sz w:val="22"/>
                <w:szCs w:val="22"/>
              </w:rPr>
            </w:r>
          </w:p>
          <w:p>
            <w:pPr>
              <w:pStyle w:val="1107"/>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07"/>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07"/>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07"/>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sz w:val="22"/>
                <w:szCs w:val="22"/>
              </w:rPr>
            </w:pPr>
            <w:r>
              <w:rPr>
                <w:sz w:val="22"/>
                <w:szCs w:val="22"/>
              </w:rPr>
              <w:t xml:space="preserve">1.</w:t>
            </w:r>
            <w:r>
              <w:rPr>
                <w:sz w:val="22"/>
                <w:szCs w:val="22"/>
              </w:rPr>
            </w:r>
            <w:r>
              <w:rPr>
                <w:sz w:val="22"/>
                <w:szCs w:val="22"/>
              </w:rPr>
            </w:r>
          </w:p>
        </w:tc>
        <w:tc>
          <w:tcPr>
            <w:gridSpan w:val="3"/>
            <w:tcW w:w="9781" w:type="dxa"/>
            <w:vAlign w:val="top"/>
            <w:textDirection w:val="lrTb"/>
            <w:noWrap w:val="false"/>
          </w:tcPr>
          <w:p>
            <w:pPr>
              <w:pStyle w:val="1107"/>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sz w:val="22"/>
                <w:szCs w:val="22"/>
              </w:rPr>
            </w:pPr>
            <w:r>
              <w:rPr>
                <w:sz w:val="22"/>
                <w:szCs w:val="22"/>
              </w:rPr>
              <w:t xml:space="preserve">1.1.</w:t>
            </w:r>
            <w:r>
              <w:rPr>
                <w:sz w:val="22"/>
                <w:szCs w:val="22"/>
              </w:rPr>
            </w:r>
            <w:r>
              <w:rPr>
                <w:sz w:val="22"/>
                <w:szCs w:val="22"/>
              </w:rPr>
            </w:r>
          </w:p>
        </w:tc>
        <w:tc>
          <w:tcPr>
            <w:tcW w:w="5953" w:type="dxa"/>
            <w:vAlign w:val="top"/>
            <w:textDirection w:val="lrTb"/>
            <w:noWrap w:val="false"/>
          </w:tcPr>
          <w:p>
            <w:pPr>
              <w:pStyle w:val="1107"/>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985" w:type="dxa"/>
            <w:vAlign w:val="top"/>
            <w:textDirection w:val="lrTb"/>
            <w:noWrap w:val="false"/>
          </w:tcPr>
          <w:p>
            <w:pPr>
              <w:pStyle w:val="1107"/>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07"/>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sz w:val="22"/>
                <w:szCs w:val="22"/>
              </w:rPr>
            </w:pPr>
            <w:r>
              <w:rPr>
                <w:sz w:val="22"/>
                <w:szCs w:val="22"/>
              </w:rPr>
              <w:t xml:space="preserve">1.2.</w:t>
            </w:r>
            <w:r>
              <w:rPr>
                <w:sz w:val="22"/>
                <w:szCs w:val="22"/>
              </w:rPr>
            </w:r>
            <w:r>
              <w:rPr>
                <w:sz w:val="22"/>
                <w:szCs w:val="22"/>
              </w:rPr>
            </w:r>
          </w:p>
        </w:tc>
        <w:tc>
          <w:tcPr>
            <w:tcW w:w="5953" w:type="dxa"/>
            <w:vAlign w:val="top"/>
            <w:textDirection w:val="lrTb"/>
            <w:noWrap w:val="false"/>
          </w:tcPr>
          <w:p>
            <w:pPr>
              <w:pStyle w:val="1107"/>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985" w:type="dxa"/>
            <w:vAlign w:val="top"/>
            <w:textDirection w:val="lrTb"/>
            <w:noWrap w:val="false"/>
          </w:tcPr>
          <w:p>
            <w:pPr>
              <w:pStyle w:val="1107"/>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07"/>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07"/>
        <w:ind w:left="-425" w:right="-284" w:firstLine="709"/>
        <w:jc w:val="both"/>
        <w:spacing w:before="120"/>
      </w:pPr>
      <w:r>
        <w:t xml:space="preserve">* Срок действия – до 31.12.20</w:t>
      </w:r>
      <w:r>
        <w:t xml:space="preserve">25</w:t>
      </w:r>
      <w:r>
        <w:t xml:space="preserve"> (включительно).</w:t>
      </w: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5"/>
        <w:jc w:val="both"/>
        <w:rPr>
          <w:sz w:val="18"/>
          <w:szCs w:val="18"/>
          <w:lang w:val="ru-RU"/>
        </w:rPr>
      </w:pPr>
      <w:r>
        <w:rPr>
          <w:rStyle w:val="1174"/>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r>
        <w:rPr>
          <w:sz w:val="18"/>
          <w:szCs w:val="18"/>
          <w:lang w:val="ru-RU"/>
        </w:rPr>
      </w:r>
    </w:p>
  </w:footnote>
  <w:footnote w:id="3">
    <w:p>
      <w:pPr>
        <w:pStyle w:val="1175"/>
        <w:jc w:val="both"/>
        <w:rPr>
          <w:sz w:val="18"/>
          <w:szCs w:val="18"/>
          <w:lang w:val="ru-RU"/>
        </w:rPr>
      </w:pPr>
      <w:r>
        <w:rPr>
          <w:rStyle w:val="1174"/>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4">
    <w:p>
      <w:pPr>
        <w:pStyle w:val="1175"/>
        <w:jc w:val="both"/>
        <w:rPr>
          <w:sz w:val="18"/>
          <w:szCs w:val="18"/>
          <w:lang w:val="ru-RU"/>
        </w:rPr>
      </w:pPr>
      <w:r>
        <w:rPr>
          <w:rStyle w:val="1174"/>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5">
    <w:p>
      <w:pPr>
        <w:pStyle w:val="1175"/>
        <w:rPr>
          <w:sz w:val="18"/>
          <w:szCs w:val="18"/>
          <w:lang w:val="ru-RU"/>
        </w:rPr>
      </w:pPr>
      <w:r>
        <w:rPr>
          <w:rStyle w:val="1174"/>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6">
    <w:p>
      <w:pPr>
        <w:pStyle w:val="1155"/>
        <w:ind w:left="0"/>
        <w:jc w:val="both"/>
        <w:spacing w:line="240" w:lineRule="auto"/>
        <w:tabs>
          <w:tab w:val="left" w:pos="426" w:leader="none"/>
        </w:tabs>
        <w:rPr>
          <w:sz w:val="24"/>
          <w:szCs w:val="24"/>
        </w:rPr>
      </w:pPr>
      <w:r>
        <w:rPr>
          <w:rStyle w:val="1139"/>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7">
    <w:p>
      <w:pPr>
        <w:pStyle w:val="1107"/>
        <w:ind w:right="-17"/>
        <w:jc w:val="both"/>
        <w:spacing w:before="40" w:after="40"/>
        <w:tabs>
          <w:tab w:val="left" w:pos="4464" w:leader="none"/>
          <w:tab w:val="left" w:pos="5760" w:leader="none"/>
        </w:tabs>
        <w:rPr>
          <w:rFonts w:eastAsia="Calibri"/>
          <w:i/>
          <w:sz w:val="20"/>
          <w:szCs w:val="20"/>
        </w:rPr>
      </w:pPr>
      <w:r>
        <w:rPr>
          <w:rStyle w:val="1139"/>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07"/>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8">
    <w:p>
      <w:pPr>
        <w:pStyle w:val="1136"/>
        <w:rPr>
          <w:sz w:val="18"/>
          <w:szCs w:val="18"/>
        </w:rPr>
      </w:pPr>
      <w:r>
        <w:rPr>
          <w:rStyle w:val="1139"/>
          <w:sz w:val="18"/>
          <w:szCs w:val="18"/>
        </w:rPr>
        <w:footnoteRef/>
      </w:r>
      <w:r>
        <w:rPr>
          <w:sz w:val="18"/>
          <w:szCs w:val="18"/>
        </w:rP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36"/>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36"/>
        <w:jc w:val="both"/>
        <w:rPr>
          <w:sz w:val="18"/>
          <w:szCs w:val="18"/>
        </w:rPr>
      </w:pPr>
      <w:r>
        <w:rPr>
          <w:rStyle w:val="113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3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36"/>
        <w:jc w:val="both"/>
        <w:rPr>
          <w:sz w:val="18"/>
          <w:szCs w:val="18"/>
        </w:rPr>
      </w:pPr>
      <w:r>
        <w:rPr>
          <w:rStyle w:val="113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3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07"/>
        <w:jc w:val="both"/>
        <w:rPr>
          <w:bCs/>
          <w:i/>
          <w:sz w:val="20"/>
          <w:szCs w:val="20"/>
          <w:lang w:eastAsia="en-US"/>
        </w:rPr>
      </w:pPr>
      <w:r>
        <w:rPr>
          <w:rStyle w:val="1139"/>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36"/>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2">
    <w:p>
      <w:pPr>
        <w:pStyle w:val="1107"/>
        <w:jc w:val="both"/>
        <w:rPr>
          <w:bCs/>
          <w:sz w:val="18"/>
          <w:szCs w:val="18"/>
          <w:lang w:eastAsia="en-US"/>
        </w:rPr>
      </w:pPr>
      <w:r>
        <w:rPr>
          <w:rStyle w:val="113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36"/>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66</w:t>
    </w:r>
    <w:r>
      <w:rPr>
        <w:sz w:val="20"/>
        <w:szCs w:val="20"/>
      </w:rPr>
      <w:fldChar w:fldCharType="end"/>
    </w:r>
    <w:r>
      <w:rPr>
        <w:sz w:val="20"/>
        <w:szCs w:val="20"/>
      </w:rPr>
    </w:r>
    <w:r>
      <w:rPr>
        <w:sz w:val="20"/>
        <w:szCs w:val="20"/>
      </w:rPr>
    </w:r>
  </w:p>
  <w:p>
    <w:pPr>
      <w:pStyle w:val="1128"/>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8"/>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7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19"/>
  </w:num>
  <w:num w:numId="10">
    <w:abstractNumId w:val="13"/>
  </w:num>
  <w:num w:numId="11">
    <w:abstractNumId w:val="15"/>
  </w:num>
  <w:num w:numId="12">
    <w:abstractNumId w:val="3"/>
  </w:num>
  <w:num w:numId="13">
    <w:abstractNumId w:val="0"/>
  </w:num>
  <w:num w:numId="14">
    <w:abstractNumId w:val="5"/>
  </w:num>
  <w:num w:numId="15">
    <w:abstractNumId w:val="17"/>
  </w:num>
  <w:num w:numId="16">
    <w:abstractNumId w:val="18"/>
  </w:num>
  <w:num w:numId="17">
    <w:abstractNumId w:val="12"/>
  </w:num>
  <w:num w:numId="18">
    <w:abstractNumId w:val="4"/>
  </w:num>
  <w:num w:numId="19">
    <w:abstractNumId w:val="20"/>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9">
    <w:name w:val="Heading 1"/>
    <w:basedOn w:val="1107"/>
    <w:next w:val="1107"/>
    <w:link w:val="930"/>
    <w:uiPriority w:val="9"/>
    <w:qFormat/>
    <w:pPr>
      <w:keepLines/>
      <w:keepNext/>
      <w:spacing w:before="480" w:after="200"/>
      <w:outlineLvl w:val="0"/>
    </w:pPr>
    <w:rPr>
      <w:rFonts w:ascii="Arial" w:hAnsi="Arial" w:eastAsia="Arial" w:cs="Arial"/>
      <w:sz w:val="40"/>
      <w:szCs w:val="40"/>
    </w:rPr>
  </w:style>
  <w:style w:type="character" w:styleId="930">
    <w:name w:val="Heading 1 Char"/>
    <w:link w:val="929"/>
    <w:uiPriority w:val="9"/>
    <w:rPr>
      <w:rFonts w:ascii="Arial" w:hAnsi="Arial" w:eastAsia="Arial" w:cs="Arial"/>
      <w:sz w:val="40"/>
      <w:szCs w:val="40"/>
    </w:rPr>
  </w:style>
  <w:style w:type="paragraph" w:styleId="931">
    <w:name w:val="Heading 2"/>
    <w:basedOn w:val="1107"/>
    <w:next w:val="1107"/>
    <w:link w:val="932"/>
    <w:uiPriority w:val="9"/>
    <w:unhideWhenUsed/>
    <w:qFormat/>
    <w:pPr>
      <w:keepLines/>
      <w:keepNext/>
      <w:spacing w:before="360" w:after="200"/>
      <w:outlineLvl w:val="1"/>
    </w:pPr>
    <w:rPr>
      <w:rFonts w:ascii="Arial" w:hAnsi="Arial" w:eastAsia="Arial" w:cs="Arial"/>
      <w:sz w:val="34"/>
    </w:rPr>
  </w:style>
  <w:style w:type="character" w:styleId="932">
    <w:name w:val="Heading 2 Char"/>
    <w:link w:val="931"/>
    <w:uiPriority w:val="9"/>
    <w:rPr>
      <w:rFonts w:ascii="Arial" w:hAnsi="Arial" w:eastAsia="Arial" w:cs="Arial"/>
      <w:sz w:val="34"/>
    </w:rPr>
  </w:style>
  <w:style w:type="paragraph" w:styleId="933">
    <w:name w:val="Heading 3"/>
    <w:basedOn w:val="1107"/>
    <w:next w:val="1107"/>
    <w:link w:val="934"/>
    <w:uiPriority w:val="9"/>
    <w:unhideWhenUsed/>
    <w:qFormat/>
    <w:pPr>
      <w:keepLines/>
      <w:keepNext/>
      <w:spacing w:before="320" w:after="200"/>
      <w:outlineLvl w:val="2"/>
    </w:pPr>
    <w:rPr>
      <w:rFonts w:ascii="Arial" w:hAnsi="Arial" w:eastAsia="Arial" w:cs="Arial"/>
      <w:sz w:val="30"/>
      <w:szCs w:val="30"/>
    </w:rPr>
  </w:style>
  <w:style w:type="character" w:styleId="934">
    <w:name w:val="Heading 3 Char"/>
    <w:link w:val="933"/>
    <w:uiPriority w:val="9"/>
    <w:rPr>
      <w:rFonts w:ascii="Arial" w:hAnsi="Arial" w:eastAsia="Arial" w:cs="Arial"/>
      <w:sz w:val="30"/>
      <w:szCs w:val="30"/>
    </w:rPr>
  </w:style>
  <w:style w:type="paragraph" w:styleId="935">
    <w:name w:val="Heading 4"/>
    <w:basedOn w:val="1107"/>
    <w:next w:val="1107"/>
    <w:link w:val="936"/>
    <w:uiPriority w:val="9"/>
    <w:unhideWhenUsed/>
    <w:qFormat/>
    <w:pPr>
      <w:keepLines/>
      <w:keepNext/>
      <w:spacing w:before="320" w:after="200"/>
      <w:outlineLvl w:val="3"/>
    </w:pPr>
    <w:rPr>
      <w:rFonts w:ascii="Arial" w:hAnsi="Arial" w:eastAsia="Arial" w:cs="Arial"/>
      <w:b/>
      <w:bCs/>
      <w:sz w:val="26"/>
      <w:szCs w:val="26"/>
    </w:rPr>
  </w:style>
  <w:style w:type="character" w:styleId="936">
    <w:name w:val="Heading 4 Char"/>
    <w:link w:val="935"/>
    <w:uiPriority w:val="9"/>
    <w:rPr>
      <w:rFonts w:ascii="Arial" w:hAnsi="Arial" w:eastAsia="Arial" w:cs="Arial"/>
      <w:b/>
      <w:bCs/>
      <w:sz w:val="26"/>
      <w:szCs w:val="26"/>
    </w:rPr>
  </w:style>
  <w:style w:type="paragraph" w:styleId="937">
    <w:name w:val="Heading 5"/>
    <w:basedOn w:val="1107"/>
    <w:next w:val="1107"/>
    <w:link w:val="938"/>
    <w:uiPriority w:val="9"/>
    <w:unhideWhenUsed/>
    <w:qFormat/>
    <w:pPr>
      <w:keepLines/>
      <w:keepNext/>
      <w:spacing w:before="320" w:after="200"/>
      <w:outlineLvl w:val="4"/>
    </w:pPr>
    <w:rPr>
      <w:rFonts w:ascii="Arial" w:hAnsi="Arial" w:eastAsia="Arial" w:cs="Arial"/>
      <w:b/>
      <w:bCs/>
      <w:sz w:val="24"/>
      <w:szCs w:val="24"/>
    </w:rPr>
  </w:style>
  <w:style w:type="character" w:styleId="938">
    <w:name w:val="Heading 5 Char"/>
    <w:link w:val="937"/>
    <w:uiPriority w:val="9"/>
    <w:rPr>
      <w:rFonts w:ascii="Arial" w:hAnsi="Arial" w:eastAsia="Arial" w:cs="Arial"/>
      <w:b/>
      <w:bCs/>
      <w:sz w:val="24"/>
      <w:szCs w:val="24"/>
    </w:rPr>
  </w:style>
  <w:style w:type="paragraph" w:styleId="939">
    <w:name w:val="Heading 6"/>
    <w:basedOn w:val="1107"/>
    <w:next w:val="1107"/>
    <w:link w:val="940"/>
    <w:uiPriority w:val="9"/>
    <w:unhideWhenUsed/>
    <w:qFormat/>
    <w:pPr>
      <w:keepLines/>
      <w:keepNext/>
      <w:spacing w:before="320" w:after="200"/>
      <w:outlineLvl w:val="5"/>
    </w:pPr>
    <w:rPr>
      <w:rFonts w:ascii="Arial" w:hAnsi="Arial" w:eastAsia="Arial" w:cs="Arial"/>
      <w:b/>
      <w:bCs/>
      <w:sz w:val="22"/>
      <w:szCs w:val="22"/>
    </w:rPr>
  </w:style>
  <w:style w:type="character" w:styleId="940">
    <w:name w:val="Heading 6 Char"/>
    <w:link w:val="939"/>
    <w:uiPriority w:val="9"/>
    <w:rPr>
      <w:rFonts w:ascii="Arial" w:hAnsi="Arial" w:eastAsia="Arial" w:cs="Arial"/>
      <w:b/>
      <w:bCs/>
      <w:sz w:val="22"/>
      <w:szCs w:val="22"/>
    </w:rPr>
  </w:style>
  <w:style w:type="paragraph" w:styleId="941">
    <w:name w:val="Heading 7"/>
    <w:basedOn w:val="1107"/>
    <w:next w:val="1107"/>
    <w:link w:val="942"/>
    <w:uiPriority w:val="9"/>
    <w:unhideWhenUsed/>
    <w:qFormat/>
    <w:pPr>
      <w:keepLines/>
      <w:keepNext/>
      <w:spacing w:before="320" w:after="200"/>
      <w:outlineLvl w:val="6"/>
    </w:pPr>
    <w:rPr>
      <w:rFonts w:ascii="Arial" w:hAnsi="Arial" w:eastAsia="Arial" w:cs="Arial"/>
      <w:b/>
      <w:bCs/>
      <w:i/>
      <w:iCs/>
      <w:sz w:val="22"/>
      <w:szCs w:val="22"/>
    </w:rPr>
  </w:style>
  <w:style w:type="character" w:styleId="942">
    <w:name w:val="Heading 7 Char"/>
    <w:link w:val="941"/>
    <w:uiPriority w:val="9"/>
    <w:rPr>
      <w:rFonts w:ascii="Arial" w:hAnsi="Arial" w:eastAsia="Arial" w:cs="Arial"/>
      <w:b/>
      <w:bCs/>
      <w:i/>
      <w:iCs/>
      <w:sz w:val="22"/>
      <w:szCs w:val="22"/>
    </w:rPr>
  </w:style>
  <w:style w:type="paragraph" w:styleId="943">
    <w:name w:val="Heading 8"/>
    <w:basedOn w:val="1107"/>
    <w:next w:val="1107"/>
    <w:link w:val="944"/>
    <w:uiPriority w:val="9"/>
    <w:unhideWhenUsed/>
    <w:qFormat/>
    <w:pPr>
      <w:keepLines/>
      <w:keepNext/>
      <w:spacing w:before="320" w:after="200"/>
      <w:outlineLvl w:val="7"/>
    </w:pPr>
    <w:rPr>
      <w:rFonts w:ascii="Arial" w:hAnsi="Arial" w:eastAsia="Arial" w:cs="Arial"/>
      <w:i/>
      <w:iCs/>
      <w:sz w:val="22"/>
      <w:szCs w:val="22"/>
    </w:rPr>
  </w:style>
  <w:style w:type="character" w:styleId="944">
    <w:name w:val="Heading 8 Char"/>
    <w:link w:val="943"/>
    <w:uiPriority w:val="9"/>
    <w:rPr>
      <w:rFonts w:ascii="Arial" w:hAnsi="Arial" w:eastAsia="Arial" w:cs="Arial"/>
      <w:i/>
      <w:iCs/>
      <w:sz w:val="22"/>
      <w:szCs w:val="22"/>
    </w:rPr>
  </w:style>
  <w:style w:type="paragraph" w:styleId="945">
    <w:name w:val="Heading 9"/>
    <w:basedOn w:val="1107"/>
    <w:next w:val="1107"/>
    <w:link w:val="946"/>
    <w:uiPriority w:val="9"/>
    <w:unhideWhenUsed/>
    <w:qFormat/>
    <w:pPr>
      <w:keepLines/>
      <w:keepNext/>
      <w:spacing w:before="320" w:after="200"/>
      <w:outlineLvl w:val="8"/>
    </w:pPr>
    <w:rPr>
      <w:rFonts w:ascii="Arial" w:hAnsi="Arial" w:eastAsia="Arial" w:cs="Arial"/>
      <w:i/>
      <w:iCs/>
      <w:sz w:val="21"/>
      <w:szCs w:val="21"/>
    </w:rPr>
  </w:style>
  <w:style w:type="character" w:styleId="946">
    <w:name w:val="Heading 9 Char"/>
    <w:link w:val="945"/>
    <w:uiPriority w:val="9"/>
    <w:rPr>
      <w:rFonts w:ascii="Arial" w:hAnsi="Arial" w:eastAsia="Arial" w:cs="Arial"/>
      <w:i/>
      <w:iCs/>
      <w:sz w:val="21"/>
      <w:szCs w:val="21"/>
    </w:rPr>
  </w:style>
  <w:style w:type="paragraph" w:styleId="947">
    <w:name w:val="List Paragraph"/>
    <w:basedOn w:val="1107"/>
    <w:uiPriority w:val="34"/>
    <w:qFormat/>
    <w:pPr>
      <w:contextualSpacing/>
      <w:ind w:left="720"/>
    </w:pPr>
  </w:style>
  <w:style w:type="paragraph" w:styleId="948">
    <w:name w:val="No Spacing"/>
    <w:uiPriority w:val="1"/>
    <w:qFormat/>
    <w:pPr>
      <w:spacing w:before="0" w:after="0" w:line="240" w:lineRule="auto"/>
    </w:pPr>
  </w:style>
  <w:style w:type="paragraph" w:styleId="949">
    <w:name w:val="Title"/>
    <w:basedOn w:val="1107"/>
    <w:next w:val="1107"/>
    <w:link w:val="950"/>
    <w:uiPriority w:val="10"/>
    <w:qFormat/>
    <w:pPr>
      <w:contextualSpacing/>
      <w:spacing w:before="300" w:after="200"/>
    </w:pPr>
    <w:rPr>
      <w:sz w:val="48"/>
      <w:szCs w:val="48"/>
    </w:rPr>
  </w:style>
  <w:style w:type="character" w:styleId="950">
    <w:name w:val="Title Char"/>
    <w:link w:val="949"/>
    <w:uiPriority w:val="10"/>
    <w:rPr>
      <w:sz w:val="48"/>
      <w:szCs w:val="48"/>
    </w:rPr>
  </w:style>
  <w:style w:type="paragraph" w:styleId="951">
    <w:name w:val="Subtitle"/>
    <w:basedOn w:val="1107"/>
    <w:next w:val="1107"/>
    <w:link w:val="952"/>
    <w:uiPriority w:val="11"/>
    <w:qFormat/>
    <w:pPr>
      <w:spacing w:before="200" w:after="200"/>
    </w:pPr>
    <w:rPr>
      <w:sz w:val="24"/>
      <w:szCs w:val="24"/>
    </w:rPr>
  </w:style>
  <w:style w:type="character" w:styleId="952">
    <w:name w:val="Subtitle Char"/>
    <w:link w:val="951"/>
    <w:uiPriority w:val="11"/>
    <w:rPr>
      <w:sz w:val="24"/>
      <w:szCs w:val="24"/>
    </w:rPr>
  </w:style>
  <w:style w:type="paragraph" w:styleId="953">
    <w:name w:val="Quote"/>
    <w:basedOn w:val="1107"/>
    <w:next w:val="1107"/>
    <w:link w:val="954"/>
    <w:uiPriority w:val="29"/>
    <w:qFormat/>
    <w:pPr>
      <w:ind w:left="720" w:right="720"/>
    </w:pPr>
    <w:rPr>
      <w:i/>
    </w:rPr>
  </w:style>
  <w:style w:type="character" w:styleId="954">
    <w:name w:val="Quote Char"/>
    <w:link w:val="953"/>
    <w:uiPriority w:val="29"/>
    <w:rPr>
      <w:i/>
    </w:rPr>
  </w:style>
  <w:style w:type="paragraph" w:styleId="955">
    <w:name w:val="Intense Quote"/>
    <w:basedOn w:val="1107"/>
    <w:next w:val="1107"/>
    <w:link w:val="9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6">
    <w:name w:val="Intense Quote Char"/>
    <w:link w:val="955"/>
    <w:uiPriority w:val="30"/>
    <w:rPr>
      <w:i/>
    </w:rPr>
  </w:style>
  <w:style w:type="paragraph" w:styleId="957">
    <w:name w:val="Header"/>
    <w:basedOn w:val="1107"/>
    <w:link w:val="958"/>
    <w:uiPriority w:val="99"/>
    <w:unhideWhenUsed/>
    <w:pPr>
      <w:spacing w:after="0" w:line="240" w:lineRule="auto"/>
      <w:tabs>
        <w:tab w:val="center" w:pos="7143" w:leader="none"/>
        <w:tab w:val="right" w:pos="14287" w:leader="none"/>
      </w:tabs>
    </w:pPr>
  </w:style>
  <w:style w:type="character" w:styleId="958">
    <w:name w:val="Header Char"/>
    <w:link w:val="957"/>
    <w:uiPriority w:val="99"/>
  </w:style>
  <w:style w:type="paragraph" w:styleId="959">
    <w:name w:val="Footer"/>
    <w:basedOn w:val="1107"/>
    <w:link w:val="962"/>
    <w:uiPriority w:val="99"/>
    <w:unhideWhenUsed/>
    <w:pPr>
      <w:spacing w:after="0" w:line="240" w:lineRule="auto"/>
      <w:tabs>
        <w:tab w:val="center" w:pos="7143" w:leader="none"/>
        <w:tab w:val="right" w:pos="14287" w:leader="none"/>
      </w:tabs>
    </w:pPr>
  </w:style>
  <w:style w:type="character" w:styleId="960">
    <w:name w:val="Footer Char"/>
    <w:link w:val="959"/>
    <w:uiPriority w:val="99"/>
  </w:style>
  <w:style w:type="paragraph" w:styleId="961">
    <w:name w:val="Caption"/>
    <w:basedOn w:val="1107"/>
    <w:next w:val="1107"/>
    <w:uiPriority w:val="35"/>
    <w:semiHidden/>
    <w:unhideWhenUsed/>
    <w:qFormat/>
    <w:pPr>
      <w:spacing w:line="276" w:lineRule="auto"/>
    </w:pPr>
    <w:rPr>
      <w:b/>
      <w:bCs/>
      <w:color w:val="4f81bd" w:themeColor="accent1"/>
      <w:sz w:val="18"/>
      <w:szCs w:val="18"/>
    </w:rPr>
  </w:style>
  <w:style w:type="character" w:styleId="962">
    <w:name w:val="Caption Char"/>
    <w:basedOn w:val="961"/>
    <w:link w:val="959"/>
    <w:uiPriority w:val="99"/>
  </w:style>
  <w:style w:type="table" w:styleId="96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9">
    <w:name w:val="Hyperlink"/>
    <w:uiPriority w:val="99"/>
    <w:unhideWhenUsed/>
    <w:rPr>
      <w:color w:val="0000ff" w:themeColor="hyperlink"/>
      <w:u w:val="single"/>
    </w:rPr>
  </w:style>
  <w:style w:type="paragraph" w:styleId="1090">
    <w:name w:val="footnote text"/>
    <w:basedOn w:val="1107"/>
    <w:link w:val="1091"/>
    <w:uiPriority w:val="99"/>
    <w:semiHidden/>
    <w:unhideWhenUsed/>
    <w:pPr>
      <w:spacing w:after="40" w:line="240" w:lineRule="auto"/>
    </w:pPr>
    <w:rPr>
      <w:sz w:val="18"/>
    </w:rPr>
  </w:style>
  <w:style w:type="character" w:styleId="1091">
    <w:name w:val="Footnote Text Char"/>
    <w:link w:val="1090"/>
    <w:uiPriority w:val="99"/>
    <w:rPr>
      <w:sz w:val="18"/>
    </w:rPr>
  </w:style>
  <w:style w:type="character" w:styleId="1092">
    <w:name w:val="footnote reference"/>
    <w:uiPriority w:val="99"/>
    <w:unhideWhenUsed/>
    <w:rPr>
      <w:vertAlign w:val="superscript"/>
    </w:rPr>
  </w:style>
  <w:style w:type="paragraph" w:styleId="1093">
    <w:name w:val="endnote text"/>
    <w:basedOn w:val="1107"/>
    <w:link w:val="1094"/>
    <w:uiPriority w:val="99"/>
    <w:semiHidden/>
    <w:unhideWhenUsed/>
    <w:pPr>
      <w:spacing w:after="0" w:line="240" w:lineRule="auto"/>
    </w:pPr>
    <w:rPr>
      <w:sz w:val="20"/>
    </w:rPr>
  </w:style>
  <w:style w:type="character" w:styleId="1094">
    <w:name w:val="Endnote Text Char"/>
    <w:link w:val="1093"/>
    <w:uiPriority w:val="99"/>
    <w:rPr>
      <w:sz w:val="20"/>
    </w:rPr>
  </w:style>
  <w:style w:type="character" w:styleId="1095">
    <w:name w:val="endnote reference"/>
    <w:uiPriority w:val="99"/>
    <w:semiHidden/>
    <w:unhideWhenUsed/>
    <w:rPr>
      <w:vertAlign w:val="superscript"/>
    </w:rPr>
  </w:style>
  <w:style w:type="paragraph" w:styleId="1096">
    <w:name w:val="toc 1"/>
    <w:basedOn w:val="1107"/>
    <w:next w:val="1107"/>
    <w:uiPriority w:val="39"/>
    <w:unhideWhenUsed/>
    <w:pPr>
      <w:ind w:left="0" w:right="0" w:firstLine="0"/>
      <w:spacing w:after="57"/>
    </w:pPr>
  </w:style>
  <w:style w:type="paragraph" w:styleId="1097">
    <w:name w:val="toc 2"/>
    <w:basedOn w:val="1107"/>
    <w:next w:val="1107"/>
    <w:uiPriority w:val="39"/>
    <w:unhideWhenUsed/>
    <w:pPr>
      <w:ind w:left="283" w:right="0" w:firstLine="0"/>
      <w:spacing w:after="57"/>
    </w:pPr>
  </w:style>
  <w:style w:type="paragraph" w:styleId="1098">
    <w:name w:val="toc 3"/>
    <w:basedOn w:val="1107"/>
    <w:next w:val="1107"/>
    <w:uiPriority w:val="39"/>
    <w:unhideWhenUsed/>
    <w:pPr>
      <w:ind w:left="567" w:right="0" w:firstLine="0"/>
      <w:spacing w:after="57"/>
    </w:pPr>
  </w:style>
  <w:style w:type="paragraph" w:styleId="1099">
    <w:name w:val="toc 4"/>
    <w:basedOn w:val="1107"/>
    <w:next w:val="1107"/>
    <w:uiPriority w:val="39"/>
    <w:unhideWhenUsed/>
    <w:pPr>
      <w:ind w:left="850" w:right="0" w:firstLine="0"/>
      <w:spacing w:after="57"/>
    </w:pPr>
  </w:style>
  <w:style w:type="paragraph" w:styleId="1100">
    <w:name w:val="toc 5"/>
    <w:basedOn w:val="1107"/>
    <w:next w:val="1107"/>
    <w:uiPriority w:val="39"/>
    <w:unhideWhenUsed/>
    <w:pPr>
      <w:ind w:left="1134" w:right="0" w:firstLine="0"/>
      <w:spacing w:after="57"/>
    </w:pPr>
  </w:style>
  <w:style w:type="paragraph" w:styleId="1101">
    <w:name w:val="toc 6"/>
    <w:basedOn w:val="1107"/>
    <w:next w:val="1107"/>
    <w:uiPriority w:val="39"/>
    <w:unhideWhenUsed/>
    <w:pPr>
      <w:ind w:left="1417" w:right="0" w:firstLine="0"/>
      <w:spacing w:after="57"/>
    </w:pPr>
  </w:style>
  <w:style w:type="paragraph" w:styleId="1102">
    <w:name w:val="toc 7"/>
    <w:basedOn w:val="1107"/>
    <w:next w:val="1107"/>
    <w:uiPriority w:val="39"/>
    <w:unhideWhenUsed/>
    <w:pPr>
      <w:ind w:left="1701" w:right="0" w:firstLine="0"/>
      <w:spacing w:after="57"/>
    </w:pPr>
  </w:style>
  <w:style w:type="paragraph" w:styleId="1103">
    <w:name w:val="toc 8"/>
    <w:basedOn w:val="1107"/>
    <w:next w:val="1107"/>
    <w:uiPriority w:val="39"/>
    <w:unhideWhenUsed/>
    <w:pPr>
      <w:ind w:left="1984" w:right="0" w:firstLine="0"/>
      <w:spacing w:after="57"/>
    </w:pPr>
  </w:style>
  <w:style w:type="paragraph" w:styleId="1104">
    <w:name w:val="toc 9"/>
    <w:basedOn w:val="1107"/>
    <w:next w:val="1107"/>
    <w:uiPriority w:val="39"/>
    <w:unhideWhenUsed/>
    <w:pPr>
      <w:ind w:left="2268" w:right="0" w:firstLine="0"/>
      <w:spacing w:after="57"/>
    </w:pPr>
  </w:style>
  <w:style w:type="paragraph" w:styleId="1105">
    <w:name w:val="TOC Heading"/>
    <w:uiPriority w:val="39"/>
    <w:unhideWhenUsed/>
  </w:style>
  <w:style w:type="paragraph" w:styleId="1106">
    <w:name w:val="table of figures"/>
    <w:basedOn w:val="1107"/>
    <w:next w:val="1107"/>
    <w:uiPriority w:val="99"/>
    <w:unhideWhenUsed/>
    <w:pPr>
      <w:spacing w:after="0" w:afterAutospacing="0"/>
    </w:pPr>
  </w:style>
  <w:style w:type="paragraph" w:styleId="1107" w:default="1">
    <w:name w:val="Normal"/>
    <w:next w:val="1107"/>
    <w:link w:val="1107"/>
    <w:qFormat/>
    <w:rPr>
      <w:sz w:val="24"/>
      <w:szCs w:val="24"/>
      <w:lang w:val="ru-RU" w:eastAsia="ru-RU" w:bidi="ar-SA"/>
    </w:rPr>
  </w:style>
  <w:style w:type="paragraph" w:styleId="1108">
    <w:name w:val="Заголовок 1"/>
    <w:basedOn w:val="1107"/>
    <w:next w:val="1107"/>
    <w:link w:val="1107"/>
    <w:qFormat/>
    <w:pPr>
      <w:keepNext/>
      <w:spacing w:before="240" w:after="60"/>
      <w:outlineLvl w:val="0"/>
    </w:pPr>
    <w:rPr>
      <w:rFonts w:ascii="Arial" w:hAnsi="Arial" w:cs="Arial"/>
      <w:b/>
      <w:bCs/>
      <w:sz w:val="32"/>
      <w:szCs w:val="32"/>
    </w:rPr>
  </w:style>
  <w:style w:type="paragraph" w:styleId="1109">
    <w:name w:val="Заголовок 2"/>
    <w:basedOn w:val="1107"/>
    <w:next w:val="1107"/>
    <w:link w:val="1120"/>
    <w:qFormat/>
    <w:pPr>
      <w:jc w:val="both"/>
      <w:keepNext/>
      <w:spacing w:before="240" w:after="60"/>
      <w:outlineLvl w:val="1"/>
    </w:pPr>
    <w:rPr>
      <w:b/>
      <w:bCs/>
      <w:i/>
      <w:iCs/>
    </w:rPr>
  </w:style>
  <w:style w:type="paragraph" w:styleId="1110">
    <w:name w:val="Заголовок 3"/>
    <w:basedOn w:val="1107"/>
    <w:next w:val="1107"/>
    <w:link w:val="1121"/>
    <w:qFormat/>
    <w:pPr>
      <w:keepNext/>
      <w:spacing w:before="240" w:after="60"/>
      <w:outlineLvl w:val="2"/>
    </w:pPr>
    <w:rPr>
      <w:rFonts w:ascii="Cambria" w:hAnsi="Cambria"/>
      <w:b/>
      <w:bCs/>
      <w:sz w:val="26"/>
      <w:szCs w:val="26"/>
      <w:lang w:val="en-US" w:eastAsia="en-US"/>
    </w:rPr>
  </w:style>
  <w:style w:type="paragraph" w:styleId="1111">
    <w:name w:val="Заголовок 4"/>
    <w:basedOn w:val="1107"/>
    <w:next w:val="1107"/>
    <w:link w:val="1122"/>
    <w:qFormat/>
    <w:pPr>
      <w:jc w:val="center"/>
      <w:keepNext/>
      <w:outlineLvl w:val="3"/>
    </w:pPr>
    <w:rPr>
      <w:b/>
      <w:bCs/>
      <w:sz w:val="22"/>
      <w:szCs w:val="28"/>
      <w:lang w:val="en-US" w:eastAsia="en-US"/>
    </w:rPr>
  </w:style>
  <w:style w:type="paragraph" w:styleId="1112">
    <w:name w:val="Заголовок 5"/>
    <w:basedOn w:val="1107"/>
    <w:next w:val="1107"/>
    <w:link w:val="1161"/>
    <w:qFormat/>
    <w:pPr>
      <w:spacing w:before="240" w:after="60"/>
      <w:outlineLvl w:val="4"/>
    </w:pPr>
    <w:rPr>
      <w:b/>
      <w:bCs/>
      <w:i/>
      <w:iCs/>
      <w:sz w:val="26"/>
      <w:szCs w:val="26"/>
    </w:rPr>
  </w:style>
  <w:style w:type="paragraph" w:styleId="1113">
    <w:name w:val="Заголовок 6"/>
    <w:basedOn w:val="1107"/>
    <w:next w:val="1107"/>
    <w:link w:val="1164"/>
    <w:qFormat/>
    <w:pPr>
      <w:spacing w:before="240" w:after="60"/>
      <w:outlineLvl w:val="5"/>
    </w:pPr>
    <w:rPr>
      <w:rFonts w:eastAsia="Times New Roman" w:cs="Times New Roman"/>
      <w:b/>
      <w:bCs/>
      <w:szCs w:val="22"/>
    </w:rPr>
  </w:style>
  <w:style w:type="paragraph" w:styleId="1114">
    <w:name w:val="Заголовок 7"/>
    <w:basedOn w:val="1107"/>
    <w:next w:val="1107"/>
    <w:link w:val="1165"/>
    <w:qFormat/>
    <w:pPr>
      <w:spacing w:before="240" w:after="60"/>
      <w:outlineLvl w:val="6"/>
    </w:pPr>
    <w:rPr>
      <w:rFonts w:ascii="Calibri" w:hAnsi="Calibri" w:eastAsia="Times New Roman" w:cs="Times New Roman"/>
    </w:rPr>
  </w:style>
  <w:style w:type="paragraph" w:styleId="1115">
    <w:name w:val="Заголовок 8"/>
    <w:basedOn w:val="1107"/>
    <w:next w:val="1107"/>
    <w:link w:val="1107"/>
    <w:qFormat/>
    <w:pPr>
      <w:spacing w:before="240" w:after="60"/>
      <w:outlineLvl w:val="7"/>
    </w:pPr>
    <w:rPr>
      <w:i/>
      <w:iCs/>
    </w:rPr>
  </w:style>
  <w:style w:type="paragraph" w:styleId="1116">
    <w:name w:val="Заголовок 9"/>
    <w:basedOn w:val="1107"/>
    <w:next w:val="1107"/>
    <w:link w:val="1166"/>
    <w:qFormat/>
    <w:pPr>
      <w:spacing w:before="240" w:after="60"/>
      <w:outlineLvl w:val="8"/>
    </w:pPr>
    <w:rPr>
      <w:rFonts w:ascii="Calibri Light" w:hAnsi="Calibri Light" w:eastAsia="Times New Roman" w:cs="Times New Roman"/>
      <w:sz w:val="22"/>
      <w:szCs w:val="22"/>
    </w:rPr>
  </w:style>
  <w:style w:type="character" w:styleId="1117">
    <w:name w:val="Основной шрифт абзаца"/>
    <w:next w:val="1117"/>
    <w:link w:val="1107"/>
    <w:semiHidden/>
  </w:style>
  <w:style w:type="table" w:styleId="1118">
    <w:name w:val="Обычная таблица"/>
    <w:next w:val="1118"/>
    <w:link w:val="1107"/>
    <w:semiHidden/>
    <w:tblPr/>
  </w:style>
  <w:style w:type="numbering" w:styleId="1119">
    <w:name w:val="Нет списка"/>
    <w:next w:val="1119"/>
    <w:link w:val="1107"/>
    <w:uiPriority w:val="99"/>
    <w:semiHidden/>
  </w:style>
  <w:style w:type="character" w:styleId="1120">
    <w:name w:val="Заголовок 2 Знак"/>
    <w:next w:val="1120"/>
    <w:link w:val="1109"/>
    <w:rPr>
      <w:b/>
      <w:bCs/>
      <w:i/>
      <w:iCs/>
      <w:sz w:val="24"/>
      <w:szCs w:val="24"/>
    </w:rPr>
  </w:style>
  <w:style w:type="character" w:styleId="1121">
    <w:name w:val="Заголовок 3 Знак"/>
    <w:next w:val="1121"/>
    <w:link w:val="1110"/>
    <w:rPr>
      <w:rFonts w:ascii="Cambria" w:hAnsi="Cambria"/>
      <w:b/>
      <w:bCs/>
      <w:sz w:val="26"/>
      <w:szCs w:val="26"/>
      <w:lang w:val="en-US" w:eastAsia="en-US"/>
    </w:rPr>
  </w:style>
  <w:style w:type="character" w:styleId="1122">
    <w:name w:val="Заголовок 4 Знак"/>
    <w:next w:val="1122"/>
    <w:link w:val="1111"/>
    <w:rPr>
      <w:b/>
      <w:bCs/>
      <w:sz w:val="22"/>
      <w:szCs w:val="28"/>
      <w:lang w:val="en-US" w:eastAsia="en-US"/>
    </w:rPr>
  </w:style>
  <w:style w:type="paragraph" w:styleId="1123">
    <w:name w:val="Без интервала"/>
    <w:next w:val="1123"/>
    <w:link w:val="1124"/>
    <w:qFormat/>
    <w:rPr>
      <w:rFonts w:ascii="Calibri" w:hAnsi="Calibri"/>
      <w:sz w:val="22"/>
      <w:szCs w:val="22"/>
      <w:lang w:val="ru-RU" w:eastAsia="en-US" w:bidi="ar-SA"/>
    </w:rPr>
  </w:style>
  <w:style w:type="character" w:styleId="1124">
    <w:name w:val="Без интервала Знак"/>
    <w:next w:val="1124"/>
    <w:link w:val="1123"/>
    <w:rPr>
      <w:rFonts w:ascii="Calibri" w:hAnsi="Calibri"/>
      <w:sz w:val="22"/>
      <w:szCs w:val="22"/>
      <w:lang w:val="ru-RU" w:eastAsia="en-US" w:bidi="ar-SA"/>
    </w:rPr>
  </w:style>
  <w:style w:type="character" w:styleId="1125">
    <w:name w:val="Гиперссылка"/>
    <w:next w:val="1125"/>
    <w:link w:val="1107"/>
    <w:uiPriority w:val="99"/>
    <w:unhideWhenUsed/>
    <w:rPr>
      <w:rFonts w:ascii="Times New Roman" w:hAnsi="Times New Roman"/>
      <w:color w:val="0000ff"/>
      <w:sz w:val="24"/>
      <w:u w:val="none"/>
      <w:vertAlign w:val="baseline"/>
    </w:rPr>
  </w:style>
  <w:style w:type="paragraph" w:styleId="1126">
    <w:name w:val="Оглавление 2"/>
    <w:basedOn w:val="1107"/>
    <w:next w:val="1107"/>
    <w:link w:val="1107"/>
    <w:uiPriority w:val="39"/>
    <w:pPr>
      <w:ind w:left="240"/>
    </w:pPr>
    <w:rPr>
      <w:rFonts w:ascii="Calibri" w:hAnsi="Calibri"/>
      <w:smallCaps/>
      <w:sz w:val="20"/>
      <w:szCs w:val="20"/>
    </w:rPr>
  </w:style>
  <w:style w:type="paragraph" w:styleId="1127">
    <w:name w:val="Оглавление 1"/>
    <w:basedOn w:val="1107"/>
    <w:next w:val="1107"/>
    <w:link w:val="1107"/>
    <w:uiPriority w:val="39"/>
    <w:pPr>
      <w:spacing w:before="120" w:after="120"/>
    </w:pPr>
    <w:rPr>
      <w:bCs/>
      <w:caps/>
      <w:sz w:val="22"/>
      <w:szCs w:val="20"/>
    </w:rPr>
  </w:style>
  <w:style w:type="paragraph" w:styleId="1128">
    <w:name w:val="Верхний колонтитул"/>
    <w:basedOn w:val="1107"/>
    <w:next w:val="1128"/>
    <w:link w:val="1129"/>
    <w:uiPriority w:val="99"/>
    <w:pPr>
      <w:tabs>
        <w:tab w:val="center" w:pos="4677" w:leader="none"/>
        <w:tab w:val="right" w:pos="9355" w:leader="none"/>
      </w:tabs>
    </w:pPr>
    <w:rPr>
      <w:lang w:val="en-US" w:eastAsia="en-US"/>
    </w:rPr>
  </w:style>
  <w:style w:type="character" w:styleId="1129">
    <w:name w:val="Верхний колонтитул Знак"/>
    <w:next w:val="1129"/>
    <w:link w:val="1128"/>
    <w:uiPriority w:val="99"/>
    <w:rPr>
      <w:sz w:val="24"/>
      <w:szCs w:val="24"/>
    </w:rPr>
  </w:style>
  <w:style w:type="paragraph" w:styleId="1130">
    <w:name w:val="Основной текст,Основной текст_отчет,bt"/>
    <w:basedOn w:val="1107"/>
    <w:next w:val="1130"/>
    <w:link w:val="1131"/>
    <w:rPr>
      <w:b/>
      <w:bCs/>
      <w:lang w:val="en-US" w:eastAsia="en-US"/>
    </w:rPr>
  </w:style>
  <w:style w:type="character" w:styleId="1131">
    <w:name w:val="Основной текст Знак,Основной текст_отчет Знак,bt Знак"/>
    <w:next w:val="1131"/>
    <w:link w:val="1130"/>
    <w:rPr>
      <w:b/>
      <w:bCs/>
      <w:sz w:val="24"/>
      <w:szCs w:val="24"/>
    </w:rPr>
  </w:style>
  <w:style w:type="paragraph" w:styleId="1132">
    <w:name w:val="Цитата"/>
    <w:basedOn w:val="1107"/>
    <w:next w:val="1132"/>
    <w:link w:val="1107"/>
    <w:pPr>
      <w:ind w:left="-108" w:right="-108"/>
      <w:jc w:val="center"/>
    </w:pPr>
    <w:rPr>
      <w:b/>
      <w:bCs/>
    </w:rPr>
  </w:style>
  <w:style w:type="paragraph" w:styleId="113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7"/>
    <w:next w:val="1133"/>
    <w:link w:val="1134"/>
    <w:pPr>
      <w:jc w:val="both"/>
    </w:pPr>
    <w:rPr>
      <w:b/>
      <w:bCs/>
      <w:lang w:val="en-US" w:eastAsia="en-US"/>
    </w:rPr>
  </w:style>
  <w:style w:type="character" w:styleId="1134">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34"/>
    <w:link w:val="1133"/>
    <w:rPr>
      <w:b/>
      <w:bCs/>
      <w:sz w:val="24"/>
      <w:szCs w:val="24"/>
    </w:rPr>
  </w:style>
  <w:style w:type="paragraph" w:styleId="1135">
    <w:name w:val="Основной текст с отступом 2"/>
    <w:basedOn w:val="1107"/>
    <w:next w:val="1135"/>
    <w:link w:val="1150"/>
    <w:pPr>
      <w:ind w:firstLine="708"/>
      <w:jc w:val="both"/>
    </w:pPr>
    <w:rPr>
      <w:sz w:val="22"/>
      <w:szCs w:val="22"/>
      <w:lang w:val="en-US" w:eastAsia="en-US"/>
    </w:rPr>
  </w:style>
  <w:style w:type="paragraph" w:styleId="113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7"/>
    <w:next w:val="1136"/>
    <w:link w:val="1151"/>
    <w:qFormat/>
    <w:rPr>
      <w:sz w:val="20"/>
      <w:szCs w:val="20"/>
    </w:rPr>
  </w:style>
  <w:style w:type="paragraph" w:styleId="1137">
    <w:name w:val="Основной текст с отступом 3"/>
    <w:basedOn w:val="1107"/>
    <w:next w:val="1137"/>
    <w:link w:val="1107"/>
    <w:pPr>
      <w:ind w:left="283"/>
      <w:spacing w:after="120"/>
    </w:pPr>
    <w:rPr>
      <w:sz w:val="16"/>
      <w:szCs w:val="16"/>
    </w:rPr>
  </w:style>
  <w:style w:type="paragraph" w:styleId="1138">
    <w:name w:val="Основной текст 2"/>
    <w:basedOn w:val="1107"/>
    <w:next w:val="1138"/>
    <w:link w:val="1107"/>
    <w:pPr>
      <w:jc w:val="both"/>
      <w:spacing w:before="120" w:after="120"/>
    </w:pPr>
  </w:style>
  <w:style w:type="character" w:styleId="113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9"/>
    <w:link w:val="1107"/>
    <w:qFormat/>
    <w:rPr>
      <w:vertAlign w:val="superscript"/>
    </w:rPr>
  </w:style>
  <w:style w:type="paragraph" w:styleId="1140">
    <w:name w:val="Текст выноски"/>
    <w:basedOn w:val="1107"/>
    <w:next w:val="1140"/>
    <w:link w:val="1156"/>
    <w:uiPriority w:val="99"/>
    <w:semiHidden/>
    <w:rPr>
      <w:rFonts w:ascii="Tahoma" w:hAnsi="Tahoma" w:cs="Tahoma"/>
      <w:sz w:val="16"/>
      <w:szCs w:val="16"/>
    </w:rPr>
  </w:style>
  <w:style w:type="paragraph" w:styleId="1141">
    <w:name w:val="Нижний колонтитул"/>
    <w:basedOn w:val="1107"/>
    <w:next w:val="1141"/>
    <w:link w:val="1142"/>
    <w:uiPriority w:val="99"/>
    <w:pPr>
      <w:tabs>
        <w:tab w:val="center" w:pos="4677" w:leader="none"/>
        <w:tab w:val="right" w:pos="9355" w:leader="none"/>
      </w:tabs>
    </w:pPr>
    <w:rPr>
      <w:lang w:val="en-US" w:eastAsia="en-US"/>
    </w:rPr>
  </w:style>
  <w:style w:type="character" w:styleId="1142">
    <w:name w:val="Нижний колонтитул Знак"/>
    <w:next w:val="1142"/>
    <w:link w:val="1141"/>
    <w:uiPriority w:val="99"/>
    <w:rPr>
      <w:sz w:val="24"/>
      <w:szCs w:val="24"/>
    </w:rPr>
  </w:style>
  <w:style w:type="paragraph" w:styleId="1143">
    <w:name w:val="Оглавление 3"/>
    <w:basedOn w:val="1107"/>
    <w:next w:val="1107"/>
    <w:link w:val="1107"/>
    <w:semiHidden/>
    <w:pPr>
      <w:ind w:left="480"/>
    </w:pPr>
    <w:rPr>
      <w:rFonts w:ascii="Calibri" w:hAnsi="Calibri"/>
      <w:i/>
      <w:iCs/>
      <w:sz w:val="20"/>
      <w:szCs w:val="20"/>
    </w:rPr>
  </w:style>
  <w:style w:type="paragraph" w:styleId="1144">
    <w:name w:val="Оглавление 4"/>
    <w:basedOn w:val="1107"/>
    <w:next w:val="1107"/>
    <w:link w:val="1107"/>
    <w:semiHidden/>
    <w:pPr>
      <w:ind w:left="720"/>
    </w:pPr>
    <w:rPr>
      <w:rFonts w:ascii="Calibri" w:hAnsi="Calibri"/>
      <w:sz w:val="18"/>
      <w:szCs w:val="18"/>
    </w:rPr>
  </w:style>
  <w:style w:type="paragraph" w:styleId="1145">
    <w:name w:val="Оглавление 5"/>
    <w:basedOn w:val="1107"/>
    <w:next w:val="1107"/>
    <w:link w:val="1107"/>
    <w:semiHidden/>
    <w:pPr>
      <w:ind w:left="960"/>
    </w:pPr>
    <w:rPr>
      <w:rFonts w:ascii="Calibri" w:hAnsi="Calibri"/>
      <w:sz w:val="18"/>
      <w:szCs w:val="18"/>
    </w:rPr>
  </w:style>
  <w:style w:type="paragraph" w:styleId="1146">
    <w:name w:val="Оглавление 6"/>
    <w:basedOn w:val="1107"/>
    <w:next w:val="1107"/>
    <w:link w:val="1107"/>
    <w:semiHidden/>
    <w:pPr>
      <w:ind w:left="1200"/>
    </w:pPr>
    <w:rPr>
      <w:rFonts w:ascii="Calibri" w:hAnsi="Calibri"/>
      <w:sz w:val="18"/>
      <w:szCs w:val="18"/>
    </w:rPr>
  </w:style>
  <w:style w:type="paragraph" w:styleId="1147">
    <w:name w:val="Оглавление 7"/>
    <w:basedOn w:val="1107"/>
    <w:next w:val="1107"/>
    <w:link w:val="1107"/>
    <w:semiHidden/>
    <w:pPr>
      <w:ind w:left="1440"/>
    </w:pPr>
    <w:rPr>
      <w:rFonts w:ascii="Calibri" w:hAnsi="Calibri"/>
      <w:sz w:val="18"/>
      <w:szCs w:val="18"/>
    </w:rPr>
  </w:style>
  <w:style w:type="paragraph" w:styleId="1148">
    <w:name w:val="Оглавление 8"/>
    <w:basedOn w:val="1107"/>
    <w:next w:val="1107"/>
    <w:link w:val="1107"/>
    <w:semiHidden/>
    <w:pPr>
      <w:ind w:left="1680"/>
    </w:pPr>
    <w:rPr>
      <w:rFonts w:ascii="Calibri" w:hAnsi="Calibri"/>
      <w:sz w:val="18"/>
      <w:szCs w:val="18"/>
    </w:rPr>
  </w:style>
  <w:style w:type="paragraph" w:styleId="1149">
    <w:name w:val="Оглавление 9"/>
    <w:basedOn w:val="1107"/>
    <w:next w:val="1107"/>
    <w:link w:val="1107"/>
    <w:semiHidden/>
    <w:pPr>
      <w:ind w:left="1920"/>
    </w:pPr>
    <w:rPr>
      <w:rFonts w:ascii="Calibri" w:hAnsi="Calibri"/>
      <w:sz w:val="18"/>
      <w:szCs w:val="18"/>
    </w:rPr>
  </w:style>
  <w:style w:type="character" w:styleId="1150">
    <w:name w:val="Основной текст с отступом 2 Знак"/>
    <w:next w:val="1150"/>
    <w:link w:val="1135"/>
    <w:rPr>
      <w:sz w:val="22"/>
      <w:szCs w:val="22"/>
    </w:rPr>
  </w:style>
  <w:style w:type="character" w:styleId="115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51"/>
    <w:link w:val="1136"/>
  </w:style>
  <w:style w:type="paragraph" w:styleId="1152">
    <w:name w:val="Нормальный"/>
    <w:next w:val="1152"/>
    <w:link w:val="1107"/>
    <w:rPr>
      <w:rFonts w:ascii="TimesET" w:hAnsi="TimesET" w:cs="TimesET"/>
      <w:b/>
      <w:bCs/>
      <w:i/>
      <w:iCs/>
      <w:smallCaps/>
      <w:sz w:val="24"/>
      <w:szCs w:val="24"/>
      <w:lang w:val="ru-RU" w:eastAsia="ru-RU" w:bidi="ar-SA"/>
    </w:rPr>
  </w:style>
  <w:style w:type="paragraph" w:styleId="1153">
    <w:name w:val="Default"/>
    <w:next w:val="1153"/>
    <w:link w:val="1107"/>
    <w:rPr>
      <w:rFonts w:eastAsia="Calibri"/>
      <w:color w:val="000000"/>
      <w:sz w:val="24"/>
      <w:szCs w:val="24"/>
      <w:lang w:val="ru-RU" w:eastAsia="ru-RU" w:bidi="ar-SA"/>
    </w:rPr>
  </w:style>
  <w:style w:type="numbering" w:styleId="1154">
    <w:name w:val="Нет списка1"/>
    <w:next w:val="1119"/>
    <w:link w:val="1107"/>
    <w:uiPriority w:val="99"/>
    <w:semiHidden/>
    <w:unhideWhenUsed/>
  </w:style>
  <w:style w:type="paragraph" w:styleId="1155">
    <w:name w:val="Абзац списка"/>
    <w:basedOn w:val="1107"/>
    <w:next w:val="1155"/>
    <w:link w:val="1107"/>
    <w:uiPriority w:val="34"/>
    <w:qFormat/>
    <w:pPr>
      <w:contextualSpacing/>
      <w:ind w:left="720"/>
      <w:spacing w:after="200" w:line="276" w:lineRule="auto"/>
    </w:pPr>
    <w:rPr>
      <w:rFonts w:ascii="Calibri" w:hAnsi="Calibri" w:eastAsia="Calibri"/>
      <w:sz w:val="22"/>
      <w:szCs w:val="22"/>
      <w:lang w:eastAsia="en-US"/>
    </w:rPr>
  </w:style>
  <w:style w:type="character" w:styleId="1156">
    <w:name w:val="Текст выноски Знак"/>
    <w:next w:val="1156"/>
    <w:link w:val="1140"/>
    <w:uiPriority w:val="99"/>
    <w:semiHidden/>
    <w:rPr>
      <w:rFonts w:ascii="Tahoma" w:hAnsi="Tahoma" w:cs="Tahoma"/>
      <w:sz w:val="16"/>
      <w:szCs w:val="16"/>
    </w:rPr>
  </w:style>
  <w:style w:type="paragraph" w:styleId="1157">
    <w:name w:val="Заголовок"/>
    <w:basedOn w:val="1107"/>
    <w:next w:val="1107"/>
    <w:link w:val="1158"/>
    <w:qFormat/>
    <w:pPr>
      <w:jc w:val="center"/>
      <w:spacing w:before="240" w:after="60"/>
      <w:outlineLvl w:val="0"/>
    </w:pPr>
    <w:rPr>
      <w:rFonts w:ascii="Calibri Light" w:hAnsi="Calibri Light" w:eastAsia="Times New Roman" w:cs="Times New Roman"/>
      <w:b/>
      <w:bCs/>
      <w:sz w:val="32"/>
      <w:szCs w:val="32"/>
    </w:rPr>
  </w:style>
  <w:style w:type="character" w:styleId="1158">
    <w:name w:val="Заголовок Знак"/>
    <w:next w:val="1158"/>
    <w:link w:val="1157"/>
    <w:rPr>
      <w:rFonts w:ascii="Calibri Light" w:hAnsi="Calibri Light" w:eastAsia="Times New Roman" w:cs="Times New Roman"/>
      <w:b/>
      <w:bCs/>
      <w:sz w:val="32"/>
      <w:szCs w:val="32"/>
    </w:rPr>
  </w:style>
  <w:style w:type="paragraph" w:styleId="1159">
    <w:name w:val="Подзаголовок"/>
    <w:basedOn w:val="1107"/>
    <w:next w:val="1107"/>
    <w:link w:val="1160"/>
    <w:qFormat/>
    <w:pPr>
      <w:jc w:val="center"/>
      <w:spacing w:after="60"/>
      <w:outlineLvl w:val="1"/>
    </w:pPr>
    <w:rPr>
      <w:rFonts w:ascii="Calibri Light" w:hAnsi="Calibri Light" w:eastAsia="Times New Roman" w:cs="Times New Roman"/>
    </w:rPr>
  </w:style>
  <w:style w:type="character" w:styleId="1160">
    <w:name w:val="Подзаголовок Знак"/>
    <w:next w:val="1160"/>
    <w:link w:val="1159"/>
    <w:rPr>
      <w:rFonts w:ascii="Calibri Light" w:hAnsi="Calibri Light" w:eastAsia="Times New Roman" w:cs="Times New Roman"/>
      <w:sz w:val="24"/>
      <w:szCs w:val="24"/>
    </w:rPr>
  </w:style>
  <w:style w:type="character" w:styleId="1161">
    <w:name w:val="Заголовок 5 Знак"/>
    <w:next w:val="1161"/>
    <w:link w:val="1112"/>
    <w:rPr>
      <w:b/>
      <w:bCs/>
      <w:i/>
      <w:iCs/>
      <w:sz w:val="26"/>
      <w:szCs w:val="26"/>
    </w:rPr>
  </w:style>
  <w:style w:type="paragraph" w:styleId="1162">
    <w:name w:val="msonormal"/>
    <w:basedOn w:val="1107"/>
    <w:next w:val="1162"/>
    <w:link w:val="1107"/>
    <w:pPr>
      <w:spacing w:before="100" w:beforeAutospacing="1" w:after="100" w:afterAutospacing="1"/>
    </w:pPr>
  </w:style>
  <w:style w:type="character" w:styleId="1163">
    <w:name w:val="Выделение"/>
    <w:next w:val="1163"/>
    <w:link w:val="1107"/>
    <w:qFormat/>
    <w:rPr>
      <w:i/>
      <w:iCs/>
    </w:rPr>
  </w:style>
  <w:style w:type="character" w:styleId="1164">
    <w:name w:val="Заголовок 6 Знак"/>
    <w:next w:val="1164"/>
    <w:link w:val="1113"/>
    <w:rPr>
      <w:b/>
      <w:bCs/>
      <w:sz w:val="24"/>
      <w:szCs w:val="22"/>
    </w:rPr>
  </w:style>
  <w:style w:type="character" w:styleId="1165">
    <w:name w:val="Заголовок 7 Знак"/>
    <w:next w:val="1165"/>
    <w:link w:val="1114"/>
    <w:rPr>
      <w:rFonts w:ascii="Calibri" w:hAnsi="Calibri"/>
      <w:sz w:val="24"/>
      <w:szCs w:val="24"/>
    </w:rPr>
  </w:style>
  <w:style w:type="character" w:styleId="1166">
    <w:name w:val="Заголовок 9 Знак"/>
    <w:next w:val="1166"/>
    <w:link w:val="1116"/>
    <w:rPr>
      <w:rFonts w:ascii="Calibri Light" w:hAnsi="Calibri Light"/>
      <w:sz w:val="22"/>
      <w:szCs w:val="22"/>
    </w:rPr>
  </w:style>
  <w:style w:type="character" w:styleId="1167">
    <w:name w:val="Знак примечания"/>
    <w:next w:val="1167"/>
    <w:link w:val="1107"/>
    <w:rPr>
      <w:sz w:val="16"/>
      <w:szCs w:val="16"/>
    </w:rPr>
  </w:style>
  <w:style w:type="paragraph" w:styleId="1168">
    <w:name w:val="Текст примечания"/>
    <w:basedOn w:val="1107"/>
    <w:next w:val="1168"/>
    <w:link w:val="1169"/>
    <w:rPr>
      <w:sz w:val="20"/>
      <w:szCs w:val="20"/>
    </w:rPr>
  </w:style>
  <w:style w:type="character" w:styleId="1169">
    <w:name w:val="Текст примечания Знак"/>
    <w:basedOn w:val="1117"/>
    <w:next w:val="1169"/>
    <w:link w:val="1168"/>
  </w:style>
  <w:style w:type="paragraph" w:styleId="1170">
    <w:name w:val="Тема примечания"/>
    <w:basedOn w:val="1168"/>
    <w:next w:val="1168"/>
    <w:link w:val="1171"/>
    <w:rPr>
      <w:b/>
      <w:bCs/>
    </w:rPr>
  </w:style>
  <w:style w:type="character" w:styleId="1171">
    <w:name w:val="Тема примечания Знак"/>
    <w:next w:val="1171"/>
    <w:link w:val="1170"/>
    <w:rPr>
      <w:b/>
      <w:bCs/>
    </w:rPr>
  </w:style>
  <w:style w:type="numbering" w:styleId="1172">
    <w:name w:val="Нет списка2"/>
    <w:next w:val="1119"/>
    <w:link w:val="1107"/>
    <w:uiPriority w:val="99"/>
    <w:semiHidden/>
    <w:unhideWhenUsed/>
  </w:style>
  <w:style w:type="character" w:styleId="1173">
    <w:name w:val="Просмотренная гиперссылка"/>
    <w:next w:val="1173"/>
    <w:link w:val="1107"/>
    <w:rPr>
      <w:color w:val="954f72"/>
      <w:u w:val="single"/>
    </w:rPr>
  </w:style>
  <w:style w:type="character" w:styleId="117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74"/>
    <w:link w:val="1107"/>
    <w:qFormat/>
    <w:rPr>
      <w:rFonts w:ascii="Times New Roman" w:hAnsi="Times New Roman" w:cs="Times New Roman"/>
      <w:vertAlign w:val="superscript"/>
    </w:rPr>
  </w:style>
  <w:style w:type="paragraph" w:styleId="1175">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107"/>
    <w:next w:val="1175"/>
    <w:link w:val="1176"/>
    <w:qFormat/>
    <w:rPr>
      <w:sz w:val="20"/>
      <w:szCs w:val="20"/>
      <w:lang w:val="en-US"/>
    </w:rPr>
  </w:style>
  <w:style w:type="character" w:styleId="1176">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176"/>
    <w:link w:val="1175"/>
    <w:rPr>
      <w:lang w:val="en-US"/>
    </w:rPr>
  </w:style>
  <w:style w:type="character" w:styleId="1177" w:default="1">
    <w:name w:val="Default Paragraph Font"/>
    <w:uiPriority w:val="1"/>
    <w:semiHidden/>
    <w:unhideWhenUsed/>
  </w:style>
  <w:style w:type="numbering" w:styleId="1178" w:default="1">
    <w:name w:val="No List"/>
    <w:uiPriority w:val="99"/>
    <w:semiHidden/>
    <w:unhideWhenUsed/>
  </w:style>
  <w:style w:type="table" w:styleId="117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87</cp:revision>
  <dcterms:created xsi:type="dcterms:W3CDTF">2024-06-03T11:04:00Z</dcterms:created>
  <dcterms:modified xsi:type="dcterms:W3CDTF">2025-08-11T09:47:00Z</dcterms:modified>
  <cp:version>1048576</cp:version>
</cp:coreProperties>
</file>