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82"/>
      </w:tblGrid>
      <w:tr>
        <w:trPr/>
        <w:tblPrEx/>
        <w:tc>
          <w:tcPr>
            <w:tcW w:w="4082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Утвержден решением</w:t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4082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tabs>
                <w:tab w:val="left" w:pos="4962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Наблюдательн</w:t>
            </w:r>
            <w:r>
              <w:rPr>
                <w:highlight w:val="white"/>
              </w:rPr>
              <w:t xml:space="preserve">ого</w:t>
            </w:r>
            <w:r>
              <w:rPr>
                <w:highlight w:val="white"/>
              </w:rPr>
              <w:t xml:space="preserve"> совет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</w:p>
          <w:p>
            <w:pPr>
              <w:outlineLvl w:val="0"/>
              <w:rPr>
                <w:highlight w:val="white"/>
              </w:rPr>
            </w:pPr>
            <w:r>
              <w:rPr>
                <w:highlight w:val="white"/>
              </w:rPr>
              <w:t xml:space="preserve">Акционерного общества «Российский Сельскохозяйственный банк»</w:t>
            </w:r>
            <w:r>
              <w:rPr>
                <w:highlight w:val="white"/>
              </w:rPr>
            </w:r>
          </w:p>
        </w:tc>
      </w:tr>
      <w:tr>
        <w:trPr>
          <w:trHeight w:val="552"/>
        </w:trPr>
        <w:tblPrEx/>
        <w:tc>
          <w:tcPr>
            <w:tcW w:w="4082" w:type="dxa"/>
            <w:vMerge w:val="restart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(орган управления эмитента, утвердивший проспект ценных бумаг)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trHeight w:val="552"/>
        </w:trPr>
        <w:tblPrEx/>
        <w:tc>
          <w:tcPr>
            <w:tcW w:w="4082" w:type="dxa"/>
            <w:vMerge w:val="restart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принятым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07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  <w:t xml:space="preserve"> августа 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г.,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протокол от </w:t>
            </w:r>
            <w:r>
              <w:rPr>
                <w:highlight w:val="white"/>
              </w:rPr>
              <w:t xml:space="preserve">«08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  <w:t xml:space="preserve"> августа</w:t>
            </w:r>
            <w:r>
              <w:rPr>
                <w:highlight w:val="white"/>
              </w:rPr>
              <w:t xml:space="preserve"> 20</w:t>
            </w: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  <w:t xml:space="preserve">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spacing w:before="480"/>
        <w:jc w:val="center"/>
        <w:rPr>
          <w:b/>
          <w:bCs/>
          <w:sz w:val="48"/>
          <w:szCs w:val="48"/>
          <w:highlight w:val="white"/>
        </w:rPr>
      </w:pPr>
      <w:r>
        <w:rPr>
          <w:b/>
          <w:bCs/>
          <w:sz w:val="48"/>
          <w:szCs w:val="48"/>
          <w:highlight w:val="white"/>
        </w:rPr>
        <w:t xml:space="preserve">ПРОСПЕКТ ЦЕННЫХ БУМАГ</w:t>
      </w:r>
      <w:r>
        <w:rPr>
          <w:b/>
          <w:bCs/>
          <w:sz w:val="48"/>
          <w:szCs w:val="48"/>
          <w:highlight w:val="white"/>
        </w:rPr>
      </w:r>
      <w:r>
        <w:rPr>
          <w:b/>
          <w:bCs/>
          <w:sz w:val="48"/>
          <w:szCs w:val="48"/>
          <w:highlight w:val="white"/>
        </w:rPr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-142" w:right="-1"/>
        <w:jc w:val="center"/>
        <w:rPr>
          <w:b/>
          <w:sz w:val="32"/>
          <w:szCs w:val="32"/>
          <w:highlight w:val="white"/>
          <w:u w:val="single"/>
        </w:rPr>
      </w:pP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</w:p>
    <w:p>
      <w:pPr>
        <w:ind w:left="-142" w:right="-1"/>
        <w:jc w:val="center"/>
        <w:rPr>
          <w:b/>
          <w:sz w:val="32"/>
          <w:szCs w:val="32"/>
          <w:highlight w:val="white"/>
          <w:u w:val="single"/>
        </w:rPr>
      </w:pP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</w:p>
    <w:p>
      <w:pPr>
        <w:ind w:left="-142" w:right="-1"/>
        <w:jc w:val="center"/>
        <w:rPr>
          <w:b/>
          <w:sz w:val="32"/>
          <w:szCs w:val="32"/>
          <w:highlight w:val="white"/>
          <w:u w:val="single"/>
        </w:rPr>
      </w:pPr>
      <w:r>
        <w:rPr>
          <w:b/>
          <w:sz w:val="32"/>
          <w:szCs w:val="32"/>
          <w:highlight w:val="white"/>
          <w:u w:val="single"/>
        </w:rPr>
        <w:t xml:space="preserve">Акционерное общество </w:t>
      </w: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</w:p>
    <w:p>
      <w:pPr>
        <w:ind w:left="-142" w:right="-1"/>
        <w:jc w:val="center"/>
        <w:rPr>
          <w:b/>
          <w:sz w:val="32"/>
          <w:szCs w:val="32"/>
          <w:highlight w:val="white"/>
          <w:u w:val="single"/>
        </w:rPr>
      </w:pPr>
      <w:r>
        <w:rPr>
          <w:b/>
          <w:sz w:val="32"/>
          <w:szCs w:val="32"/>
          <w:highlight w:val="white"/>
          <w:u w:val="single"/>
        </w:rPr>
        <w:t xml:space="preserve">«Российский Сельскохозяйственный банк»</w:t>
      </w:r>
      <w:r>
        <w:rPr>
          <w:b/>
          <w:sz w:val="32"/>
          <w:szCs w:val="32"/>
          <w:highlight w:val="white"/>
          <w:u w:val="single"/>
        </w:rPr>
      </w:r>
      <w:r>
        <w:rPr>
          <w:b/>
          <w:sz w:val="32"/>
          <w:szCs w:val="32"/>
          <w:highlight w:val="white"/>
          <w:u w:val="single"/>
        </w:rPr>
      </w:r>
    </w:p>
    <w:p>
      <w:pPr>
        <w:ind w:left="-142" w:right="-1"/>
        <w:jc w:val="center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(полное фирменное наименование эмитента)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left="-142" w:right="-1"/>
        <w:jc w:val="center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left="-142" w:right="-1"/>
        <w:jc w:val="center"/>
        <w:rPr>
          <w:b/>
          <w:i/>
          <w:highlight w:val="white"/>
        </w:rPr>
      </w:pPr>
      <w:r>
        <w:rPr>
          <w:b/>
          <w:bCs/>
          <w:i/>
          <w:iCs/>
          <w:color w:val="000000"/>
          <w:highlight w:val="white"/>
        </w:rPr>
        <w:t xml:space="preserve">Биржевые облигации процентные и/или дисконтные неконве</w:t>
      </w:r>
      <w:r>
        <w:rPr>
          <w:b/>
          <w:bCs/>
          <w:i/>
          <w:iCs/>
          <w:color w:val="000000"/>
          <w:highlight w:val="white"/>
        </w:rPr>
        <w:t xml:space="preserve">ртируемые бездокументарные с централизованным учетом прав, размещаемые путем открытой подписки, общей номинальной стоимостью всех выпусков биржевых облигаций, размещаемых в рамках Программы биржевых облигаций до 500 000 000 000 (Пятисот миллиардов) рублей </w:t>
      </w:r>
      <w:r>
        <w:rPr>
          <w:b/>
          <w:bCs/>
          <w:i/>
          <w:iCs/>
          <w:color w:val="000000"/>
          <w:highlight w:val="white"/>
        </w:rPr>
        <w:t xml:space="preserve">включительно или эквивалента этой суммы в иностранной валюте, с максимальным сроком погашения не позднее, чем в 18 300 (Восемнадцать тысяч трехсотый) день с даты начала размещения отдельного выпуска биржевых облигаций, в рамках Программы биржевых облигаций</w:t>
      </w:r>
      <w:r>
        <w:rPr>
          <w:b/>
          <w:i/>
          <w:highlight w:val="white"/>
        </w:rPr>
        <w:t xml:space="preserve">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Программа биржевых облигаций серии 002Р.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rPr>
          <w:sz w:val="18"/>
          <w:szCs w:val="18"/>
          <w:highlight w:val="white"/>
        </w:rPr>
      </w:pPr>
      <w:r>
        <w:rPr>
          <w:b/>
          <w:highlight w:val="white"/>
        </w:rPr>
        <w:t xml:space="preserve">Срок действия Программы биржевых облигаций:</w:t>
      </w:r>
      <w:r>
        <w:rPr>
          <w:rFonts w:ascii="TimesNewRomanPS-BoldMT" w:hAnsi="TimesNewRomanPS-BoldMT" w:cs="TimesNewRomanPS-BoldMT"/>
          <w:b/>
          <w:bCs/>
          <w:sz w:val="22"/>
          <w:szCs w:val="22"/>
          <w:highlight w:val="white"/>
        </w:rPr>
        <w:t xml:space="preserve"> </w:t>
      </w:r>
      <w:r>
        <w:rPr>
          <w:highlight w:val="white"/>
        </w:rPr>
        <w:t xml:space="preserve">бессрочно.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spacing w:line="360" w:lineRule="auto"/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360" w:lineRule="auto"/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after="720"/>
        <w:ind w:firstLine="567"/>
        <w:jc w:val="center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Информация, содержащаяся в настоящем проспекте ценных бумаг, подлежит раскрытию в соответствии с законодательством Российской Федерации о ценных бумагах.</w:t>
      </w:r>
      <w:r>
        <w:rPr>
          <w:sz w:val="32"/>
          <w:szCs w:val="32"/>
          <w:highlight w:val="white"/>
        </w:rPr>
      </w:r>
      <w:r>
        <w:rPr>
          <w:sz w:val="32"/>
          <w:szCs w:val="32"/>
          <w:highlight w:val="white"/>
        </w:rPr>
      </w:r>
    </w:p>
    <w:p>
      <w:pPr>
        <w:jc w:val="center"/>
        <w:rPr>
          <w:sz w:val="36"/>
          <w:szCs w:val="36"/>
          <w:highlight w:val="white"/>
        </w:rPr>
      </w:pPr>
      <w:r>
        <w:rPr>
          <w:color w:val="000000"/>
          <w:sz w:val="36"/>
          <w:szCs w:val="36"/>
          <w:highlight w:val="white"/>
        </w:rPr>
        <w:t xml:space="preserve">РЕГИСТРИРУЮЩАЯ ОРГАНИЗАЦИЯ НЕ ОТВЕЧАЕТ ЗА ДОСТОВЕРНОСТЬ ИНФОРМАЦИИ, СОДЕРЖАЩЕЙСЯ В ДАННОМ ПРОСПЕКТЕ ЦЕННЫХ БУМАГ, И ФАКТОМ ЕГО РЕГИСТРАЦИИ НЕ ВЫРАЖАЕТ СВОЕГО ОТНОШЕНИЯ К ЦЕННЫМ БУМАГАМ</w:t>
      </w:r>
      <w:r>
        <w:rPr>
          <w:color w:val="000000"/>
          <w:sz w:val="36"/>
          <w:szCs w:val="36"/>
          <w:highlight w:val="white"/>
        </w:rPr>
        <w:t xml:space="preserve">, </w:t>
      </w:r>
      <w:r>
        <w:rPr>
          <w:color w:val="000000"/>
          <w:sz w:val="36"/>
          <w:szCs w:val="36"/>
          <w:highlight w:val="white"/>
        </w:rPr>
        <w:t xml:space="preserve">В ОТНОШЕНИИ КОТОРЫХ ОН СОСТАВЛЕН</w:t>
      </w:r>
      <w:r>
        <w:rPr>
          <w:color w:val="000000"/>
          <w:sz w:val="36"/>
          <w:szCs w:val="36"/>
          <w:highlight w:val="white"/>
        </w:rPr>
        <w:t xml:space="preserve">.</w:t>
      </w:r>
      <w:r>
        <w:rPr>
          <w:sz w:val="36"/>
          <w:szCs w:val="36"/>
          <w:highlight w:val="white"/>
        </w:rPr>
      </w:r>
      <w:r>
        <w:rPr>
          <w:sz w:val="36"/>
          <w:szCs w:val="36"/>
          <w:highlight w:val="white"/>
        </w:rPr>
      </w:r>
    </w:p>
    <w:p>
      <w:pPr>
        <w:spacing w:after="120" w:line="360" w:lineRule="auto"/>
        <w:jc w:val="both"/>
        <w:rPr>
          <w:sz w:val="44"/>
          <w:szCs w:val="44"/>
          <w:highlight w:val="white"/>
        </w:rPr>
      </w:pPr>
      <w:r>
        <w:rPr>
          <w:sz w:val="44"/>
          <w:szCs w:val="44"/>
          <w:highlight w:val="white"/>
        </w:rPr>
      </w:r>
      <w:r>
        <w:rPr>
          <w:sz w:val="44"/>
          <w:szCs w:val="44"/>
          <w:highlight w:val="white"/>
        </w:rPr>
      </w:r>
      <w:r>
        <w:rPr>
          <w:sz w:val="44"/>
          <w:szCs w:val="44"/>
          <w:highlight w:val="white"/>
        </w:rPr>
      </w:r>
    </w:p>
    <w:tbl>
      <w:tblPr>
        <w:tblW w:w="9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3402"/>
        <w:gridCol w:w="1200"/>
        <w:gridCol w:w="76"/>
        <w:gridCol w:w="283"/>
        <w:gridCol w:w="1843"/>
        <w:gridCol w:w="142"/>
      </w:tblGrid>
      <w:tr>
        <w:trPr>
          <w:cantSplit/>
          <w:trHeight w:val="886"/>
        </w:trPr>
        <w:tblPrEx/>
        <w:tc>
          <w:tcPr>
            <w:tcW w:w="170" w:type="dxa"/>
            <w:tcBorders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ind w:left="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237" w:type="dxa"/>
            <w:gridSpan w:val="7"/>
            <w:tcBorders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Заместитель Председателя Правления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170" w:firstLine="17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Акционерного общества «Российский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170" w:firstLine="17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Сельскохозяйственный банк»,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действующий на основании доверенности  № </w:t>
            </w:r>
            <w:r>
              <w:rPr>
                <w:sz w:val="22"/>
                <w:szCs w:val="22"/>
                <w:highlight w:val="white"/>
              </w:rPr>
              <w:t xml:space="preserve">232</w:t>
            </w:r>
            <w:r>
              <w:rPr>
                <w:sz w:val="22"/>
                <w:szCs w:val="22"/>
                <w:highlight w:val="white"/>
              </w:rPr>
              <w:t xml:space="preserve"> от 14</w:t>
            </w:r>
            <w:r>
              <w:rPr>
                <w:sz w:val="22"/>
                <w:szCs w:val="22"/>
                <w:highlight w:val="white"/>
              </w:rPr>
              <w:t xml:space="preserve">.07</w:t>
            </w:r>
            <w:r>
              <w:rPr>
                <w:sz w:val="22"/>
                <w:szCs w:val="22"/>
                <w:highlight w:val="white"/>
              </w:rPr>
              <w:t xml:space="preserve">.2025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W w:w="1200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6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83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2" w:type="dxa"/>
            <w:tcBorders>
              <w:left w:val="none" w:color="000000" w:sz="4" w:space="0"/>
              <w:bottom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cantSplit/>
        </w:trPr>
        <w:tblPrEx/>
        <w:tc>
          <w:tcPr>
            <w:tcW w:w="170" w:type="dxa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ind w:left="57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37" w:type="dxa"/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(наименование должности руководителя эмитента)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84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(И.О. Фамилия)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cantSplit/>
        </w:trPr>
        <w:tblPrEx/>
        <w:tc>
          <w:tcPr>
            <w:tcW w:w="266" w:type="dxa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ind w:left="57"/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“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9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3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”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13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августа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946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noWrap w:val="false"/>
            <w:textDirection w:val="lrTb"/>
            <w:vAlign w:val="bottom"/>
          </w:tcPr>
          <w:p>
            <w:pPr>
              <w:ind w:left="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cantSplit/>
        </w:trPr>
        <w:tblPrEx/>
        <w:tc>
          <w:tcPr>
            <w:tcW w:w="9951" w:type="dxa"/>
            <w:gridSpan w:val="13"/>
            <w:tcBorders>
              <w:top w:val="none" w:color="000000" w:sz="4" w:space="0"/>
              <w:bottom w:val="single" w:color="auto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spacing w:after="120" w:line="360" w:lineRule="auto"/>
        <w:jc w:val="both"/>
        <w:rPr>
          <w:sz w:val="40"/>
          <w:szCs w:val="40"/>
          <w:highlight w:val="white"/>
        </w:rPr>
      </w:pPr>
      <w:r>
        <w:rPr>
          <w:sz w:val="40"/>
          <w:szCs w:val="40"/>
          <w:highlight w:val="white"/>
          <w:lang w:val="en-US"/>
        </w:rPr>
      </w:r>
      <w:r>
        <w:rPr>
          <w:sz w:val="40"/>
          <w:szCs w:val="40"/>
          <w:highlight w:val="white"/>
          <w:lang w:val="en-US"/>
        </w:rPr>
      </w:r>
      <w:r>
        <w:rPr>
          <w:sz w:val="40"/>
          <w:szCs w:val="40"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  <w:lang w:val="en-US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  <w:lang w:val="en-US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  <w:lang w:val="en-US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  <w:lang w:val="en-US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  <w:lang w:val="en-US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ageBreakBefore/>
        <w:widowControl w:val="off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ОГЛАВЛЕНИЕ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245"/>
        <w:gridCol w:w="992"/>
      </w:tblGrid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 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Стр.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0"/>
              <w:rPr>
                <w:rFonts w:eastAsiaTheme="minorHAnsi"/>
                <w:b/>
                <w:highlight w:val="white"/>
              </w:rPr>
            </w:pPr>
            <w:r>
              <w:rPr>
                <w:rFonts w:eastAsiaTheme="minorHAnsi"/>
                <w:b/>
                <w:highlight w:val="white"/>
                <w:lang w:eastAsia="en-US"/>
              </w:rPr>
              <w:t xml:space="preserve">Раздел 1. Введение </w:t>
            </w:r>
            <w:r>
              <w:rPr>
                <w:rFonts w:eastAsiaTheme="minorHAnsi"/>
                <w:b/>
                <w:highlight w:val="white"/>
                <w:lang w:eastAsia="en-US"/>
              </w:rPr>
              <w:t xml:space="preserve">(резюме проспекта ценных бумаг)</w:t>
            </w:r>
            <w:r>
              <w:rPr>
                <w:rFonts w:eastAsiaTheme="minorHAnsi"/>
                <w:b/>
                <w:highlight w:val="white"/>
                <w:lang w:eastAsia="en-US"/>
              </w:rPr>
            </w:r>
            <w:r>
              <w:rPr>
                <w:rFonts w:eastAsiaTheme="minorHAnsi"/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1.1. Общие положения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1.2. Сведения об эмитенте и его деятельности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1.3. Основные сведения об эмиссионных ценных бумагах, в отношении которых осуществляется регистрация проспекта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Cs/>
                <w:iCs/>
                <w:highlight w:val="white"/>
              </w:rPr>
              <w:t xml:space="preserve">1.4. Основные условия размещения ценных бумаг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1.5. Основные цели эмиссии и направления использования средств, полученных в результате размещения ценных бумаг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1.6. Цели регистрации проспекта ценных бумаг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1.7. Сведения об основных рисках, связанных с эмитентом и приобретением эмиссионных ценных бумаг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</w:p>
        </w:tc>
      </w:tr>
      <w:tr>
        <w:trPr>
          <w:trHeight w:val="27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1.8. Сведения о лицах, подписавших проспект ценных бумаг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</w:t>
            </w:r>
            <w:r>
              <w:rPr>
                <w:highlight w:val="white"/>
              </w:rPr>
            </w:r>
          </w:p>
        </w:tc>
      </w:tr>
      <w:tr>
        <w:trPr>
          <w:trHeight w:val="25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Раздел 2. Информация о финансово-хозя</w:t>
            </w:r>
            <w:r>
              <w:rPr>
                <w:b/>
                <w:highlight w:val="white"/>
              </w:rPr>
              <w:t xml:space="preserve">йственной деятельности эмитента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</w:t>
            </w:r>
            <w:r>
              <w:rPr>
                <w:highlight w:val="white"/>
              </w:rPr>
            </w:r>
          </w:p>
        </w:tc>
      </w:tr>
      <w:tr>
        <w:trPr>
          <w:trHeight w:val="15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2.1. Основные операционные показатели, характеризующие деятельность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</w:t>
            </w:r>
            <w:r>
              <w:rPr>
                <w:highlight w:val="white"/>
              </w:rPr>
            </w:r>
          </w:p>
        </w:tc>
      </w:tr>
      <w:tr>
        <w:trPr>
          <w:trHeight w:val="32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 Основные финансовые показатели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2.2.1. Основные финансовые показатели эмитента, за исключением кредитных организаций, составляющего консолидированную финансовую отчетность (финансовую отчетность)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2.2.2. Основные финансовые показатели эмитента, не составляющего консолидированную финансовую отчетность (финансовую отчетность), рассчитываемые на основе бухгалтерской (финансовой) отчетности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</w:p>
        </w:tc>
      </w:tr>
      <w:tr>
        <w:trPr>
          <w:trHeight w:val="12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2.2.3 Основные финансовые показатели эмитентов, являющихся кредитными организациями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3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2.2.4. Иные финансовые показатели, в том числе характеризующие финансовые резу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льтаты деятельности эмитента (группы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сти эмитента (группы эмитента)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3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2.2.5. Анализ динамики изменения финансовых показателей, приведенных в </w:t>
            </w:r>
            <w:hyperlink r:id="rId11" w:tooltip="https://login.consultant.ru/link/?req=doc&amp;base=LAW&amp;n=440052&amp;dst=414" w:history="1">
              <w:r>
                <w:rPr>
                  <w:rFonts w:eastAsiaTheme="minorHAnsi"/>
                  <w:bCs/>
                  <w:highlight w:val="white"/>
                  <w:lang w:eastAsia="en-US"/>
                </w:rPr>
                <w:t xml:space="preserve">подпункте </w:t>
              </w:r>
            </w:hyperlink>
            <w:r>
              <w:rPr>
                <w:rFonts w:eastAsiaTheme="minorHAnsi"/>
                <w:bCs/>
                <w:highlight w:val="white"/>
                <w:lang w:eastAsia="en-US"/>
              </w:rPr>
              <w:t xml:space="preserve">2.2.3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 настоящего пункта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2.3. Сведения об основных поставщиках эмитента 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27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6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2.4. Сведения об основных дебиторах эмитента 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2.5. Сведения об обязательствах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2.5.1. Сведения об основных кредиторах эмитента 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5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2.5.2. Сведения об обязательствах эмитента из предоставленного обеспечения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9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2.5.3. Сведения о прочих существенных обязательствах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5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2.6. Сведения об истории создания и развития эмитента, а также о его положении в отрасли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4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2.7. Сведения о перспективах развития эмитента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7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 Сведения о рисках, связанных с эмитентом и приобретением ценных бумаг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3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2.8.1.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Отраслевые риски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6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2.8.2. Риски кред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ит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ных организаций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.1. Кредитный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9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.2. Рыночный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3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Процентный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8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.4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Риск ликвидности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46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0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.5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Операционный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47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6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Риск концентрации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92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7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Комплаенс-риск (регуляторный риск)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.8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Стратегический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8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2.8.2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.9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Риск секьюритизации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2.8.3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Страновые и региональные риски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2.8.4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Правовые риски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2.8.5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Риск потери деловой репутации (репутационный риск)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5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2.8.6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Природно-климатический риск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2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2.8.7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Иные риски, которые являются существенными для эмитента (группы эмитента)</w:t>
            </w:r>
            <w:r>
              <w:rPr>
                <w:rFonts w:eastAsiaTheme="minorHAnsi"/>
                <w:bCs/>
                <w:highlight w:val="white"/>
                <w:lang w:eastAsia="en-US"/>
              </w:rPr>
            </w:r>
            <w:r>
              <w:rPr>
                <w:rFonts w:eastAsiaTheme="minorHAnsi"/>
                <w:b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1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Раздел 3.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деятельностью, внутреннего контроля и внутреннего аудита, а также</w:t>
            </w:r>
            <w:r>
              <w:rPr>
                <w:b/>
                <w:highlight w:val="white"/>
              </w:rPr>
              <w:t xml:space="preserve"> сведения о работниках эмитента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6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3.1. Информация о лицах, входящих в состав органов управления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9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3.2.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3.3.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3.4.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9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3.5.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Cs/>
                <w:highlight w:val="white"/>
              </w:rPr>
              <w:t xml:space="preserve">Раздел 4. Сведения об акционерах (участниках, членах) эмитента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5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4.1. Сведения об общем количестве акционеров (участников, членов)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4.2.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9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4.3.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50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Раздел </w:t>
            </w:r>
            <w:r>
              <w:rPr>
                <w:b/>
                <w:highlight w:val="white"/>
              </w:rPr>
              <w:t xml:space="preserve">5</w:t>
            </w:r>
            <w:r>
              <w:rPr>
                <w:b/>
                <w:highlight w:val="white"/>
              </w:rPr>
              <w:t xml:space="preserve">. Дополнительные сведения об эмитенте и о размещенных им </w:t>
            </w:r>
            <w:r>
              <w:rPr>
                <w:b/>
                <w:highlight w:val="white"/>
              </w:rPr>
              <w:t xml:space="preserve">ценных бумагах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5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5.1. Подконтрольные эмитенту организации, имеющие для него существенное значение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72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5.2. Сведения о рейтингах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3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5.3. Дополнительные сведения о деятельности эмитентов, являющихся специализированными обществами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2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5.4. Сведения о каждой категории (типе) акций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1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5.5. Сведения об объявленных и выплаченных дивидендах по акциям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7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5.6. Сведения о выпусках ценных бумаг, за исключением акций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6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5.6.1. Сведения о выпусках, все ценные бумаги которых погашены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1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5.6.2. Сведения о выпусках, ценные бумаги которых не являются погашенными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462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5.7. Сведения о неисполнении эмитентом обязательств по ценным бумагам, за исключением акций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7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5.8. Сведения о регистраторе, осуществляющем ведение реестра владельцев акций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7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5.9. Информация об аудиторе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7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5.10. Иная информация об эмитенте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7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/>
                <w:bCs/>
                <w:iCs/>
                <w:highlight w:val="white"/>
              </w:rPr>
            </w:pPr>
            <w:r>
              <w:rPr>
                <w:b/>
                <w:bCs/>
                <w:iCs/>
                <w:highlight w:val="white"/>
              </w:rPr>
              <w:t xml:space="preserve">Раздел 6. Консолидированная финансовая отчетность (финансовая отчетность), бухгал</w:t>
            </w:r>
            <w:r>
              <w:rPr>
                <w:b/>
                <w:bCs/>
                <w:iCs/>
                <w:highlight w:val="white"/>
              </w:rPr>
              <w:t xml:space="preserve">терская (финансовая) отчетность</w:t>
            </w:r>
            <w:r>
              <w:rPr>
                <w:b/>
                <w:bCs/>
                <w:iCs/>
                <w:highlight w:val="white"/>
              </w:rPr>
            </w:r>
            <w:r>
              <w:rPr>
                <w:b/>
                <w:bCs/>
                <w:iCs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2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6.1. Консолидированная финансовая отчетность (финансовая отчетность)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7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6.2. Бухгалтерская (финансовая) отчетность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0"/>
              <w:rPr>
                <w:rFonts w:eastAsiaTheme="minorHAnsi"/>
                <w:highlight w:val="white"/>
              </w:rPr>
            </w:pPr>
            <w:r>
              <w:rPr>
                <w:b/>
                <w:bCs/>
                <w:iCs/>
                <w:highlight w:val="white"/>
              </w:rPr>
              <w:t xml:space="preserve">Разд</w:t>
            </w:r>
            <w:r>
              <w:rPr>
                <w:b/>
                <w:bCs/>
                <w:iCs/>
                <w:highlight w:val="white"/>
              </w:rPr>
              <w:t xml:space="preserve">ел 7. </w:t>
            </w:r>
            <w:r>
              <w:rPr>
                <w:b/>
                <w:bCs/>
                <w:iCs/>
                <w:highlight w:val="white"/>
              </w:rPr>
              <w:t xml:space="preserve">Сведения о ценных бумагах, в отношении которых составлен проспект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7.1. Вид, категория (тип), иные идентификационные признаки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0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7.2. Указание на способ учета прав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3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7.3. Номинальная стоимость каждой ценной бумаги выпуска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1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 Права владельца каждой ценной бумаги выпуска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20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7.4.1. Права владельца обыкновенных акций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46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7.4.2. Права владельца привилегированных акций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26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7.4.3. Права владельца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236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7.4.3.1. В случае предоставления обеспечения по облигациям выпуска указываются права владельцев облигаций, возникающие из такого обеспечения, в соответствии с условиями обеспечения, указанными в решении о выпуске облигаций, а также то, что с переходом прав</w:t>
            </w:r>
            <w:r>
              <w:rPr>
                <w:highlight w:val="white"/>
              </w:rPr>
              <w:t xml:space="preserve"> на облигацию с обеспечением к новому владельцу (приобретателю) переходят все права, вытекающие из такого обеспечения. Указывается, что передача прав, возникших из предоставленного обеспечения, без передачи прав на облигацию </w:t>
            </w:r>
            <w:r>
              <w:rPr>
                <w:highlight w:val="white"/>
              </w:rPr>
              <w:t xml:space="preserve">является недействительной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17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7.4.3.2.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обстоятельств, предусмотренных решением о выпуске структурных облигаций.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7.4.3.3. Для облигаций без срока погашения указывается данное обстоятельство. Указывается право эмитента отказаться в одностороннем порядке от выплаты процентов по таким облигациям, в случае если такое право предусматривается решением о выпуске облигаций.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7.4.3.4. Для облигаций с ипотечным покрытием указываются права владельцев облигаций, возникающие из залога ипотечного покрытия, в соответствии с условиями такого залога, указанными в решении о выпуске облигаций, а также то, что с переходом прав на облигаци</w:t>
            </w:r>
            <w:r>
              <w:rPr>
                <w:highlight w:val="white"/>
              </w:rPr>
              <w:t xml:space="preserve">ю с ипотечным покрытием к новому владельцу (приобретателю) переходят все права, вытекающие из залога ипотечного покрытия. Указывается на то, что передача прав, возникших из залога ипотечного покрытия, без передачи прав на облигацию с ипотечным покрытием яв</w:t>
            </w:r>
            <w:r>
              <w:rPr>
                <w:highlight w:val="white"/>
              </w:rPr>
              <w:t xml:space="preserve">ляется недействительной.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7.4.4. Права владельца опционов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7.4.5. Права владельца российских депозитарных расписок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7.4.6. Дополнительные сведения о правах владельца конвертируемых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7.4.7. Дополнительные сведения о правах владельцев ценных бумаг, предназначенных для квалифицированных инвесторов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 Порядок и условия погашения и выплаты доходов по облигациям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7.5.1. Форма погашения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7.5.2. Срок погашения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3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7.5.3. Порядок и условия погашения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7.5.4. Порядок определения дохода, выплачиваемого по каждой облигации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7.5.5. Порядок и срок выплаты дохода по облигациям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106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 Порядок и условия досрочного погашения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107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7.5.6.1. Досрочное погашение биржевых облигаций по требованию их владельцев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107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 Досрочное погашение биржевых облигаций по усмотрению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7.5.6.2.1. Досрочное погашение облигаций по усмотрению эмитента в дату, определенную Эмитентом до размещения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7.5.6.2.2. Частичное досрочное погашение облигаций по усмотрению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7.5.6.2.3. Досрочное погашение облигаций по усмотрению эмитента в дату окончания купонного периода, предшествующего дате приобретения облигаций эмитентом по требованию их владельцев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111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7.5.6.2.4. Порядок досрочного погашения облигаций по усмотрению эмитента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112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7.5.6.2.5. Порядок раскрытия эмитентом информации об условиях и итогах досрочного погашения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7.5.7. Сведения о платежных агентах по облигациям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113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6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7.5.8. Прекращение обязательств кредитной организации - эмитента по выплате суммы основного долга и невыплаченного процента (купона) по облигациям, а также по финансовым санкциям за неисполнение обязательств по облигациям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7.5.8.1. Прекращение обязательств по облигациям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459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7.5.8.2. Прощение долга по облигациям субординированного облигационного займа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2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7.6. Сведения о приобретении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114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5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7.6.1. Приобретение Эмитентом Биржевых облигаций по требованию их владельцев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81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7.6.2. Приобретение Эмитентом Биржевых облигаций по соглашению с их владельцами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0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7.7. Дополнительные сведения о зеленых облигациях, социальных облигациях, облигациях устойчивого развития, инфраструктурных облигациях, адаптационных облигациях, облигациях, связанных с целями устойчивого развития, облигациях климатического перехода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7.7.1. В случае если эмитент идентифицирует выпуск (программу) облигаций с использованием слов "зеленые облигации", приводятся следующие сведения и условия, указанные в решении о выпуске (программе) зеленых облигаций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2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7.7.2. В случае если эмитент идентифицирует выпуск (программу) облигаций с использованием слов "социальные облигации", приводятся следующие сведения и условия, указанные в решении о выпуске (программе) социальных облигаций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119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9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7.7.3. В случае если эмитент идентифицирует выпуск (программу) облигаций с использованием слов "облигации устойчивого развития", приводятся сведения и условия, </w:t>
            </w:r>
            <w:r>
              <w:rPr>
                <w:rFonts w:eastAsiaTheme="minorHAnsi"/>
                <w:highlight w:val="white"/>
                <w:lang w:eastAsia="en-US"/>
              </w:rPr>
              <w:t xml:space="preserve">предусмотренные </w:t>
            </w:r>
            <w:hyperlink r:id="rId12" w:tooltip="https://login.consultant.ru/link/?req=doc&amp;base=LAW&amp;n=440052&amp;dst=620" w:history="1">
              <w:r>
                <w:rPr>
                  <w:rFonts w:eastAsiaTheme="minorHAnsi"/>
                  <w:highlight w:val="white"/>
                  <w:lang w:eastAsia="en-US"/>
                </w:rPr>
                <w:t xml:space="preserve">подпунктами 7.7.1</w:t>
              </w:r>
            </w:hyperlink>
            <w:r>
              <w:rPr>
                <w:rFonts w:eastAsiaTheme="minorHAnsi"/>
                <w:highlight w:val="white"/>
                <w:lang w:eastAsia="en-US"/>
              </w:rPr>
              <w:t xml:space="preserve"> и </w:t>
            </w:r>
            <w:hyperlink r:id="rId13" w:tooltip="https://login.consultant.ru/link/?req=doc&amp;base=LAW&amp;n=440052&amp;dst=632" w:history="1">
              <w:r>
                <w:rPr>
                  <w:rFonts w:eastAsiaTheme="minorHAnsi"/>
                  <w:highlight w:val="white"/>
                  <w:lang w:eastAsia="en-US"/>
                </w:rPr>
                <w:t xml:space="preserve">7.7.2</w:t>
              </w:r>
            </w:hyperlink>
            <w:r>
              <w:rPr>
                <w:rFonts w:eastAsiaTheme="minorHAnsi"/>
                <w:highlight w:val="white"/>
                <w:lang w:eastAsia="en-US"/>
              </w:rPr>
              <w:t xml:space="preserve"> настоящего </w:t>
            </w:r>
            <w:r>
              <w:rPr>
                <w:rFonts w:eastAsiaTheme="minorHAnsi"/>
                <w:highlight w:val="white"/>
                <w:lang w:eastAsia="en-US"/>
              </w:rPr>
              <w:t xml:space="preserve">пункта, которые указаны в решении о выпуске (программе) облигаций устойчивого развития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72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7.7.4. В случае если эмитент идентифицирует выпуск (программу) облигаций с использованием слов "инфраструктурные облигации", приводятся следующие сведения и условия, указанные в решении о выпуске (программе) инфраструктурных облигаций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4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7.7.5. В случае если эмитент идентифицирует выпуск (программу) облигаций с использованием слов "адаптационные облигации", приводятся следующие сведения и условия, указанные в решении о выпуске (программе) адаптационных облигаций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83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7.7.6. В случае если эмите</w:t>
            </w:r>
            <w:r>
              <w:rPr>
                <w:rFonts w:eastAsiaTheme="minorHAnsi"/>
                <w:highlight w:val="white"/>
                <w:lang w:eastAsia="en-US"/>
              </w:rPr>
              <w:t xml:space="preserve">нт идентифицирует выпуск (программу) облигаций с использованием слов "облигации, связанные с целями устойчивого развития", приводятся следующие сведения и условия, указанные в решении о выпуске (программе) облигаций, связанных с целями устойчивого развития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4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7.7.7. В случае если эмитент идентифицирует выпуск (программу) облигаций с использованием слов "облигации климатического перехода", приводятся следующие сведения и условия, указанные в решении о выпуске (программе) облигаций климатического перехода</w:t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56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7.8. Сведения о представителе владельцев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8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7.8(1). Сведения о компетенции общег</w:t>
            </w:r>
            <w:r>
              <w:rPr>
                <w:highlight w:val="white"/>
              </w:rPr>
              <w:t xml:space="preserve">о собрания владельцев облигаций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7.9. Дополнительные сведения о российских депозитарных расписках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7.10. Иные сведения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20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7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Раздел 8. Условия размещения ценных бумаг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8.1. Количество размещаемых эмиссионных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8.2. Срок размещения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 Порядок приобретения ценных бумаг при их размещении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8.3.1. Способ размещения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18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8.3.2. Порядок размещения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8.3.3. Цена (цены) или порядок определения цены размещения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127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8.3.4. Порядок осуществления преимущественного права приобретения размещаемых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45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8.3.5. Условия, порядок и срок оплаты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180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8.4. Порядок раскрытия эмитентом информации о выпуске (дополнительном выпуске)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284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8.5. Сведения о документе, содержащем фактические итоги размещения ценных бумаг, который представляется после завершения размещения ценных бумаг</w:t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314"/>
        </w:trPr>
        <w:tblPrEx/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2"/>
              <w:rPr>
                <w:highlight w:val="white"/>
              </w:rPr>
            </w:pPr>
            <w:r>
              <w:rPr>
                <w:highlight w:val="white"/>
              </w:rPr>
              <w:t xml:space="preserve">8.6. Иные сведения</w:t>
            </w:r>
            <w:r>
              <w:rPr>
                <w:highlight w:val="white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128</w:t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trHeight w:val="513"/>
        </w:trPr>
        <w:tblPrEx/>
        <w:tc>
          <w:tcPr>
            <w:tcW w:w="8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b/>
                <w:bCs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  <w:t xml:space="preserve">Раздел 9. Сведения о лице, предоставляющем обеспечение по облигациям эмитента, а также об условиях такого обеспечения</w:t>
            </w:r>
            <w:r>
              <w:rPr>
                <w:b/>
                <w:bCs/>
                <w:highlight w:val="white"/>
                <w14:ligatures w14:val="none"/>
              </w:rPr>
            </w:r>
            <w:r>
              <w:rPr>
                <w:b/>
                <w:bCs/>
                <w:highlight w:val="white"/>
                <w14:ligatures w14:val="none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129</w:t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outlineLvl w:val="0"/>
        <w:rPr>
          <w:rFonts w:eastAsiaTheme="minorHAnsi"/>
          <w:b/>
          <w:highlight w:val="white"/>
        </w:rPr>
      </w:pPr>
      <w:r>
        <w:rPr>
          <w:rFonts w:eastAsiaTheme="minorHAnsi"/>
          <w:b/>
          <w:highlight w:val="white"/>
          <w:lang w:eastAsia="en-US"/>
        </w:rPr>
      </w:r>
      <w:r>
        <w:rPr>
          <w:rFonts w:eastAsiaTheme="minorHAnsi"/>
          <w:b/>
          <w:highlight w:val="white"/>
          <w:lang w:eastAsia="en-US"/>
        </w:rPr>
      </w:r>
      <w:r>
        <w:rPr>
          <w:rFonts w:eastAsiaTheme="minorHAnsi"/>
          <w:b/>
          <w:highlight w:val="white"/>
        </w:rPr>
      </w:r>
    </w:p>
    <w:p>
      <w:pPr>
        <w:spacing w:after="160" w:line="259" w:lineRule="auto"/>
        <w:rPr>
          <w:rFonts w:eastAsiaTheme="minorHAnsi"/>
          <w:b/>
          <w:highlight w:val="white"/>
        </w:rPr>
      </w:pPr>
      <w:r>
        <w:rPr>
          <w:rFonts w:eastAsiaTheme="minorHAnsi"/>
          <w:b/>
          <w:highlight w:val="white"/>
          <w:lang w:eastAsia="en-US"/>
        </w:rPr>
        <w:br w:type="page" w:clear="all"/>
      </w:r>
      <w:r>
        <w:rPr>
          <w:rFonts w:eastAsiaTheme="minorHAnsi"/>
          <w:b/>
          <w:highlight w:val="white"/>
          <w:lang w:eastAsia="en-US"/>
        </w:rPr>
      </w:r>
      <w:r>
        <w:rPr>
          <w:rFonts w:eastAsiaTheme="minorHAnsi"/>
          <w:b/>
          <w:highlight w:val="white"/>
        </w:rPr>
      </w:r>
    </w:p>
    <w:p>
      <w:pPr>
        <w:ind w:firstLine="709"/>
        <w:jc w:val="both"/>
        <w:outlineLvl w:val="0"/>
        <w:rPr>
          <w:rFonts w:eastAsiaTheme="minorHAnsi"/>
          <w:b/>
          <w:highlight w:val="white"/>
        </w:rPr>
      </w:pPr>
      <w:r>
        <w:rPr>
          <w:rFonts w:eastAsiaTheme="minorHAnsi"/>
          <w:b/>
          <w:highlight w:val="white"/>
          <w:lang w:eastAsia="en-US"/>
        </w:rPr>
        <w:t xml:space="preserve">Раздел 1. Введение (резюме проспекта ценных бумаг)</w:t>
      </w:r>
      <w:r>
        <w:rPr>
          <w:rFonts w:eastAsiaTheme="minorHAnsi"/>
          <w:b/>
          <w:highlight w:val="white"/>
          <w:lang w:eastAsia="en-US"/>
        </w:rPr>
      </w:r>
      <w:r>
        <w:rPr>
          <w:rFonts w:eastAsiaTheme="minorHAnsi"/>
          <w:b/>
          <w:highlight w:val="white"/>
        </w:rPr>
      </w:r>
    </w:p>
    <w:p>
      <w:pPr>
        <w:ind w:firstLine="709"/>
        <w:jc w:val="both"/>
        <w:rPr>
          <w:rFonts w:eastAsiaTheme="minorHAnsi"/>
          <w:highlight w:val="white"/>
        </w:rPr>
      </w:pP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целях настоящего документа: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Программа биржевых облигаций, Программа облигаций, Программа </w:t>
      </w:r>
      <w:r>
        <w:rPr>
          <w:bCs/>
          <w:iCs/>
          <w:highlight w:val="white"/>
        </w:rPr>
        <w:t xml:space="preserve">– Программа биржевых облигаций серии 002Р.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/>
          <w:bCs/>
          <w:iCs/>
          <w:highlight w:val="white"/>
        </w:rPr>
      </w:pPr>
      <w:r>
        <w:rPr>
          <w:rFonts w:ascii="Times New Roman" w:hAnsi="Times New Roman" w:cs="Times New Roman"/>
          <w:b/>
          <w:bCs/>
          <w:iCs/>
          <w:highlight w:val="white"/>
        </w:rPr>
        <w:t xml:space="preserve">Решение о выпуске ценных бумаг, Решение о выпуске – </w:t>
      </w:r>
      <w:r>
        <w:rPr>
          <w:rFonts w:ascii="Times New Roman" w:hAnsi="Times New Roman" w:cs="Times New Roman"/>
          <w:bCs/>
          <w:iCs/>
          <w:highlight w:val="white"/>
        </w:rPr>
        <w:t xml:space="preserve">решение о выпуске биржевых облигаций, закрепляющее совокупность имущественных и неимущественных прав в отношении каждого выпуска (дополнительного выпуска) биржевых облигаций, размещаемых в рамках Программы биржевых облигаций.</w:t>
      </w:r>
      <w:r>
        <w:rPr>
          <w:rFonts w:ascii="Times New Roman" w:hAnsi="Times New Roman" w:cs="Times New Roman"/>
          <w:b/>
          <w:bCs/>
          <w:iCs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Cs/>
          <w:highlight w:val="white"/>
        </w:rPr>
      </w:r>
      <w:r>
        <w:rPr>
          <w:rFonts w:ascii="Times New Roman" w:hAnsi="Times New Roman" w:cs="Times New Roman"/>
          <w:b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/>
          <w:bCs/>
          <w:iCs/>
          <w:highlight w:val="white"/>
        </w:rPr>
      </w:pPr>
      <w:r>
        <w:rPr>
          <w:rFonts w:ascii="Times New Roman" w:hAnsi="Times New Roman" w:cs="Times New Roman"/>
          <w:b/>
          <w:bCs/>
          <w:iCs/>
          <w:highlight w:val="white"/>
        </w:rPr>
      </w:r>
      <w:r>
        <w:rPr>
          <w:rFonts w:ascii="Times New Roman" w:hAnsi="Times New Roman" w:cs="Times New Roman"/>
          <w:b/>
          <w:bCs/>
          <w:iCs/>
          <w:highlight w:val="white"/>
        </w:rPr>
      </w:r>
      <w:r>
        <w:rPr>
          <w:rFonts w:ascii="Times New Roman" w:hAnsi="Times New Roman" w:cs="Times New Roman"/>
          <w:b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/>
          <w:bCs/>
          <w:iCs/>
          <w:highlight w:val="white"/>
        </w:rPr>
        <w:t xml:space="preserve">Выпуск</w:t>
      </w:r>
      <w:r>
        <w:rPr>
          <w:rFonts w:ascii="Times New Roman" w:hAnsi="Times New Roman" w:cs="Times New Roman"/>
          <w:bCs/>
          <w:iCs/>
          <w:highlight w:val="white"/>
        </w:rPr>
        <w:t xml:space="preserve"> – отдельный выпуск биржевых облигаций, размещаемых в рамках Программы биржевых облигаций.</w:t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/>
          <w:bCs/>
          <w:iCs/>
          <w:highlight w:val="white"/>
        </w:rPr>
        <w:t xml:space="preserve">Биржевая облигация или Биржевая облигация выпуска</w:t>
      </w:r>
      <w:r>
        <w:rPr>
          <w:rFonts w:ascii="Times New Roman" w:hAnsi="Times New Roman" w:cs="Times New Roman"/>
          <w:bCs/>
          <w:iCs/>
          <w:highlight w:val="white"/>
        </w:rPr>
        <w:t xml:space="preserve"> – биржевая облигация, размещаемая в рамках Выпуска (дополнительного выпуска).</w:t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/>
          <w:bCs/>
          <w:iCs/>
          <w:highlight w:val="white"/>
        </w:rPr>
        <w:t xml:space="preserve">Биржевые облигации – </w:t>
      </w:r>
      <w:r>
        <w:rPr>
          <w:rFonts w:ascii="Times New Roman" w:hAnsi="Times New Roman" w:cs="Times New Roman"/>
          <w:bCs/>
          <w:iCs/>
          <w:highlight w:val="white"/>
        </w:rPr>
        <w:t xml:space="preserve">биржевые облигации, размещаемые в рамках Выпуска (Дополнительного выпуска).</w:t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hint="eastAsia"/>
          <w:b/>
          <w:bCs/>
          <w:iCs/>
          <w:highlight w:val="white"/>
        </w:rPr>
        <w:t xml:space="preserve">Документ</w:t>
      </w:r>
      <w:r>
        <w:rPr>
          <w:b/>
          <w:bCs/>
          <w:iCs/>
          <w:highlight w:val="white"/>
        </w:rPr>
        <w:t xml:space="preserve">, </w:t>
      </w:r>
      <w:r>
        <w:rPr>
          <w:rFonts w:hint="eastAsia"/>
          <w:b/>
          <w:bCs/>
          <w:iCs/>
          <w:highlight w:val="white"/>
        </w:rPr>
        <w:t xml:space="preserve">содержащий</w:t>
      </w:r>
      <w:r>
        <w:rPr>
          <w:b/>
          <w:bCs/>
          <w:iCs/>
          <w:highlight w:val="white"/>
        </w:rPr>
        <w:t xml:space="preserve"> </w:t>
      </w:r>
      <w:r>
        <w:rPr>
          <w:rFonts w:hint="eastAsia"/>
          <w:b/>
          <w:bCs/>
          <w:iCs/>
          <w:highlight w:val="white"/>
        </w:rPr>
        <w:t xml:space="preserve">условия</w:t>
      </w:r>
      <w:r>
        <w:rPr>
          <w:b/>
          <w:bCs/>
          <w:iCs/>
          <w:highlight w:val="white"/>
        </w:rPr>
        <w:t xml:space="preserve"> </w:t>
      </w:r>
      <w:r>
        <w:rPr>
          <w:rFonts w:hint="eastAsia"/>
          <w:b/>
          <w:bCs/>
          <w:iCs/>
          <w:highlight w:val="white"/>
        </w:rPr>
        <w:t xml:space="preserve">размещения</w:t>
      </w:r>
      <w:r>
        <w:rPr>
          <w:b/>
          <w:bCs/>
          <w:iCs/>
          <w:highlight w:val="white"/>
        </w:rPr>
        <w:t xml:space="preserve"> </w:t>
      </w:r>
      <w:r>
        <w:rPr>
          <w:rFonts w:hint="eastAsia"/>
          <w:b/>
          <w:bCs/>
          <w:iCs/>
          <w:highlight w:val="white"/>
        </w:rPr>
        <w:t xml:space="preserve">ценных</w:t>
      </w:r>
      <w:r>
        <w:rPr>
          <w:b/>
          <w:bCs/>
          <w:iCs/>
          <w:highlight w:val="white"/>
        </w:rPr>
        <w:t xml:space="preserve"> </w:t>
      </w:r>
      <w:r>
        <w:rPr>
          <w:rFonts w:hint="eastAsia"/>
          <w:b/>
          <w:bCs/>
          <w:iCs/>
          <w:highlight w:val="white"/>
        </w:rPr>
        <w:t xml:space="preserve">бумаг</w:t>
      </w:r>
      <w:r>
        <w:rPr>
          <w:b/>
          <w:bCs/>
          <w:iCs/>
          <w:highlight w:val="white"/>
        </w:rPr>
        <w:t xml:space="preserve">, Условия размещения</w:t>
      </w:r>
      <w:r>
        <w:rPr>
          <w:b/>
          <w:bCs/>
          <w:i/>
          <w:iCs/>
          <w:highlight w:val="white"/>
        </w:rPr>
        <w:t xml:space="preserve"> </w:t>
      </w:r>
      <w:r>
        <w:rPr>
          <w:highlight w:val="white"/>
        </w:rPr>
        <w:t xml:space="preserve">– документ, </w:t>
      </w:r>
      <w:r>
        <w:rPr>
          <w:highlight w:val="white"/>
        </w:rPr>
        <w:t xml:space="preserve">содержащий определенные</w:t>
      </w:r>
      <w:r>
        <w:rPr>
          <w:highlight w:val="white"/>
        </w:rPr>
        <w:t xml:space="preserve"> </w:t>
      </w:r>
      <w:r>
        <w:rPr>
          <w:highlight w:val="white"/>
        </w:rPr>
        <w:t xml:space="preserve">Эмитентом условия</w:t>
      </w:r>
      <w:r>
        <w:rPr>
          <w:highlight w:val="white"/>
        </w:rPr>
        <w:t xml:space="preserve"> размещения   Биржевых облигаций отдельного выпуска (дополнительного выпуска) в рамках Программы биржевых облигаций.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Проспект, Проспект ценных бумаг</w:t>
      </w:r>
      <w:r>
        <w:rPr>
          <w:highlight w:val="white"/>
        </w:rPr>
        <w:t xml:space="preserve"> – настоящий Проспект ценных бумаг, составленный в отношении Биржевых облигаций, размещаемых в рамках Программы биржевых облигаций.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Эмитент, Кредитная организация-эмитент, Банк -</w:t>
      </w:r>
      <w:r>
        <w:rPr>
          <w:highlight w:val="white"/>
        </w:rPr>
        <w:t xml:space="preserve"> Акционерное общество «Российский Сельскохозяйственный банк».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«Группа», «Группа эмитента»</w:t>
      </w:r>
      <w:r>
        <w:rPr>
          <w:highlight w:val="white"/>
        </w:rPr>
        <w:t xml:space="preserve"> </w:t>
      </w:r>
      <w:r>
        <w:rPr>
          <w:highlight w:val="white"/>
        </w:rPr>
        <w:t xml:space="preserve">- </w:t>
      </w:r>
      <w:r>
        <w:rPr>
          <w:highlight w:val="white"/>
        </w:rPr>
        <w:t xml:space="preserve">Акционерное общество «Российский Сельскохозяйственный банк» и его дочерние организации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rFonts w:eastAsiaTheme="minorHAnsi"/>
          <w:highlight w:val="white"/>
        </w:rPr>
      </w:pP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highlight w:val="white"/>
        </w:rPr>
      </w:pPr>
      <w:r>
        <w:rPr>
          <w:rFonts w:eastAsiaTheme="minorHAnsi"/>
          <w:b/>
          <w:highlight w:val="white"/>
          <w:lang w:eastAsia="en-US"/>
        </w:rPr>
        <w:t xml:space="preserve">1.1. Общие положения</w:t>
      </w:r>
      <w:r>
        <w:rPr>
          <w:rFonts w:eastAsiaTheme="minorHAnsi"/>
          <w:b/>
          <w:highlight w:val="white"/>
          <w:lang w:eastAsia="en-US"/>
        </w:rPr>
      </w:r>
      <w:r>
        <w:rPr>
          <w:rFonts w:eastAsiaTheme="minorHAnsi"/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п</w:t>
      </w:r>
      <w:r>
        <w:rPr>
          <w:highlight w:val="white"/>
        </w:rPr>
        <w:t xml:space="preserve">риложениях</w:t>
      </w:r>
      <w:r>
        <w:rPr>
          <w:highlight w:val="white"/>
        </w:rPr>
        <w:t xml:space="preserve"> № 1</w:t>
      </w:r>
      <w:r>
        <w:rPr>
          <w:highlight w:val="white"/>
        </w:rPr>
        <w:t xml:space="preserve">-2*</w:t>
      </w:r>
      <w:r>
        <w:rPr>
          <w:highlight w:val="white"/>
        </w:rPr>
        <w:t xml:space="preserve"> настоящего </w:t>
      </w:r>
      <w:r>
        <w:rPr>
          <w:highlight w:val="white"/>
        </w:rPr>
        <w:t xml:space="preserve">Проспекта ценных бумаг (далее – Проспект)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приведена консолидированная финансовая отчетность, подготовленная в соответствии с Международными стандартами финансовой отчетности, принятыми Советом по Международным стан</w:t>
      </w:r>
      <w:r>
        <w:rPr>
          <w:highlight w:val="white"/>
        </w:rPr>
        <w:t xml:space="preserve">дартам финансовой отчетности («</w:t>
      </w:r>
      <w:r>
        <w:rPr>
          <w:highlight w:val="white"/>
        </w:rPr>
        <w:t xml:space="preserve">МСФО») в отношении Групп</w:t>
      </w:r>
      <w:r>
        <w:rPr>
          <w:highlight w:val="white"/>
        </w:rPr>
        <w:t xml:space="preserve">ы</w:t>
      </w:r>
      <w:r>
        <w:rPr>
          <w:highlight w:val="white"/>
        </w:rPr>
        <w:t xml:space="preserve"> эмитента с аудиторским заключением независимого аудитора</w:t>
      </w:r>
      <w:r>
        <w:rPr>
          <w:highlight w:val="white"/>
        </w:rPr>
        <w:t xml:space="preserve"> за 20</w:t>
      </w:r>
      <w:r>
        <w:rPr>
          <w:highlight w:val="white"/>
        </w:rPr>
        <w:t xml:space="preserve">22</w:t>
      </w:r>
      <w:r>
        <w:rPr>
          <w:highlight w:val="white"/>
        </w:rPr>
        <w:t xml:space="preserve">, 2023</w:t>
      </w:r>
      <w:r>
        <w:rPr>
          <w:highlight w:val="white"/>
        </w:rPr>
        <w:t xml:space="preserve"> и 2024</w:t>
      </w:r>
      <w:r>
        <w:rPr>
          <w:highlight w:val="white"/>
        </w:rPr>
        <w:t xml:space="preserve"> годы и </w:t>
      </w:r>
      <w:r>
        <w:rPr>
          <w:highlight w:val="white"/>
        </w:rPr>
        <w:t xml:space="preserve">промежуточная сокращенная консолидированная финансовая отчетность Группы </w:t>
      </w:r>
      <w:r>
        <w:rPr>
          <w:highlight w:val="white"/>
        </w:rPr>
        <w:br/>
        <w:t xml:space="preserve">за 3</w:t>
      </w:r>
      <w:r>
        <w:rPr>
          <w:highlight w:val="white"/>
        </w:rPr>
        <w:t xml:space="preserve"> месяца</w:t>
      </w:r>
      <w:r>
        <w:rPr>
          <w:highlight w:val="white"/>
        </w:rPr>
        <w:t xml:space="preserve"> 2025</w:t>
      </w:r>
      <w:r>
        <w:rPr>
          <w:highlight w:val="white"/>
        </w:rPr>
        <w:t xml:space="preserve"> года, подготовленная в соответствии с Международными стандартами финансовой отчетности</w:t>
      </w:r>
      <w:r>
        <w:rPr>
          <w:highlight w:val="white"/>
        </w:rPr>
        <w:t xml:space="preserve">, на основании которой в Проспекте раскрывается информация о финансово-хозяйственной деятельности Эмитента.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</w:t>
      </w:r>
      <w:r>
        <w:rPr>
          <w:highlight w:val="white"/>
        </w:rPr>
        <w:t xml:space="preserve">нформация о финансово-хозяйственной деятельности эмитента</w:t>
      </w:r>
      <w:r>
        <w:rPr>
          <w:highlight w:val="white"/>
        </w:rPr>
        <w:t xml:space="preserve">, отражает его </w:t>
      </w:r>
      <w:r>
        <w:rPr>
          <w:highlight w:val="white"/>
        </w:rPr>
        <w:t xml:space="preserve">деятельность в качестве организации, которая вместе с другими организациями в соответствии с МСФО определяется как группа.</w:t>
      </w:r>
      <w:r>
        <w:rPr>
          <w:highlight w:val="white"/>
        </w:rPr>
      </w:r>
    </w:p>
    <w:p>
      <w:pPr>
        <w:ind w:firstLine="709"/>
        <w:jc w:val="both"/>
        <w:rPr>
          <w:rFonts w:eastAsiaTheme="minorHAnsi"/>
          <w:highlight w:val="white"/>
        </w:rPr>
      </w:pPr>
      <w:r>
        <w:rPr>
          <w:highlight w:val="white"/>
        </w:rPr>
        <w:t xml:space="preserve">Консолидированная финансовая отчетность, </w:t>
      </w:r>
      <w:r>
        <w:rPr>
          <w:highlight w:val="white"/>
        </w:rPr>
        <w:t xml:space="preserve">подготовленная в соответствии с Международными стандартами финансовой отчетности, принятыми Советом по Международным стан</w:t>
      </w:r>
      <w:r>
        <w:rPr>
          <w:highlight w:val="white"/>
        </w:rPr>
        <w:t xml:space="preserve">дартам финансовой отчетности («</w:t>
      </w:r>
      <w:r>
        <w:rPr>
          <w:highlight w:val="white"/>
        </w:rPr>
        <w:t xml:space="preserve">МСФО») в отношении Группы эмитента с аудиторским заключением независимого аудитора за </w:t>
      </w:r>
      <w:r>
        <w:rPr>
          <w:highlight w:val="white"/>
        </w:rPr>
        <w:t xml:space="preserve">20</w:t>
      </w:r>
      <w:r>
        <w:rPr>
          <w:highlight w:val="white"/>
        </w:rPr>
        <w:t xml:space="preserve">22</w:t>
      </w:r>
      <w:r>
        <w:rPr>
          <w:highlight w:val="white"/>
        </w:rPr>
        <w:t xml:space="preserve">, 2023</w:t>
      </w:r>
      <w:r>
        <w:rPr>
          <w:highlight w:val="white"/>
        </w:rPr>
        <w:t xml:space="preserve"> и 2024</w:t>
      </w:r>
      <w:r>
        <w:rPr>
          <w:highlight w:val="white"/>
        </w:rPr>
        <w:t xml:space="preserve"> </w:t>
      </w:r>
      <w:r>
        <w:rPr>
          <w:highlight w:val="white"/>
        </w:rPr>
        <w:t xml:space="preserve">годы и промежуточная сокращенная консолидированная фи</w:t>
      </w:r>
      <w:r>
        <w:rPr>
          <w:highlight w:val="white"/>
        </w:rPr>
        <w:t xml:space="preserve">нансовая отчетность Группы </w:t>
      </w:r>
      <w:r>
        <w:rPr>
          <w:highlight w:val="white"/>
        </w:rPr>
        <w:br/>
        <w:t xml:space="preserve">за 3</w:t>
      </w:r>
      <w:r>
        <w:rPr>
          <w:highlight w:val="white"/>
        </w:rPr>
        <w:t xml:space="preserve"> месяца</w:t>
      </w:r>
      <w:r>
        <w:rPr>
          <w:highlight w:val="white"/>
        </w:rPr>
        <w:t xml:space="preserve"> 2025</w:t>
      </w:r>
      <w:r>
        <w:rPr>
          <w:highlight w:val="white"/>
        </w:rPr>
        <w:t xml:space="preserve"> года, подготовленная в соответствии с Международными стандартами финансовой отчетност</w:t>
      </w:r>
      <w:r>
        <w:rPr>
          <w:highlight w:val="white"/>
        </w:rPr>
        <w:t xml:space="preserve">и</w:t>
      </w:r>
      <w:r>
        <w:rPr>
          <w:rFonts w:eastAsiaTheme="minorHAnsi"/>
          <w:highlight w:val="white"/>
          <w:lang w:eastAsia="en-US"/>
        </w:rPr>
        <w:t xml:space="preserve">, на основании которой в настоящем </w:t>
      </w:r>
      <w:r>
        <w:rPr>
          <w:rFonts w:eastAsiaTheme="minorHAnsi"/>
          <w:highlight w:val="white"/>
          <w:lang w:eastAsia="en-US"/>
        </w:rPr>
        <w:t xml:space="preserve">П</w:t>
      </w:r>
      <w:r>
        <w:rPr>
          <w:rFonts w:eastAsiaTheme="minorHAnsi"/>
          <w:highlight w:val="white"/>
          <w:lang w:eastAsia="en-US"/>
        </w:rPr>
        <w:t xml:space="preserve">роспекте ценных бумаг раскрыта информация о финансово-хозяйственной деятельности </w:t>
      </w:r>
      <w:r>
        <w:rPr>
          <w:rFonts w:eastAsiaTheme="minorHAnsi"/>
          <w:highlight w:val="white"/>
          <w:lang w:eastAsia="en-US"/>
        </w:rPr>
        <w:t xml:space="preserve">Э</w:t>
      </w:r>
      <w:r>
        <w:rPr>
          <w:rFonts w:eastAsiaTheme="minorHAnsi"/>
          <w:highlight w:val="white"/>
          <w:lang w:eastAsia="en-US"/>
        </w:rPr>
        <w:t xml:space="preserve">митента, дает объективное и достоверное представление об активах, обязательствах, финансовом состоянии, прибыли ил</w:t>
      </w:r>
      <w:r>
        <w:rPr>
          <w:rFonts w:eastAsiaTheme="minorHAnsi"/>
          <w:highlight w:val="white"/>
          <w:lang w:eastAsia="en-US"/>
        </w:rPr>
        <w:t xml:space="preserve">и убытке Э</w:t>
      </w:r>
      <w:r>
        <w:rPr>
          <w:rFonts w:eastAsiaTheme="minorHAnsi"/>
          <w:highlight w:val="white"/>
          <w:lang w:eastAsia="en-US"/>
        </w:rPr>
        <w:t xml:space="preserve">митента.</w:t>
      </w: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финансовом состоянии и результатах деятельности </w:t>
      </w:r>
      <w:r>
        <w:rPr>
          <w:highlight w:val="white"/>
        </w:rPr>
        <w:t xml:space="preserve">Эмитента </w:t>
      </w:r>
      <w:r>
        <w:rPr>
          <w:highlight w:val="white"/>
        </w:rPr>
        <w:t xml:space="preserve">содержит достоверное представление о деятельности </w:t>
      </w:r>
      <w:r>
        <w:rPr>
          <w:highlight w:val="white"/>
        </w:rPr>
        <w:t xml:space="preserve">Э</w:t>
      </w:r>
      <w:r>
        <w:rPr>
          <w:highlight w:val="white"/>
        </w:rPr>
        <w:t xml:space="preserve">митента, а также об основн</w:t>
      </w:r>
      <w:r>
        <w:rPr>
          <w:highlight w:val="white"/>
        </w:rPr>
        <w:t xml:space="preserve">ых рисках, связанных с его </w:t>
      </w:r>
      <w:r>
        <w:rPr>
          <w:highlight w:val="white"/>
        </w:rPr>
        <w:t xml:space="preserve">деятельностью.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Настоящий проспект ценных бумаг содержит оценки и прогнозы в отношении будущих собы</w:t>
      </w:r>
      <w:r>
        <w:rPr>
          <w:highlight w:val="white"/>
        </w:rPr>
        <w:t xml:space="preserve">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 его планов, вероятности наступления определенных событий и совершения определенных действий.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Инвесторы не должны полностью полагаться на оценки и прогнозы, при</w:t>
      </w:r>
      <w:r>
        <w:rPr>
          <w:highlight w:val="white"/>
        </w:rPr>
        <w:t xml:space="preserve">веденные в настоящем проспекте ценных бумаг,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</w:t>
      </w:r>
      <w:r>
        <w:rPr>
          <w:highlight w:val="white"/>
        </w:rPr>
        <w:t xml:space="preserve">стоящем проспекте ценных бумаг.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Объем прав по облигациям и (или) порядок их осуществления может быть изменен по решению общего собрания владельцев обли</w:t>
      </w:r>
      <w:r>
        <w:rPr>
          <w:highlight w:val="white"/>
        </w:rPr>
        <w:t xml:space="preserve">гаций о согласии на внесение указанных изменений (по решению представителя владельцев облигаций о согласии на внесение указанных изменений, если решением общего собрания владельцев облигаций ему предоставлено право давать такое согласие). В соответствии с </w:t>
      </w:r>
      <w:hyperlink r:id="rId14" w:tooltip="consultantplus://offline/ref=818DDE07045A8694AAF8008F8AD959D48C90815FDD08E4DE751FD3E9591E16F08D55FF23F390D4330331B5D0489D74F90629014D234EfFm9J" w:history="1">
        <w:r>
          <w:rPr>
            <w:highlight w:val="white"/>
          </w:rPr>
          <w:t xml:space="preserve">пунктом 1 статьи 29.6</w:t>
        </w:r>
      </w:hyperlink>
      <w:r>
        <w:rPr>
          <w:highlight w:val="white"/>
        </w:rPr>
        <w:t xml:space="preserve"> Федерального закона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О рынке ценных бумаг</w:t>
      </w:r>
      <w:r>
        <w:rPr>
          <w:highlight w:val="white"/>
        </w:rPr>
        <w:t xml:space="preserve">»</w:t>
      </w:r>
      <w:r>
        <w:rPr>
          <w:highlight w:val="white"/>
        </w:rPr>
        <w:t xml:space="preserve"> решение общего собрания владельцев облигаций является обязательным для всех владельцев облигаций, в том числе для владельцев облигаций, которые голосовали против принятия соответствующего решения или не принимали участия в голосовании.</w:t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*В соответствии </w:t>
      </w:r>
      <w:r>
        <w:rPr>
          <w:highlight w:val="white"/>
        </w:rPr>
        <w:t xml:space="preserve">абзацем 12 пункта 1</w:t>
      </w:r>
      <w:r>
        <w:rPr>
          <w:highlight w:val="white"/>
        </w:rPr>
        <w:t xml:space="preserve"> Постановления Правительства Российской Федерации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highlight w:val="white"/>
        </w:rPr>
        <w:t xml:space="preserve">б акционерных обществах» и Федерального закона «О рынке ценных бумаг» и Решением Совета директоров Банка России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24.12.2024               «О требованиях к раскрытию кредитными организациями (головными кредитными организациями банковских групп) отчетности и информации в 2025 году»</w:t>
      </w:r>
      <w:r>
        <w:rPr>
          <w:highlight w:val="white"/>
        </w:rPr>
        <w:t xml:space="preserve">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риложение 1 и 2 к Проспекту не раскрываются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1.2. Сведения об эмитенте и его деятельности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  <w:t xml:space="preserve">Краткая информация об эмитенте:</w:t>
      </w: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П</w:t>
      </w:r>
      <w:r>
        <w:rPr>
          <w:b/>
          <w:i/>
          <w:highlight w:val="white"/>
        </w:rPr>
        <w:t xml:space="preserve">олное и сокращенное фирменные наименования </w:t>
      </w:r>
      <w:r>
        <w:rPr>
          <w:b/>
          <w:i/>
          <w:highlight w:val="white"/>
        </w:rPr>
        <w:t xml:space="preserve">эмитента: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4819"/>
      </w:tblGrid>
      <w:tr>
        <w:trPr>
          <w:jc w:val="center"/>
          <w:trHeight w:val="403"/>
        </w:trPr>
        <w:tblPrEx/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Полное фирменное наименование</w:t>
            </w:r>
            <w:r>
              <w:rPr>
                <w:highlight w:val="white"/>
              </w:rPr>
            </w:r>
          </w:p>
        </w:tc>
        <w:tc>
          <w:tcPr>
            <w:tcW w:w="481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Акционерное общество «Российский Сельскохозяйственный банк» 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91"/>
        </w:trPr>
        <w:tblPrEx/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введено с </w:t>
            </w:r>
            <w:r>
              <w:rPr>
                <w:highlight w:val="white"/>
                <w:lang w:val="en-US"/>
              </w:rPr>
              <w:t xml:space="preserve">04</w:t>
            </w:r>
            <w:r>
              <w:rPr>
                <w:highlight w:val="white"/>
              </w:rPr>
              <w:t xml:space="preserve">.0</w:t>
            </w:r>
            <w:r>
              <w:rPr>
                <w:highlight w:val="white"/>
                <w:lang w:val="en-US"/>
              </w:rPr>
              <w:t xml:space="preserve">8</w:t>
            </w:r>
            <w:r>
              <w:rPr>
                <w:highlight w:val="white"/>
              </w:rPr>
              <w:t xml:space="preserve">.20</w:t>
            </w:r>
            <w:r>
              <w:rPr>
                <w:highlight w:val="white"/>
                <w:lang w:val="en-US"/>
              </w:rPr>
              <w:t xml:space="preserve">15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Сокращенное фирменное наименование</w:t>
            </w:r>
            <w:r>
              <w:rPr>
                <w:highlight w:val="white"/>
              </w:rPr>
            </w:r>
          </w:p>
        </w:tc>
        <w:tc>
          <w:tcPr>
            <w:tcW w:w="481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АО «Россельхозбанк» 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20"/>
        </w:trPr>
        <w:tblPrEx/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введено с </w:t>
            </w:r>
            <w:r>
              <w:rPr>
                <w:highlight w:val="white"/>
                <w:lang w:val="en-US"/>
              </w:rPr>
              <w:t xml:space="preserve">04</w:t>
            </w:r>
            <w:r>
              <w:rPr>
                <w:highlight w:val="white"/>
              </w:rPr>
              <w:t xml:space="preserve">.0</w:t>
            </w:r>
            <w:r>
              <w:rPr>
                <w:highlight w:val="white"/>
                <w:lang w:val="en-US"/>
              </w:rPr>
              <w:t xml:space="preserve">8</w:t>
            </w:r>
            <w:r>
              <w:rPr>
                <w:highlight w:val="white"/>
              </w:rPr>
              <w:t xml:space="preserve">.20</w:t>
            </w:r>
            <w:r>
              <w:rPr>
                <w:highlight w:val="white"/>
                <w:lang w:val="en-US"/>
              </w:rPr>
              <w:t xml:space="preserve">15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соответствии с Уставом Банка: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полное фирменное наименование Банка на русском языке – Акционерное общество «Российский Сельскохозяйственный банк»;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полное фирменное наименование Банка на английском языке – </w:t>
      </w:r>
      <w:r>
        <w:rPr>
          <w:highlight w:val="white"/>
          <w:lang w:val="en-US"/>
        </w:rPr>
        <w:t xml:space="preserve">Joint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stock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company</w:t>
      </w:r>
      <w:r>
        <w:rPr>
          <w:highlight w:val="white"/>
        </w:rPr>
        <w:t xml:space="preserve"> Russian Agricultural Bank;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сокращенное фирменное наименование Банка на русском языке – </w:t>
      </w:r>
      <w:r>
        <w:rPr>
          <w:highlight w:val="white"/>
        </w:rPr>
        <w:t xml:space="preserve">                                          </w:t>
      </w:r>
      <w:r>
        <w:rPr>
          <w:highlight w:val="white"/>
        </w:rPr>
        <w:t xml:space="preserve">АО «Россельхозбанк»;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сокращенное фирменное наименование Банка на английском языке – </w:t>
      </w:r>
      <w:r>
        <w:rPr>
          <w:highlight w:val="white"/>
        </w:rPr>
        <w:t xml:space="preserve">                                                                </w:t>
      </w:r>
      <w:r>
        <w:rPr>
          <w:highlight w:val="white"/>
          <w:lang w:val="en-US"/>
        </w:rPr>
        <w:t xml:space="preserve">JSC</w:t>
      </w:r>
      <w:r>
        <w:rPr>
          <w:highlight w:val="white"/>
        </w:rPr>
        <w:t xml:space="preserve"> Rosselkhozbank.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Ме</w:t>
      </w:r>
      <w:r>
        <w:rPr>
          <w:b/>
          <w:i/>
          <w:highlight w:val="white"/>
        </w:rPr>
        <w:t xml:space="preserve">сто нахождения и адрес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5012"/>
        <w:gridCol w:w="4168"/>
      </w:tblGrid>
      <w:tr>
        <w:trPr>
          <w:jc w:val="center"/>
          <w:trHeight w:val="585"/>
        </w:trPr>
        <w:tblPrEx/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Место нахождения эмитента</w:t>
            </w:r>
            <w:r>
              <w:rPr>
                <w:highlight w:val="white"/>
              </w:rPr>
            </w:r>
          </w:p>
        </w:tc>
        <w:tc>
          <w:tcPr>
            <w:tcW w:w="41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Российская Федерация, г. Москва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246"/>
        </w:trPr>
        <w:tblPrEx/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Адрес:</w:t>
            </w:r>
            <w:r>
              <w:rPr>
                <w:highlight w:val="white"/>
              </w:rPr>
            </w:r>
          </w:p>
        </w:tc>
        <w:tc>
          <w:tcPr>
            <w:tcW w:w="41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119034, г. Москва, Гагаринский пер</w:t>
            </w:r>
            <w:r>
              <w:rPr>
                <w:highlight w:val="white"/>
              </w:rPr>
              <w:t xml:space="preserve">еулок</w:t>
            </w:r>
            <w:r>
              <w:rPr>
                <w:highlight w:val="white"/>
              </w:rPr>
              <w:t xml:space="preserve">, д</w:t>
            </w:r>
            <w:r>
              <w:rPr>
                <w:highlight w:val="white"/>
              </w:rPr>
              <w:t xml:space="preserve">ом</w:t>
            </w:r>
            <w:r>
              <w:rPr>
                <w:highlight w:val="white"/>
              </w:rPr>
              <w:t xml:space="preserve">. 3 </w:t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способе и дате создания эмитента: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создан</w:t>
      </w:r>
      <w:r>
        <w:rPr>
          <w:highlight w:val="white"/>
        </w:rPr>
        <w:t xml:space="preserve"> в 2000 году в соответствии с распоряжением Президента Российской Федерации от 15 марта 2000 г. № 75-рп. </w:t>
      </w:r>
      <w:r>
        <w:rPr>
          <w:highlight w:val="white"/>
        </w:rPr>
        <w:t xml:space="preserve">Банк</w:t>
      </w:r>
      <w:r>
        <w:rPr>
          <w:highlight w:val="white"/>
        </w:rPr>
        <w:t xml:space="preserve"> является ключевым звеном национальной кредитно-финансовой системы обслуживания товаропроизводителей в сфере агропромышленного комплекса.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Случаи изменения полного фирменного наименования, а также реорганизации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9335" w:type="dxa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5195"/>
      </w:tblGrid>
      <w:tr>
        <w:trPr>
          <w:jc w:val="center"/>
          <w:trHeight w:val="300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Полное фирменное наименование</w:t>
            </w:r>
            <w:r>
              <w:rPr>
                <w:highlight w:val="white"/>
              </w:rPr>
              <w:t xml:space="preserve"> до изменения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Открытое акционерное общество «Российский Сельскохозяйственный банк»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Сокращенное фирменное наименование</w:t>
            </w:r>
            <w:r>
              <w:rPr>
                <w:highlight w:val="white"/>
              </w:rPr>
              <w:t xml:space="preserve"> до изменения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ОАО «Россельхозбанк»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Полное фирменное наименование на английском языке</w:t>
            </w:r>
            <w:r>
              <w:rPr>
                <w:highlight w:val="white"/>
              </w:rPr>
              <w:t xml:space="preserve"> до изменения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Russian Agricultural Bank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Сокращенное наименование Банка на английском языке</w:t>
            </w:r>
            <w:r>
              <w:rPr>
                <w:highlight w:val="white"/>
              </w:rPr>
              <w:t xml:space="preserve"> до изменения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Rosselkhozbank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Дата изменения наименования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04.08.2015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Основание  изменения наименования</w:t>
            </w:r>
            <w:r>
              <w:rPr>
                <w:highlight w:val="white"/>
              </w:rPr>
            </w:r>
          </w:p>
        </w:tc>
        <w:tc>
          <w:tcPr>
            <w:tcW w:w="51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Распоряжение </w:t>
            </w:r>
            <w:r>
              <w:rPr>
                <w:highlight w:val="white"/>
              </w:rPr>
              <w:t xml:space="preserve">Росимущества № 542-р                      от </w:t>
            </w:r>
            <w:r>
              <w:rPr>
                <w:highlight w:val="white"/>
              </w:rPr>
              <w:t xml:space="preserve">30.06.2015</w:t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</w:t>
      </w:r>
      <w:r>
        <w:rPr>
          <w:highlight w:val="white"/>
        </w:rPr>
        <w:t xml:space="preserve">еорганизаци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Эмитента </w:t>
      </w:r>
      <w:r>
        <w:rPr>
          <w:highlight w:val="white"/>
        </w:rPr>
        <w:t xml:space="preserve">не проводилась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</w:t>
      </w:r>
      <w:r>
        <w:rPr>
          <w:b/>
          <w:i/>
          <w:highlight w:val="white"/>
        </w:rPr>
        <w:t xml:space="preserve">сновной государственный регистрационный номер (ОГРН) и идентификационный номер налогоплательщика (ИНН)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547"/>
      </w:tblGrid>
      <w:tr>
        <w:trPr>
          <w:jc w:val="center"/>
        </w:trPr>
        <w:tblPrEx/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ИНН: </w:t>
            </w:r>
            <w:r>
              <w:rPr>
                <w:highlight w:val="white"/>
              </w:rPr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7725114488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ОГРН: </w:t>
            </w:r>
            <w:r>
              <w:rPr>
                <w:highlight w:val="white"/>
              </w:rPr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1027700342890</w:t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Финансово-хозяйственная деятельность, операционные сегменты и география осуществления финансово-хозяйственной деятельности группы эмитента</w:t>
      </w:r>
      <w:r>
        <w:rPr>
          <w:b/>
          <w:i/>
          <w:highlight w:val="white"/>
        </w:rPr>
        <w:t xml:space="preserve">. </w:t>
      </w:r>
      <w:r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  <w:t xml:space="preserve">Краткая характеристика группы эмитента с указанием общего числа организаций, составляющих группу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пункту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пункте раскрывается не в полном объеме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Группа включает в себя Банк и его дочерние компании.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Основным видом деятельности Банка являются коммерческие и розничные банковские операции на территории Российской Федерации, главным образом, кредитование агропромышленных предприятий. Основные задачи деятельности Банка заключаются в следующем:</w:t>
      </w:r>
      <w:r>
        <w:rPr>
          <w:highlight w:val="white"/>
        </w:rPr>
      </w:r>
    </w:p>
    <w:p>
      <w:pPr>
        <w:pStyle w:val="1200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в реализации кредитно-денежной политики Российской Федерации в сфере агропромышленного производства;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формирование в сфере агропромышленного производства национальной кредитно-финансовой системы обслуживания отечественных сельскохозяйственных товаропроизводителей; а также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в обеспечении эффективного и бесперебойного функционирования системы расчетов в агропромышленном комплексе на всей территории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имеет 64 филиал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в Российской Федерации. Банк зарегистрирован по следующему адресу: 119034, Россия, г. Москва, Гагаринский пер</w:t>
      </w:r>
      <w:r>
        <w:rPr>
          <w:highlight w:val="white"/>
        </w:rPr>
        <w:t xml:space="preserve">еулок</w:t>
      </w:r>
      <w:r>
        <w:rPr>
          <w:highlight w:val="white"/>
        </w:rPr>
        <w:t xml:space="preserve">, </w:t>
      </w:r>
      <w:r>
        <w:rPr>
          <w:highlight w:val="white"/>
        </w:rPr>
        <w:t xml:space="preserve">дом </w:t>
      </w:r>
      <w:r>
        <w:rPr>
          <w:highlight w:val="white"/>
        </w:rPr>
        <w:t xml:space="preserve">3. Основным местом ведения деятельности Банка является: 123112, Россия, г. Москва, Пресненская наб., 10, стр. 2.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Дочерние организации Банка широко представлены на рынке, продукты компаний реализуются, в том числе, через офисы Банка.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Личный закон участников Группы эмитента: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Все участники Группы эмитента в своей деятельности руководствуются законодательством Российской Федерации.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pStyle w:val="1198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Ограничения на долю участия иностранных лиц в уставном капитале </w:t>
      </w:r>
      <w:r>
        <w:rPr>
          <w:b/>
          <w:i/>
          <w:sz w:val="24"/>
          <w:szCs w:val="24"/>
          <w:highlight w:val="white"/>
        </w:rPr>
        <w:t xml:space="preserve">Э</w:t>
      </w:r>
      <w:r>
        <w:rPr>
          <w:b/>
          <w:i/>
          <w:sz w:val="24"/>
          <w:szCs w:val="24"/>
          <w:highlight w:val="white"/>
        </w:rPr>
        <w:t xml:space="preserve">митента, установленные законодательством Российской Федерации или иными нормативными правовыми актами Российской Федерации: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198"/>
        <w:ind w:firstLine="709"/>
        <w:rPr>
          <w:b/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Федеральным законом </w:t>
      </w:r>
      <w:r>
        <w:rPr>
          <w:sz w:val="24"/>
          <w:szCs w:val="24"/>
          <w:highlight w:val="white"/>
        </w:rPr>
        <w:t xml:space="preserve">от 02.12.1990 № 395-1 «О банках и банковской деятельности» </w:t>
      </w:r>
      <w:r>
        <w:rPr>
          <w:sz w:val="24"/>
          <w:szCs w:val="24"/>
          <w:highlight w:val="white"/>
        </w:rPr>
        <w:t xml:space="preserve">установлено, что </w:t>
      </w:r>
      <w:r>
        <w:rPr>
          <w:sz w:val="24"/>
          <w:szCs w:val="24"/>
          <w:highlight w:val="white"/>
        </w:rPr>
        <w:t xml:space="preserve">Банком России по состоянию на 1 января каждого года рассчитывается </w:t>
      </w:r>
      <w:r>
        <w:rPr>
          <w:sz w:val="24"/>
          <w:szCs w:val="24"/>
          <w:highlight w:val="white"/>
        </w:rPr>
        <w:t xml:space="preserve">размер участия иностранного капитала в совокупном уставном капитале кредитных организаций, имеющих лицензию на осуществление банковских операций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 как соотношение иностранных инвестиций нерезидентов в уставные капиталы кредитных организаций, имеющих лицензию на осуществление банковских операций, и совокупного уставного капитала указанных кредитных организаций.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расчет иностранных инвестиций в уставные капиталы кредитных организаций, имеющих лицензию на осуществление банковских операций, не включаются иностранные инвестиции: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1) осуществленны</w:t>
      </w:r>
      <w:r>
        <w:rPr>
          <w:sz w:val="24"/>
          <w:szCs w:val="24"/>
          <w:highlight w:val="white"/>
        </w:rPr>
        <w:t xml:space="preserve">е в уставные капиталы кредитных организаций, имеющих лицензию на осуществление банковских операций, и финансируемые за счет прибыли указанных кредитных организаций, полученной в Российской Федерации или репатриированной в Российскую Федерацию из-за рубежа;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осуществленные имеющими лицензию на осуществление банковских операций дочерними кредитными организациями иностранных бан</w:t>
      </w:r>
      <w:r>
        <w:rPr>
          <w:sz w:val="24"/>
          <w:szCs w:val="24"/>
          <w:highlight w:val="white"/>
        </w:rPr>
        <w:t xml:space="preserve">ков в уставные капиталы кредитных организаций, имеющих лицензию на осуществление банковских операций, а также все последующие инвестиции указанных организаций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3) осуществленные до 1 января 2007 года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4) осуществленные в уставные капиталы кредитных организаций, имеющих лицензию на осуществление банковских операций, приватизация которых осуществлялась после 22 августа 2012 года;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5) составляющие 51 и бол</w:t>
      </w:r>
      <w:r>
        <w:rPr>
          <w:sz w:val="24"/>
          <w:szCs w:val="24"/>
          <w:highlight w:val="white"/>
        </w:rPr>
        <w:t xml:space="preserve">ее процентов акций (долей) уставного капитала кредитной организации, имеющей лицензию на осуществление банковских операций, осуществленные после 1 января 2007 года при условии нахождения указанных акций (долей) в собственности инвестора в течение 12 и боле</w:t>
      </w:r>
      <w:r>
        <w:rPr>
          <w:sz w:val="24"/>
          <w:szCs w:val="24"/>
          <w:highlight w:val="white"/>
        </w:rPr>
        <w:t xml:space="preserve">е лет, если Банк России по истечении указанного срока не принял решение о продолжении включения указанных инвестиций в расчет и не опубликовал это решение. Порядок принятия Банком России указанного решения и его опубликования устанавливается Банком России.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Информация о размере участия иностранного капитала в </w:t>
      </w:r>
      <w:r>
        <w:rPr>
          <w:sz w:val="24"/>
          <w:szCs w:val="24"/>
          <w:highlight w:val="white"/>
        </w:rPr>
        <w:t xml:space="preserve">бан</w:t>
      </w:r>
      <w:r>
        <w:rPr>
          <w:sz w:val="24"/>
          <w:szCs w:val="24"/>
          <w:highlight w:val="white"/>
        </w:rPr>
        <w:t xml:space="preserve">ковской системе Российской Федерации</w:t>
      </w:r>
      <w:r>
        <w:rPr>
          <w:sz w:val="24"/>
          <w:szCs w:val="24"/>
          <w:highlight w:val="white"/>
        </w:rPr>
        <w:t xml:space="preserve"> и показателях, использованных для его расчета, подлежит опубликованию в официальном издании Банка России «Вестник Банка России», а также размещению на официальном сайте Банка России в информационно-телекоммуникационной сети «Интернет».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Предельное значение размера участия иностранного капитала в </w:t>
      </w:r>
      <w:r>
        <w:rPr>
          <w:sz w:val="24"/>
          <w:szCs w:val="24"/>
          <w:highlight w:val="white"/>
        </w:rPr>
        <w:t xml:space="preserve">банковской системе Российской Федерации</w:t>
      </w:r>
      <w:r>
        <w:rPr>
          <w:sz w:val="24"/>
          <w:szCs w:val="24"/>
          <w:highlight w:val="white"/>
        </w:rPr>
        <w:t xml:space="preserve"> (далее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квота) установлено в размере, равном 50 процентам.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При достижении квоты Банк России осуществляет следующие меры в отношении иностранных инвестиций: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а) отказывает в регистрации кредитной организации с иностранными инвестициями и выдаче ей лицензии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б) налагает запрет на увеличение уставно</w:t>
      </w:r>
      <w:r>
        <w:rPr>
          <w:sz w:val="24"/>
          <w:szCs w:val="24"/>
          <w:highlight w:val="white"/>
        </w:rPr>
        <w:t xml:space="preserve">го капитала кредитной организации, имеющей лицензию на осуществление банковских операций, за счет средств нерезидентов и на отчуждение акций (долей) кредитной организации в пользу нерезидентов, если результатом указанных действий является превышение квоты.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rPr>
          <w:sz w:val="24"/>
          <w:szCs w:val="24"/>
          <w:highlight w:val="white"/>
          <w14:ligatures w14:val="none"/>
        </w:rPr>
      </w:pP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) отказывает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в аккредитации филиала иностранного банка на территории Российской Федерации.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Акции (доли) кредитной организации, отчужденные (проданные) с нарушением указанного запрета, не являются голосующими и не учитываются при определении кворума общего собрания акционеров (участников) кредитной организации в течение периода действ</w:t>
      </w:r>
      <w:r>
        <w:rPr>
          <w:sz w:val="24"/>
          <w:szCs w:val="24"/>
          <w:highlight w:val="white"/>
        </w:rPr>
        <w:t xml:space="preserve">ия такого запрета. В случае совершения сделки (сделок) по отчуждению (приобретению) акций (долей) кредитной организации с нарушением указанного запрета Банк России подает иск о признании соответствующей сделки (сделок) недействительной (недействительными).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Меры, указанные в п.п. а), б), не применяются в отношении иностранных инвестиций, указанных в п.п. 1), 2). Меры, указанные в п. б), не применяются в отношен</w:t>
      </w:r>
      <w:r>
        <w:rPr>
          <w:sz w:val="24"/>
          <w:szCs w:val="24"/>
          <w:highlight w:val="white"/>
        </w:rPr>
        <w:t xml:space="preserve">ии иностранных инвестиций, направляемых в уставные капиталы кредитных организаций, имеющих лицензию на осуществление банковских операций, определяемых в соответствии с нормативными актами Банка России на основе международных договоров Российской Федерации.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Банк России прекращает применение вышеуказанных мер в случае, если размер участия иностранного капитала в </w:t>
      </w:r>
      <w:r>
        <w:rPr>
          <w:sz w:val="24"/>
          <w:szCs w:val="24"/>
          <w:highlight w:val="white"/>
        </w:rPr>
        <w:t xml:space="preserve">банковской системе Российской Федерации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составит менее 50 процентов.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198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Порядок применения и прекращения применения вышеуказанных мер и порядок раскрытия информации о применении, причинах применения, прекращении применения этих мер устанавливаются нормативными актами Банка России.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pStyle w:val="1198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198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Для формирования уставного капитала кредитной организации - эмитента не могут быть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использованы привлеченные денежные средства, средства федерального бюджета и государственных внебюджетных фондов, свободные денежные средства и иные объекты собственности, находящиеся в ведении федеральных органов государственной власти, за исключением слу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чаев, предусмотренных законодательством Российской Федерации; средства бюджетов субъектов Российской Федерации, местных бюджетов, свободные денежные средства и иные объекты собственности, находящиеся в ведении органов государственной власти субъектов Росси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йской Федерации и органов местного самоуправления, могут быть использованы для формирования уставного капитала кредитной организации на основании соответственно законодательного акта субъекта Российской Федерации или решения органа местного самоуправления.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Если иное не установлено федеральными законами, приобретение (за исключением случая, если акции (доли) приобретаются при учреждении кредитной организации) и (или) получение в доверительное управление (далее - приобретение)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результате осуществления одной сделки или нескольких сделок одним юридическим либо физическим лицом более одного процента акций (долей) кредитной организации требуют уведомления Банка России, а более 10 процентов - предварительного согласия Банка России.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Получение предварительного согласия Банка России требуется также в случае приобретения: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более 10 процентов акций, но не более 25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более 10 процентов долей, но не более одной трети долей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более 25 процентов акций кредитной организации, но не более 50 процентов акций;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более одной трети долей кредитной организации, но не более 50 процентов долей;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 более 50 процентов акций кредитной организации, но не более 75 процентов акций;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 более 50 процентов долей кредитной организации, но не более двух третей долей;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 более 75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 более двух третей долей кредитной организации.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Предварительного согласия Банка России требует также установление юридическим или физич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еским лицом в результате осуществления одной сделки или нескольких сделок прямого либо косвенного (через третьих лиц) контроля в отношении акционеров (участников) кредитной организации, владеющих более чем 10 процентами акций (долей) кредитной организации.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Вышеуказанные требования распространяются также на случаи приобретения более одного процента акций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(долей) кредитной организации, более 10 процентов акций (долей) кредитной организации и (или) на случай установления контроля в отношении акционеров (участников) кредитной организации группой лиц, признаваемой таковой в соответствии          с Федеральным </w:t>
      </w:r>
      <w:hyperlink r:id="rId15" w:tooltip="Федеральный закон от 26.07.2006 N 135-ФЗ (ред. от 02.11.2013) &quot;О защите конкуренции&quot;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Согласие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акционеров (участников) кредитной организации, может быть получено после совершения сделки (далее - последующее согласие) в случае, если приобретение акций кредитной организации и (или) установление контроля в отношении акционеров (участников) кредитной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рганизации осуществляются при публичном размещении акций, а также в иных установленных законодательством Российской Федерации. Предусмотренная возможность получения последующего согласия распространяется также на приобретение более 10 процентов акций креди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тной организации при публичном размещении акций и (или) на установление контроля в отношении акционеров (участников) кредитной организации группой лиц, признаваемой таковой в соответствии с Федеральным законом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Порядок получения предварительного согласия и последующего согласия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 акционе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 (участников) кредитной организации, и порядок уведомления Банка России о приобретении более одного процента акций (долей) кредитной организации устанавливаются федеральными законами и принимаемыми в соответствии с ними нормативными актами Банка России.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Приобретение акций (долей) кредитной организации - эмитента нерезидентами регулируется федеральными законами;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Запрет на право унитарных государственных предприятий выступать учредителями (участниками) кредитных организаций.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1.3. Основные сведения об эмиссионных ценных бумагах, в отношении которых осуществляется регистрация проспекта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widowControl w:val="off"/>
        <w:ind w:firstLine="709"/>
        <w:jc w:val="both"/>
        <w:rPr>
          <w:rFonts w:eastAsiaTheme="minorHAnsi"/>
          <w:b/>
          <w:bCs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</w:rPr>
      </w:r>
    </w:p>
    <w:p>
      <w:pPr>
        <w:widowControl w:val="off"/>
        <w:ind w:firstLine="709"/>
        <w:jc w:val="both"/>
        <w:rPr>
          <w:rFonts w:eastAsiaTheme="minorHAnsi"/>
          <w:b/>
          <w:bCs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  <w:t xml:space="preserve">Вид, категория (тип), серия (при </w:t>
      </w:r>
      <w:r>
        <w:rPr>
          <w:rFonts w:eastAsiaTheme="minorHAnsi"/>
          <w:b/>
          <w:bCs/>
          <w:i/>
          <w:highlight w:val="white"/>
          <w:lang w:eastAsia="en-US"/>
        </w:rPr>
        <w:t xml:space="preserve">наличии</w:t>
      </w:r>
      <w:r>
        <w:rPr>
          <w:rFonts w:eastAsiaTheme="minorHAnsi"/>
          <w:b/>
          <w:bCs/>
          <w:i/>
          <w:highlight w:val="white"/>
          <w:lang w:eastAsia="en-US"/>
        </w:rPr>
        <w:t xml:space="preserve">) и иные идентификационные признаки ценных бумаг:</w:t>
      </w: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i/>
          <w:highlight w:val="white"/>
        </w:rPr>
        <w:t xml:space="preserve">Вид ценных бумаг:</w:t>
      </w:r>
      <w:r>
        <w:rPr>
          <w:highlight w:val="white"/>
        </w:rPr>
        <w:t xml:space="preserve"> </w:t>
      </w:r>
      <w:r>
        <w:rPr>
          <w:bCs/>
          <w:iCs/>
          <w:color w:val="auto"/>
          <w:highlight w:val="white"/>
        </w:rPr>
        <w:t xml:space="preserve">Биржевые облигации.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 xml:space="preserve">Идентификационные признаки облигаций, размещаемых в рамках Программы биржевых облигаций: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bCs/>
          <w:iCs/>
          <w:highlight w:val="white"/>
        </w:rPr>
        <w:t xml:space="preserve">биржевые облигации процентные и/или дисконтные неконвертируемые бездокументарные с централизованным учетом прав, размещаемые в рамках Программы биржевых облигаций серии 002P.</w:t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  <w:u w:val="single"/>
        </w:rPr>
      </w:pPr>
      <w:r>
        <w:rPr>
          <w:rFonts w:ascii="Times New Roman" w:hAnsi="Times New Roman" w:cs="Times New Roman"/>
          <w:i/>
          <w:highlight w:val="white"/>
        </w:rPr>
        <w:t xml:space="preserve">Серия: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bCs/>
          <w:iCs/>
          <w:highlight w:val="white"/>
        </w:rPr>
        <w:t xml:space="preserve">Серия каждого отдельного выпуска Биржевых облигаций указывается в Решении о выпуске ценных бумаг.</w:t>
      </w:r>
      <w:r>
        <w:rPr>
          <w:rFonts w:ascii="Times New Roman" w:hAnsi="Times New Roman" w:cs="Times New Roman"/>
          <w:bCs/>
          <w:iCs/>
          <w:highlight w:val="white"/>
          <w:u w:val="single"/>
        </w:rPr>
      </w:r>
      <w:r>
        <w:rPr>
          <w:rFonts w:ascii="Times New Roman" w:hAnsi="Times New Roman" w:cs="Times New Roman"/>
          <w:bCs/>
          <w:iCs/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rFonts w:hint="eastAsia"/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рамках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Программы</w:t>
      </w:r>
      <w:r>
        <w:rPr>
          <w:highlight w:val="white"/>
        </w:rPr>
        <w:t xml:space="preserve"> биржевых облигаций </w:t>
      </w:r>
      <w:r>
        <w:rPr>
          <w:rFonts w:hint="eastAsia"/>
          <w:highlight w:val="white"/>
        </w:rPr>
        <w:t xml:space="preserve">могут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быть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размещены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Биржевые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облигации</w:t>
      </w:r>
      <w:r>
        <w:rPr>
          <w:highlight w:val="white"/>
        </w:rPr>
        <w:t xml:space="preserve">, </w:t>
      </w:r>
      <w:r>
        <w:rPr>
          <w:rFonts w:hint="eastAsia"/>
          <w:highlight w:val="white"/>
        </w:rPr>
        <w:t xml:space="preserve">предусматривающие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получение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одного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из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указанных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видов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доходов</w:t>
      </w:r>
      <w:r>
        <w:rPr>
          <w:highlight w:val="white"/>
        </w:rPr>
        <w:t xml:space="preserve"> или любого их сочетания: </w:t>
      </w:r>
      <w:r>
        <w:rPr>
          <w:rFonts w:hint="eastAsia"/>
          <w:highlight w:val="white"/>
        </w:rPr>
        <w:t xml:space="preserve">купонного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дохода</w:t>
      </w:r>
      <w:r>
        <w:rPr>
          <w:highlight w:val="white"/>
        </w:rPr>
        <w:t xml:space="preserve">, </w:t>
      </w:r>
      <w:r>
        <w:rPr>
          <w:rFonts w:hint="eastAsia"/>
          <w:highlight w:val="white"/>
        </w:rPr>
        <w:t xml:space="preserve">дополнительного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дохода</w:t>
      </w:r>
      <w:r>
        <w:rPr>
          <w:highlight w:val="white"/>
        </w:rPr>
        <w:t xml:space="preserve">, </w:t>
      </w:r>
      <w:r>
        <w:rPr>
          <w:rFonts w:hint="eastAsia"/>
          <w:highlight w:val="white"/>
        </w:rPr>
        <w:t xml:space="preserve">дисконта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widowControl w:val="off"/>
        <w:ind w:firstLine="709"/>
        <w:jc w:val="both"/>
        <w:rPr>
          <w:b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  <w:t xml:space="preserve">Максимальная сумма номинальных стоимостей размещаемых облигаций, установленная программой облигаций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Общая (максимальная) сумма номинальных стоимостей Бир</w:t>
      </w:r>
      <w:r>
        <w:rPr>
          <w:bCs/>
          <w:highlight w:val="white"/>
        </w:rPr>
        <w:t xml:space="preserve">жевых облигаций, которые могут быть размещены в рамках Программы биржевых облигаций: 500 000 000 000 (Пятьсот миллиардов) рублей Российской Федерации включительно или эквивалент этой суммы в иностранной валюте, рассчитываемый по курсу Банка России на дату </w:t>
      </w:r>
      <w:r>
        <w:rPr>
          <w:bCs/>
          <w:highlight w:val="white"/>
        </w:rPr>
        <w:t xml:space="preserve">подписания Решения</w:t>
      </w:r>
      <w:r>
        <w:rPr>
          <w:bCs/>
          <w:highlight w:val="white"/>
        </w:rPr>
        <w:t xml:space="preserve"> о выпуске ценных бумаг.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Индексация номинальной стоимости Биржевых облигаций, размещаемых в рамках Программы биржевых облигаций, не предусмотрена.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widowControl w:val="off"/>
        <w:ind w:firstLine="709"/>
        <w:jc w:val="both"/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</w:p>
    <w:p>
      <w:pPr>
        <w:widowControl w:val="off"/>
        <w:ind w:firstLine="709"/>
        <w:jc w:val="both"/>
        <w:rPr>
          <w:rFonts w:eastAsiaTheme="minorHAnsi"/>
          <w:b/>
          <w:bCs/>
          <w:i/>
          <w:highlight w:val="white"/>
        </w:rPr>
      </w:pPr>
      <w:r>
        <w:rPr>
          <w:rFonts w:eastAsiaTheme="minorHAnsi"/>
          <w:b/>
          <w:bCs/>
          <w:i/>
          <w:highlight w:val="white"/>
          <w:lang w:eastAsia="en-US"/>
        </w:rPr>
        <w:t xml:space="preserve">Права владельцев эмиссионных ценных бумаг:</w:t>
      </w:r>
      <w:r>
        <w:rPr>
          <w:rFonts w:eastAsiaTheme="minorHAnsi"/>
          <w:b/>
          <w:bCs/>
          <w:i/>
          <w:highlight w:val="white"/>
          <w:lang w:eastAsia="en-US"/>
        </w:rPr>
      </w:r>
      <w:r>
        <w:rPr>
          <w:rFonts w:eastAsiaTheme="minorHAnsi"/>
          <w:b/>
          <w:bCs/>
          <w:i/>
          <w:highlight w:val="white"/>
        </w:rPr>
      </w:r>
    </w:p>
    <w:p>
      <w:pPr>
        <w:ind w:firstLine="709"/>
        <w:jc w:val="both"/>
        <w:rPr>
          <w:rStyle w:val="1207"/>
          <w:b w:val="0"/>
          <w:i w:val="0"/>
          <w:sz w:val="24"/>
          <w:highlight w:val="white"/>
          <w:u w:val="single"/>
        </w:rPr>
      </w:pPr>
      <w:r>
        <w:rPr>
          <w:highlight w:val="white"/>
        </w:rPr>
        <w:t xml:space="preserve">Биржевые о</w:t>
      </w:r>
      <w:r>
        <w:rPr>
          <w:rStyle w:val="1207"/>
          <w:b w:val="0"/>
          <w:i w:val="0"/>
          <w:sz w:val="24"/>
          <w:highlight w:val="white"/>
        </w:rPr>
        <w:t xml:space="preserve">блигации представляют собой прямые, безусловные обязательства Эмитента.</w:t>
      </w:r>
      <w:r>
        <w:rPr>
          <w:rStyle w:val="1207"/>
          <w:b w:val="0"/>
          <w:i w:val="0"/>
          <w:sz w:val="24"/>
          <w:highlight w:val="white"/>
          <w:u w:val="single"/>
        </w:rPr>
      </w:r>
      <w:r>
        <w:rPr>
          <w:rStyle w:val="1207"/>
          <w:b w:val="0"/>
          <w:i w:val="0"/>
          <w:sz w:val="24"/>
          <w:highlight w:val="white"/>
          <w:u w:val="singl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rStyle w:val="1207"/>
          <w:b w:val="0"/>
          <w:i w:val="0"/>
          <w:sz w:val="24"/>
          <w:highlight w:val="white"/>
        </w:rPr>
        <w:t xml:space="preserve">Каждая Биржевая облигация в рамках каждого отдельного выпуска предоставляет ее владельцам одинаковый объем прав.</w:t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имеют право на получение номинальной стоимости (непогашенной части номинальной стоимости) Биржевых облигаций в порядке и сроки, предусмотренные Программой биржевых облигаций, Решением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отдельного выпуска Биржевых облигации имеют право на возврат средств инвестирования, в случае признания отдельного выпуска Биржевых облигаций недействительным в соответствии с законодательством Российской Федерации.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Владельцы отдельного выпуска Биржевых облигаций имеют право требовать приобретения Биржевых облигаций Эмитентом в случаях и на условиях, предусмотренных Программой биржевых облигаций и Решением о </w:t>
      </w:r>
      <w:r>
        <w:rPr>
          <w:bCs/>
          <w:iCs/>
          <w:highlight w:val="white"/>
        </w:rPr>
        <w:t xml:space="preserve">выпуске ценных</w:t>
      </w:r>
      <w:r>
        <w:rPr>
          <w:bCs/>
          <w:iCs/>
          <w:highlight w:val="white"/>
        </w:rPr>
        <w:t xml:space="preserve">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Владельцы отдельного выпуска Биржевых облигаций имеют право требовать досрочного погашения Биржевых облигаций, </w:t>
      </w:r>
      <w:r>
        <w:rPr>
          <w:highlight w:val="white"/>
        </w:rPr>
        <w:t xml:space="preserve">в случаях и на условиях, предусмотренных Программой биржевых облигаций, Решением о </w:t>
      </w:r>
      <w:r>
        <w:rPr>
          <w:highlight w:val="white"/>
        </w:rPr>
        <w:t xml:space="preserve">выпуске ценных</w:t>
      </w:r>
      <w:r>
        <w:rPr>
          <w:bCs/>
          <w:iCs/>
          <w:highlight w:val="white"/>
        </w:rPr>
        <w:t xml:space="preserve"> бумаг и</w:t>
      </w:r>
      <w:r>
        <w:rPr>
          <w:highlight w:val="white"/>
        </w:rPr>
        <w:t xml:space="preserve"> законодательством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Решением о выпуске ценных бумаг предусмотрена выплата купонного дохода владельцы Биржевых облигаций имеют право на получение процента от неп</w:t>
      </w:r>
      <w:r>
        <w:rPr>
          <w:highlight w:val="white"/>
        </w:rPr>
        <w:t xml:space="preserve">огашенной части номинальной стоимости Биржевых облигаций (ранее и далее - «купонный доход») по окончании каждого купонного периода, порядок определения размера которого и сроки выплаты указаны в Программе биржевых облигаций, Решении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Решением о выпуске ценных бумаг предусмотрена выплата допо</w:t>
      </w:r>
      <w:r>
        <w:rPr>
          <w:highlight w:val="white"/>
        </w:rPr>
        <w:t xml:space="preserve">лнительного дохода владельцы Биржевых облигаций имеют право на получение дополнительного дохода размер, порядок определения размера и сроки (порядок определения срока) выплаты которого указаны в Программе биржевых облигаций, Решении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имеют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ликвидации Эмитента владельцы Биржевых облигаций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Все задолженности Эмитента по Биржевым облигациям отдельного </w:t>
      </w:r>
      <w:r>
        <w:rPr>
          <w:highlight w:val="white"/>
        </w:rPr>
        <w:t xml:space="preserve">выпуска будут</w:t>
      </w:r>
      <w:r>
        <w:rPr>
          <w:highlight w:val="white"/>
        </w:rPr>
        <w:t xml:space="preserve"> юридически равны и в равной степени обязательны к исполнению.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вправе осуществлять иные права, предусмотренные законодательством Российской Федерации.</w:t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Предоставление обеспечения по Биржевым облигациям отдельного выпуска, размещаемого в рамках Программы биржевых облигаций, не предусмотрено.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структурными облигациями.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567" w:leader="none"/>
        </w:tabs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облигациями с ипотечным покрытием.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конвертируемыми.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ценными бумагами, предназначенными для квалифицированных инвесторов.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spacing w:before="240"/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З</w:t>
      </w:r>
      <w:r>
        <w:rPr>
          <w:rFonts w:eastAsiaTheme="minorHAnsi"/>
          <w:b/>
          <w:bCs/>
          <w:highlight w:val="white"/>
          <w:lang w:eastAsia="en-US"/>
        </w:rPr>
        <w:t xml:space="preserve">аинтересованные лица при принятии экономических решений не должны полагаться только на информацию, указанную в настоящем пункте, при этом сведения о ценных бумагах раскрыты в </w:t>
      </w:r>
      <w:hyperlink r:id="rId16" w:tooltip="consultantplus://offline/ref=F6117B8773BB734CFA154A711F51C1EF2FEE17EDF3EC351407EC933B8573E6FB0DE68E103B187C648203A1D45D51D2D6ABFDF16AE987134AYFOAL" w:history="1">
        <w:r>
          <w:rPr>
            <w:rFonts w:eastAsiaTheme="minorHAnsi"/>
            <w:b/>
            <w:bCs/>
            <w:highlight w:val="white"/>
            <w:lang w:eastAsia="en-US"/>
          </w:rPr>
          <w:t xml:space="preserve">разделе 7</w:t>
        </w:r>
      </w:hyperlink>
      <w:r>
        <w:rPr>
          <w:rFonts w:eastAsiaTheme="minorHAnsi"/>
          <w:b/>
          <w:bCs/>
          <w:highlight w:val="white"/>
          <w:lang w:eastAsia="en-US"/>
        </w:rPr>
        <w:t xml:space="preserve"> проспекта ценных бумаг</w:t>
      </w:r>
      <w:r>
        <w:rPr>
          <w:rFonts w:eastAsiaTheme="minorHAnsi"/>
          <w:b/>
          <w:bCs/>
          <w:highlight w:val="white"/>
          <w:lang w:eastAsia="en-US"/>
        </w:rPr>
        <w:t xml:space="preserve">.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widowControl w:val="off"/>
        <w:ind w:firstLine="709"/>
        <w:jc w:val="both"/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</w:p>
    <w:p>
      <w:pPr>
        <w:widowControl w:val="off"/>
        <w:ind w:firstLine="709"/>
        <w:jc w:val="both"/>
        <w:rPr>
          <w:b/>
          <w:sz w:val="22"/>
          <w:szCs w:val="22"/>
          <w:highlight w:val="white"/>
        </w:rPr>
      </w:pPr>
      <w:r>
        <w:rPr>
          <w:b/>
          <w:bCs/>
          <w:iCs/>
          <w:highlight w:val="white"/>
        </w:rPr>
        <w:t xml:space="preserve">1.4. Основные условия размещения ценных бумаг</w:t>
      </w: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widowControl w:val="off"/>
        <w:ind w:firstLine="709"/>
        <w:jc w:val="both"/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</w:p>
    <w:p>
      <w:pPr>
        <w:pStyle w:val="1206"/>
        <w:ind w:firstLine="709"/>
        <w:jc w:val="both"/>
        <w:rPr>
          <w:i/>
          <w:highlight w:val="white"/>
        </w:rPr>
      </w:pPr>
      <w:r>
        <w:rPr>
          <w:highlight w:val="white"/>
        </w:rPr>
      </w:r>
      <w:bookmarkStart w:id="1" w:name="Par25"/>
      <w:r>
        <w:rPr>
          <w:highlight w:val="white"/>
        </w:rPr>
      </w:r>
      <w:bookmarkEnd w:id="1"/>
      <w:r>
        <w:rPr>
          <w:b/>
          <w:bCs/>
          <w:i/>
          <w:highlight w:val="white"/>
        </w:rPr>
        <w:t xml:space="preserve">Способ размещения облигаций, которые могут быть размещены в рамках программы облигаций: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highlight w:val="white"/>
        </w:rPr>
        <w:t xml:space="preserve">Открытая подписка.</w:t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Срок размещения </w:t>
      </w:r>
      <w:r>
        <w:rPr>
          <w:b/>
          <w:bCs/>
          <w:i/>
          <w:highlight w:val="white"/>
        </w:rPr>
        <w:t xml:space="preserve">облигаций, которые могут быть размещены в рамках программы облигаций: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Срок (порядок определения срока) размещения Биржевых облигаций Программой биржевых облигаций не определяется.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Срок (порядок определения срока) размещения Биржевых облигаций отдельного выпуска, размещаемого в рамках Программы биржевых облигаций, будет указан в 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highlight w:val="white"/>
        </w:rPr>
        <w:t xml:space="preserve">При этом, и</w:t>
      </w:r>
      <w:r>
        <w:rPr>
          <w:bCs/>
          <w:highlight w:val="white"/>
        </w:rPr>
        <w:t xml:space="preserve">нформация об определенной уполномоченным органом Эмитента дате начала размещения Биржевых облигаций отдельного выпуска публикуется Эмитентом в порядке и сроки, указанные в п. 12.1 Программы биржевых облигаций </w:t>
      </w:r>
      <w:r>
        <w:rPr>
          <w:bCs/>
          <w:iCs/>
          <w:highlight w:val="white"/>
        </w:rPr>
        <w:t xml:space="preserve">и п. 8.4. Проспекта</w:t>
      </w:r>
      <w:r>
        <w:rPr>
          <w:bCs/>
          <w:highlight w:val="white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Порядок размещения облигаций в рамках программы облигаций: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b/>
          <w:bCs/>
          <w:highlight w:val="white"/>
        </w:rPr>
        <w:t xml:space="preserve"> </w:t>
      </w:r>
      <w:r>
        <w:rPr>
          <w:highlight w:val="white"/>
        </w:rPr>
        <w:t xml:space="preserve">Порядок размещения Биржевых облигаций Программой биржевых облигаций не определяется.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Размещение Биржевых облигаций будет осуществляться на организованных торгах                    ПАО Московская Биржа.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Сделки при размещении Биржевых облигаций заключаются в ПАО Московская Би</w:t>
      </w:r>
      <w:r>
        <w:rPr>
          <w:highlight w:val="white"/>
        </w:rPr>
        <w:t xml:space="preserve">ржа путём удовлетворения заявок на покупку Биржевых облигаций, поданных с использованием системы торгов ПАО Московская Биржа в соответствии с правилами проведения торгов, зарегистрированными в установленном порядке и действующими на дату проведения торгов.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Сведения о лице, организующем проведение торгов (ранее и далее – «Организатор торговли», «Биржа»):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Полное фирменное наименование: </w:t>
      </w:r>
      <w:r>
        <w:rPr>
          <w:i/>
          <w:highlight w:val="white"/>
        </w:rPr>
        <w:t xml:space="preserve">Публичное акционерное общество «Московская Биржа ММВБ-РТС»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Сокращенное фирменное наименование: </w:t>
      </w:r>
      <w:r>
        <w:rPr>
          <w:i/>
          <w:highlight w:val="white"/>
        </w:rPr>
        <w:t xml:space="preserve">ПАО Московская Биржа</w:t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Место нахождения: </w:t>
      </w:r>
      <w:r>
        <w:rPr>
          <w:i/>
          <w:highlight w:val="white"/>
        </w:rPr>
        <w:t xml:space="preserve">Российская Федерация, г. Москва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Почтовый адрес: </w:t>
      </w:r>
      <w:r>
        <w:rPr>
          <w:i/>
          <w:highlight w:val="white"/>
        </w:rPr>
        <w:t xml:space="preserve">Российская Федерация, 125009, г. Москва, Большой Кисловский переулок, дом 13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Номер лицензии биржи: </w:t>
      </w:r>
      <w:r>
        <w:rPr>
          <w:i/>
          <w:highlight w:val="white"/>
        </w:rPr>
        <w:t xml:space="preserve">077-001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Дата выдачи: </w:t>
      </w:r>
      <w:r>
        <w:rPr>
          <w:i/>
          <w:highlight w:val="white"/>
        </w:rPr>
        <w:t xml:space="preserve">29.08.2013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Срок действия: </w:t>
      </w:r>
      <w:r>
        <w:rPr>
          <w:i/>
          <w:highlight w:val="white"/>
        </w:rPr>
        <w:t xml:space="preserve">бессрочная</w:t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Лицензирующий орган: </w:t>
      </w:r>
      <w:r>
        <w:rPr>
          <w:i/>
          <w:highlight w:val="white"/>
        </w:rPr>
        <w:t xml:space="preserve">ФСФР России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реорганизации ПАО Московская Биржа</w:t>
      </w:r>
      <w:r>
        <w:rPr>
          <w:highlight w:val="white"/>
        </w:rPr>
        <w:t xml:space="preserve"> размещение Биржевых облигаций будет осуществляться на организованных торгах организатора торговли, являющегося его правопреемником, в соответствии с законодательством Российской Федерации и внутренними документами, регулирующими деятельность такого органи</w:t>
      </w:r>
      <w:r>
        <w:rPr>
          <w:highlight w:val="white"/>
        </w:rPr>
        <w:t xml:space="preserve">затора торговли. В тех случаях, когда в Программе биржевых облигаций и/или в Решении о выпуске ценных бумаг и/или в Документе, содержащем условия размещения ценных бумаг, упоминается ПАО Московская Биржа, «Организатор торговли» или «Биржа» подразумевается </w:t>
      </w:r>
      <w:r>
        <w:rPr>
          <w:highlight w:val="white"/>
        </w:rPr>
        <w:t xml:space="preserve">                      </w:t>
      </w:r>
      <w:r>
        <w:rPr>
          <w:highlight w:val="white"/>
        </w:rPr>
        <w:t xml:space="preserve">ПАО Московская Биржа или его правопреемник.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может принять решение о размещении Биржевых облигаций самостоятельно без привлечен</w:t>
      </w:r>
      <w:r>
        <w:rPr>
          <w:highlight w:val="white"/>
        </w:rPr>
        <w:t xml:space="preserve">ия профессионального участника рынка ценных бумаг или с привлечением профессионального участника рынка ценных бумаг, оказывающего Эмитенту услуги по размещению Биржевых облигаций от своего имени, но за счет и по поручению Эмитента (далее – «Андеррайтер»).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намерения привлечь Андеррайтера, Андеррайтер либо перечень возможных Андеррайтеров отдельного выпуска, а также сведения</w:t>
      </w:r>
      <w:r>
        <w:rPr>
          <w:highlight w:val="white"/>
        </w:rPr>
        <w:t xml:space="preserve"> об основных функциях, правах и обязанностях Андеррайтера, и размере его вознаграждения, либо сведения о том, что Эмитент самостоятельно размещает Биржевые облигации, устанавливаются в соответствующем Документе, содержащем условия размещения ценных бумаг.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информирует Биржу о лице, в адрес которого Участники торгов на Бирже должны направлять заявки на приобретение Биржевых облигаций в ходе размещения на Бирже среди потенциальных инвесторов, не позднее чем за 1 (Один) день до даты начала размещения. 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если в Документе, содержащем условия размещения ценных бумаг, указ</w:t>
      </w:r>
      <w:r>
        <w:rPr>
          <w:highlight w:val="white"/>
        </w:rPr>
        <w:t xml:space="preserve">ан перечень возможных Андеррайтеров или в случае если решение о назначении Андеррайтера принимается до составления Документа, содержащего условия размещения ценных бумаг, информация о назначении Андеррайтера раскрывается в соответствии с п. 12.1 Программы </w:t>
      </w:r>
      <w:r>
        <w:rPr>
          <w:bCs/>
          <w:iCs/>
          <w:highlight w:val="white"/>
        </w:rPr>
        <w:t xml:space="preserve">и п. 8.4. Проспекта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привлечении Андеррайтера раскрывается Эмитентом в порядке, предусмотренном п.12.1 Программы биржевых облигаций </w:t>
      </w:r>
      <w:r>
        <w:rPr>
          <w:bCs/>
          <w:iCs/>
          <w:highlight w:val="white"/>
        </w:rPr>
        <w:t xml:space="preserve">и п. 8.4. Проспекта</w:t>
      </w:r>
      <w:r>
        <w:rPr>
          <w:highlight w:val="white"/>
        </w:rPr>
        <w:t xml:space="preserve">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может принять решение о привлечении к размещению Биржевых облигаций профессионального участника рынка ценных бумаг, оказывающего Эмитенту услуги по организации размещения (далее – «Организатор»).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намерения привлечь Организатора, Организатор либо перечень возможных Организаторов отдельного выпуска, устанавливается в Документе, содержащем условия размещения ценных бумаг.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contextualSpacing/>
        <w:jc w:val="both"/>
        <w:rPr>
          <w:highlight w:val="white"/>
        </w:rPr>
      </w:pPr>
      <w:r>
        <w:rPr>
          <w:highlight w:val="white"/>
        </w:rPr>
        <w:t xml:space="preserve">В случае если в Документе, содержащем условия размещения ценных бумаг, указ</w:t>
      </w:r>
      <w:r>
        <w:rPr>
          <w:highlight w:val="white"/>
        </w:rPr>
        <w:t xml:space="preserve">ан перечень возможных Организаторов или в случае если решение о назначении Организатора принимается до составления Документа, содержащего условия размещения ценных бумаг, информация о назначении Организатора раскрывается в соответствии с п. 12.1 Программы </w:t>
      </w:r>
      <w:r>
        <w:rPr>
          <w:bCs/>
          <w:iCs/>
          <w:highlight w:val="white"/>
        </w:rPr>
        <w:t xml:space="preserve">и п. 8.4. Проспекта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привлечении Организатора раскрывается Эмитентом в порядке, предусмотренном п.12.1 Программы биржевых облигаций </w:t>
      </w:r>
      <w:r>
        <w:rPr>
          <w:bCs/>
          <w:iCs/>
          <w:highlight w:val="white"/>
        </w:rPr>
        <w:t xml:space="preserve">и п. 8.4. Проспекта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Решение об одобрении заключаемой в ходе размещения крупной сделки купли-продажи Биржевых облигаций должно быть принято в порядке, установленном федеральными законами.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Приобретение Биржевых облигаций выпуска Эмитента в ходе их размещения не может быть осуществлено за счет Эмитента.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Иные условия и порядок размещения Биржевых облигаций условиями Программы Биржевых облигаций не определяется.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highlight w:val="white"/>
        </w:rPr>
        <w:t xml:space="preserve">Порядок размещения Биржевых облигаций будет указан в соответствующем Документе, содержащем условия размещения ценных бумаг.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206"/>
        <w:ind w:firstLine="709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Цена (цены) или порядок определения цены размещения облигаций в рамках программы облигаций: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widowControl w:val="off"/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Цена размещения Биржевых облигаций или порядок ее определения Программой биржевых облигаций не определяются.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widowControl w:val="off"/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widowControl w:val="off"/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Цена (цены) или порядок определения цены размещения Биржевых облиг</w:t>
      </w:r>
      <w:r>
        <w:rPr>
          <w:bCs/>
          <w:highlight w:val="white"/>
        </w:rPr>
        <w:t xml:space="preserve">аций отдельного выпуска, размещаемого в рамках Программы биржевых облигаций, либо информация о том, что такие цена или порядок ее определения будут установлены Эмитентом не позднее даты начала размещения Биржевых облигаций, будет указана в соответствующем </w:t>
      </w:r>
      <w:r>
        <w:rPr>
          <w:highlight w:val="white"/>
        </w:rPr>
        <w:t xml:space="preserve">Документе</w:t>
      </w:r>
      <w:r>
        <w:rPr>
          <w:bCs/>
          <w:highlight w:val="white"/>
        </w:rPr>
        <w:t xml:space="preserve">, содержащем условия размещения ценных бумаг.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Условия, порядок и срок оплаты облигаций, которые могут быть размещены в рамках программы облигаций: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При приобретении Биржевые облигации оплачиваются денежными средствами в безналичном порядке.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Иные условия, порядок и срок оплаты Биржевых облигаций при их размещении Программой биржевых облигаций не определяются.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highlight w:val="white"/>
        </w:rPr>
        <w:t xml:space="preserve">Условия, порядок, срок оплаты будут указаны в соответствующем Документе, содержащем условия размещения ценных бумаг.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Количество, облигаций отдельного выпуска (дополнительного выпуска), размещаемого в рамках программы облигаций: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color w:val="000000"/>
          <w:spacing w:val="-2"/>
          <w:highlight w:val="white"/>
        </w:rPr>
      </w:pPr>
      <w:r>
        <w:rPr>
          <w:bCs/>
          <w:color w:val="000000"/>
          <w:spacing w:val="-2"/>
          <w:highlight w:val="white"/>
        </w:rPr>
        <w:t xml:space="preserve">Количество (примерное количество) Биржевых облигаций отдельного выпуска (дополнительного выпуска), размещаемого в рамках Программы биржевых облигаций, будет установлено в соответствующем Документе, содержащем условия размещения ценных бумаг.</w:t>
      </w:r>
      <w:r>
        <w:rPr>
          <w:bCs/>
          <w:color w:val="000000"/>
          <w:spacing w:val="-2"/>
          <w:highlight w:val="white"/>
        </w:rPr>
      </w:r>
      <w:r>
        <w:rPr>
          <w:bCs/>
          <w:color w:val="000000"/>
          <w:spacing w:val="-2"/>
          <w:highlight w:val="white"/>
        </w:rPr>
      </w:r>
    </w:p>
    <w:p>
      <w:pPr>
        <w:widowControl w:val="off"/>
        <w:ind w:firstLine="709"/>
        <w:jc w:val="both"/>
        <w:rPr>
          <w:color w:val="000000"/>
          <w:highlight w:val="white"/>
        </w:rPr>
      </w:pPr>
      <w:r>
        <w:rPr>
          <w:highlight w:val="white"/>
        </w:rPr>
        <w:t xml:space="preserve">В случае, если отдельный выпуск Биржевых облигаций в рамках Программы биржевых облигаций предполагается</w:t>
      </w:r>
      <w:r>
        <w:rPr>
          <w:highlight w:val="white"/>
        </w:rPr>
        <w:t xml:space="preserve"> размещать траншами, информация о размещении  отдельного выпуска Биржевых облигаций траншами, количество (порядок определения количества)/предельное количество траншей выпуска, количество (порядок определения количества) Биржевых облигаций в каждом транше,</w:t>
      </w:r>
      <w:r>
        <w:rPr>
          <w:color w:val="000000"/>
          <w:highlight w:val="white"/>
        </w:rPr>
        <w:t xml:space="preserve"> срок размещения Биржевых облигаций каждого транша или порядок его определения</w:t>
      </w:r>
      <w:r>
        <w:rPr>
          <w:highlight w:val="white"/>
        </w:rPr>
        <w:t xml:space="preserve">, а также  идентификационный порядковый номер каждого транша Биржевых облигаций будут  установлены  </w:t>
      </w:r>
      <w:r>
        <w:rPr>
          <w:bCs/>
          <w:color w:val="000000"/>
          <w:spacing w:val="-2"/>
          <w:highlight w:val="white"/>
        </w:rPr>
        <w:t xml:space="preserve">в соответствующем Документе, содержащим условия размещения ценных бумаг.</w:t>
      </w:r>
      <w:r>
        <w:rPr>
          <w:color w:val="000000"/>
          <w:highlight w:val="white"/>
        </w:rPr>
        <w:t xml:space="preserve"> Одновременное размещение Биржевых облигаций разных траншей одного выпуска (дополнительного выпуска) не допускается.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 w:val="off"/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Иные условия размещения Биржевых облигаций Программой не определяются.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1.5. Основные цели эмиссии и направления использования средств, полученных в результате размещения ценных бумаг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Программа биржевых облигаци</w:t>
      </w:r>
      <w:r>
        <w:rPr>
          <w:highlight w:val="white"/>
        </w:rPr>
        <w:t xml:space="preserve">й не содержит информации об </w:t>
      </w:r>
      <w:r>
        <w:rPr>
          <w:highlight w:val="white"/>
        </w:rPr>
        <w:t xml:space="preserve">основных целях эмиссии и направлении использования средств, полученных в результате размещения ценных бумаг.</w:t>
      </w:r>
      <w:r>
        <w:rPr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«зеленые облигации».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«социальные облигации».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Theme="minorHAnsi"/>
          <w:highlight w:val="white"/>
          <w:lang w:eastAsia="en-US"/>
        </w:rPr>
        <w:t xml:space="preserve">адаптационные облигации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Theme="minorHAnsi"/>
          <w:highlight w:val="white"/>
          <w:lang w:eastAsia="en-US"/>
        </w:rPr>
        <w:t xml:space="preserve">облигации устойчивого развития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Theme="minorHAnsi"/>
          <w:highlight w:val="white"/>
          <w:lang w:eastAsia="en-US"/>
        </w:rPr>
        <w:t xml:space="preserve">инфраструктурные</w:t>
      </w:r>
      <w:r>
        <w:rPr>
          <w:rFonts w:eastAsiaTheme="minorHAnsi"/>
          <w:highlight w:val="white"/>
          <w:lang w:eastAsia="en-US"/>
        </w:rPr>
        <w:t xml:space="preserve"> </w:t>
      </w:r>
      <w:r>
        <w:rPr>
          <w:rFonts w:eastAsiaTheme="minorHAnsi"/>
          <w:highlight w:val="white"/>
          <w:lang w:eastAsia="en-US"/>
        </w:rPr>
        <w:t xml:space="preserve">облигации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Theme="minorHAnsi"/>
          <w:highlight w:val="white"/>
          <w:lang w:eastAsia="en-US"/>
        </w:rPr>
        <w:t xml:space="preserve">облигации, связанные с целями устойчивого развития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Theme="minorHAnsi"/>
          <w:highlight w:val="white"/>
          <w:lang w:eastAsia="en-US"/>
        </w:rPr>
        <w:t xml:space="preserve">облигации климатического перехода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1.6. Цели регистрации проспекта ценных бумаг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Составление Проспекта ценных бумаг осуществляется в целях соблюдения требования, предусмотренного </w:t>
      </w:r>
      <w:hyperlink r:id="rId17" w:tooltip="consultantplus://offline/ref=134EAB9BB4787D08FB767FF6D74814694BFCE2572933E623E49775157C09E81AC6FB12D3240ADE61EFB4AFD4254631D778EBCFE5E535h3uFM" w:history="1">
        <w:r>
          <w:rPr>
            <w:rFonts w:eastAsia="Calibri"/>
            <w:iCs/>
            <w:highlight w:val="white"/>
          </w:rPr>
          <w:t xml:space="preserve">пунктом 12 статьи 22</w:t>
        </w:r>
      </w:hyperlink>
      <w:r>
        <w:rPr>
          <w:rFonts w:eastAsia="Calibri"/>
          <w:iCs/>
          <w:highlight w:val="white"/>
        </w:rPr>
        <w:t xml:space="preserve"> Федерального закона </w:t>
      </w:r>
      <w:r>
        <w:rPr>
          <w:bCs/>
          <w:iCs/>
          <w:highlight w:val="white"/>
        </w:rPr>
        <w:t xml:space="preserve">от 22.04.1996 </w:t>
      </w:r>
      <w:r>
        <w:rPr>
          <w:bCs/>
          <w:iCs/>
          <w:highlight w:val="white"/>
        </w:rPr>
        <w:t xml:space="preserve">             </w:t>
      </w:r>
      <w:r>
        <w:rPr>
          <w:bCs/>
          <w:iCs/>
          <w:highlight w:val="white"/>
        </w:rPr>
        <w:t xml:space="preserve">№ 39-ФЗ «О рынке ценных бумаг»</w:t>
      </w:r>
      <w:r>
        <w:rPr>
          <w:rFonts w:eastAsia="Calibri"/>
          <w:iCs/>
          <w:highlight w:val="white"/>
        </w:rPr>
        <w:t xml:space="preserve">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1.7. Сведения об основных рисках, связанных с эмитентом и приобретением эмиссионных ценных бумаг эмитента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tabs>
          <w:tab w:val="left" w:pos="1134" w:leader="none"/>
        </w:tabs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Целью управления рисками Банка и Группы является поддержание принимаемого совокупного риска на уровне, который Банк готов принять для достижения стратегических целей, в т.ч. для достижения целевого уро</w:t>
      </w:r>
      <w:r>
        <w:rPr>
          <w:rFonts w:eastAsiaTheme="minorHAnsi"/>
          <w:bCs/>
          <w:highlight w:val="white"/>
          <w:lang w:eastAsia="en-US"/>
        </w:rPr>
        <w:t xml:space="preserve">вня доходности определенном в соответствии с утвержденными стратегическими задачами. Приоритетным является обеспечение максимальной сохранности активов и капитала на основе минимизации подверженности рискам, которые могут привести к непредвиденным убыткам.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Банк осуществляет скоординированное управление значимыми рисками: кредитным, рыночным, процентным, операционным, регуляторным риском, </w:t>
      </w:r>
      <w:r>
        <w:rPr>
          <w:rFonts w:eastAsiaTheme="minorHAnsi"/>
          <w:bCs/>
          <w:highlight w:val="white"/>
          <w:lang w:eastAsia="en-US"/>
        </w:rPr>
        <w:t xml:space="preserve">стратегическим риском, </w:t>
      </w:r>
      <w:r>
        <w:rPr>
          <w:rFonts w:eastAsiaTheme="minorHAnsi"/>
          <w:bCs/>
          <w:highlight w:val="white"/>
          <w:lang w:eastAsia="en-US"/>
        </w:rPr>
        <w:t xml:space="preserve">риском потери ликвидности и риском концентрации по всем уровням деятельности.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В Банке и Группе действует многоуровневая система принятия решений, осуществления контроля и управления рисками. 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Функционирование системы управления рисками в Банке и Группе основывается на следующих внутренних документах: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- Политика управления рисками АО «Россельхозбанк», которая устанавливает основные принципы организации системы управления рисками в Банке;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- Стратегия управления рисками и капиталом АО «Россельхозбанк», которая устанавливает основные принципы организации в Банке внутренних процедур оценки достаточности капитала.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- Политика управления рисками Группы АО «Россельхозбанк», которая устанавливает основные принципы организации системы управления рисками в Группе;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- Стратегия управления рисками и капиталом Группы АО «Россельхозбанк», которая устанавливает основные принципы организации в Группе процедур оценки достаточности капитала.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- Положение по управлению капиталом АО «Россельхозбанк» и Группы </w:t>
      </w:r>
      <w:r>
        <w:rPr>
          <w:rFonts w:eastAsiaTheme="minorHAnsi"/>
          <w:bCs/>
          <w:highlight w:val="white"/>
          <w:lang w:eastAsia="en-US"/>
        </w:rPr>
        <w:t xml:space="preserve">                             </w:t>
      </w:r>
      <w:r>
        <w:rPr>
          <w:rFonts w:eastAsiaTheme="minorHAnsi"/>
          <w:bCs/>
          <w:highlight w:val="white"/>
          <w:lang w:eastAsia="en-US"/>
        </w:rPr>
        <w:t xml:space="preserve">АО «Россельхозбанк</w:t>
      </w:r>
      <w:r>
        <w:rPr>
          <w:rFonts w:eastAsiaTheme="minorHAnsi"/>
          <w:bCs/>
          <w:highlight w:val="white"/>
          <w:lang w:eastAsia="en-US"/>
        </w:rPr>
        <w:t xml:space="preserve">.</w:t>
      </w:r>
      <w:r>
        <w:rPr>
          <w:rFonts w:eastAsiaTheme="minorHAnsi"/>
          <w:bCs/>
          <w:highlight w:val="white"/>
          <w:lang w:eastAsia="en-US"/>
        </w:rPr>
        <w:t xml:space="preserve"> </w:t>
      </w:r>
      <w:r>
        <w:rPr>
          <w:rFonts w:eastAsiaTheme="minorHAnsi"/>
          <w:highlight w:val="white"/>
          <w:lang w:eastAsia="en-US"/>
        </w:rPr>
      </w:r>
      <w:r>
        <w:rPr>
          <w:rFonts w:eastAsiaTheme="minorHAnsi"/>
          <w:highlight w:val="white"/>
        </w:rPr>
      </w:r>
    </w:p>
    <w:p>
      <w:pPr>
        <w:ind w:firstLine="709"/>
        <w:jc w:val="both"/>
        <w:rPr>
          <w:rFonts w:eastAsiaTheme="minorHAnsi"/>
          <w:highlight w:val="white"/>
          <w14:ligatures w14:val="none"/>
        </w:rPr>
      </w:pPr>
      <w:r>
        <w:rPr>
          <w:rFonts w:eastAsiaTheme="minorHAnsi"/>
          <w:highlight w:val="white"/>
          <w:lang w:eastAsia="en-US"/>
        </w:rPr>
        <w:t xml:space="preserve">- Методика оценки значимости рисков</w:t>
      </w:r>
      <w:r>
        <w:rPr>
          <w:rFonts w:eastAsiaTheme="minorHAnsi"/>
          <w:highlight w:val="white"/>
          <w:lang w:eastAsia="en-US"/>
        </w:rPr>
        <w:t xml:space="preserve"> АО</w:t>
      </w:r>
      <w:r>
        <w:rPr>
          <w:rFonts w:eastAsiaTheme="minorHAnsi"/>
          <w:highlight w:val="white"/>
          <w:lang w:eastAsia="en-US"/>
        </w:rPr>
        <w:t xml:space="preserve"> </w:t>
      </w:r>
      <w:r>
        <w:rPr>
          <w:rFonts w:eastAsiaTheme="minorHAnsi"/>
          <w:highlight w:val="white"/>
          <w:lang w:eastAsia="en-US"/>
        </w:rPr>
        <w:t xml:space="preserve">«Россельхозбанк»</w:t>
      </w:r>
      <w:r>
        <w:rPr>
          <w:rFonts w:eastAsiaTheme="minorHAnsi"/>
          <w:highlight w:val="white"/>
          <w:lang w:eastAsia="en-US"/>
        </w:rPr>
        <w:t xml:space="preserve"> </w:t>
      </w:r>
      <w:r>
        <w:rPr>
          <w:rFonts w:eastAsiaTheme="minorHAnsi"/>
          <w:highlight w:val="white"/>
          <w:lang w:eastAsia="en-US"/>
        </w:rPr>
        <w:t xml:space="preserve">и Группы                          АО «Россель</w:t>
      </w:r>
      <w:r>
        <w:rPr>
          <w:rFonts w:eastAsiaTheme="minorHAnsi"/>
          <w:highlight w:val="white"/>
          <w:lang w:eastAsia="en-US"/>
        </w:rPr>
        <w:t xml:space="preserve">хо</w:t>
      </w:r>
      <w:r>
        <w:rPr>
          <w:rFonts w:eastAsiaTheme="minorHAnsi"/>
          <w:highlight w:val="white"/>
          <w:lang w:eastAsia="en-US"/>
        </w:rPr>
        <w:t xml:space="preserve">збанк</w:t>
      </w:r>
      <w:r>
        <w:rPr>
          <w:rFonts w:eastAsiaTheme="minorHAnsi"/>
          <w:highlight w:val="white"/>
          <w:lang w:eastAsia="en-US"/>
        </w:rPr>
        <w:t xml:space="preserve">»</w:t>
      </w:r>
      <w:r>
        <w:rPr>
          <w:rFonts w:eastAsiaTheme="minorHAnsi"/>
          <w:highlight w:val="white"/>
          <w:lang w:eastAsia="en-US"/>
        </w:rPr>
        <w:t xml:space="preserve">.</w:t>
      </w:r>
      <w:r>
        <w:rPr>
          <w:rFonts w:eastAsiaTheme="minorHAnsi"/>
          <w:highlight w:val="white"/>
          <w:lang w:eastAsia="en-US"/>
          <w14:ligatures w14:val="none"/>
        </w:rPr>
      </w:r>
      <w:r>
        <w:rPr>
          <w:rFonts w:eastAsiaTheme="minorHAnsi"/>
          <w:highlight w:val="white"/>
          <w14:ligatures w14:val="non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Процесс управления рисками является частью общей системы управления рисками Банка и Группы, направлен на обеспечение устойчивого долгосрочного развития Банка и включает следующие основные этапы: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идентификация рисков – выявление и классификация рисков, способных оказать влияние на текущую и планируемую деятельность;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оценка рисков – определение методов количественной и качественной оценки рисков, оценка значений показателей рисков;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агрегирование рисков – сбор и обработка данных по всем видам рисков, определение совокупного объема риска, установление риск-аппетита;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управление рисками – разработка методов, инструментов и мероприятий для снижения уровня принимаемых рисков;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мониторинг и контроль рисков, формирование отчетности по рискам.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Методы управления рисками постоянно совершенствуются с учетом лучших международных и российских практик, в том числе в части нормативной базы, технологий, процессов и информационных систем.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Cs/>
          <w:highlight w:val="white"/>
        </w:rPr>
      </w:pPr>
      <w:r>
        <w:rPr>
          <w:rFonts w:eastAsiaTheme="minorHAnsi"/>
          <w:bCs/>
          <w:highlight w:val="white"/>
          <w:lang w:eastAsia="en-US"/>
        </w:rPr>
        <w:t xml:space="preserve">П</w:t>
      </w:r>
      <w:r>
        <w:rPr>
          <w:rFonts w:eastAsiaTheme="minorHAnsi"/>
          <w:bCs/>
          <w:highlight w:val="white"/>
          <w:lang w:eastAsia="en-US"/>
        </w:rPr>
        <w:t xml:space="preserve">еречень описанных в настоящем пункте рисков не является исчерпывающим и подробные сведения о рисках, связанных с эмитентом и приобретением его ценных бумаг, раскрыты в </w:t>
      </w:r>
      <w:hyperlink r:id="rId18" w:tooltip="consultantplus://offline/ref=F6117B8773BB734CFA154A711F51C1EF2FEE17EDF3EC351407EC933B8573E6FB0DE68E103B1879608003A1D45D51D2D6ABFDF16AE987134AYFOAL" w:history="1">
        <w:r>
          <w:rPr>
            <w:rFonts w:eastAsiaTheme="minorHAnsi"/>
            <w:bCs/>
            <w:color w:val="000000" w:themeColor="text1"/>
            <w:highlight w:val="white"/>
            <w:lang w:eastAsia="en-US"/>
          </w:rPr>
          <w:t xml:space="preserve">пункте 2.8</w:t>
        </w:r>
      </w:hyperlink>
      <w:r>
        <w:rPr>
          <w:rFonts w:eastAsiaTheme="minorHAnsi"/>
          <w:bCs/>
          <w:highlight w:val="white"/>
          <w:lang w:eastAsia="en-US"/>
        </w:rPr>
        <w:t xml:space="preserve"> </w:t>
      </w:r>
      <w:r>
        <w:rPr>
          <w:rFonts w:eastAsiaTheme="minorHAnsi"/>
          <w:bCs/>
          <w:highlight w:val="white"/>
          <w:lang w:eastAsia="en-US"/>
        </w:rPr>
        <w:t xml:space="preserve">П</w:t>
      </w:r>
      <w:r>
        <w:rPr>
          <w:rFonts w:eastAsiaTheme="minorHAnsi"/>
          <w:bCs/>
          <w:highlight w:val="white"/>
          <w:lang w:eastAsia="en-US"/>
        </w:rPr>
        <w:t xml:space="preserve">роспекта ценных бумаг.</w:t>
      </w:r>
      <w:r>
        <w:rPr>
          <w:rFonts w:eastAsiaTheme="minorHAnsi"/>
          <w:bCs/>
          <w:highlight w:val="white"/>
          <w:lang w:eastAsia="en-US"/>
        </w:rPr>
      </w:r>
      <w:r>
        <w:rPr>
          <w:rFonts w:eastAsiaTheme="minorHAnsi"/>
          <w:b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outlineLvl w:val="1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  <w:t xml:space="preserve">1.8. Сведения о лицах, подписавших проспект ценных бумаг</w:t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пункту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пункте не раскрывается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Раздел 2. Информация о финансово-хозяйственной деятельности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2" w:name="Par89"/>
      <w:r>
        <w:rPr>
          <w:highlight w:val="white"/>
        </w:rPr>
      </w:r>
      <w:bookmarkEnd w:id="2"/>
      <w:r>
        <w:rPr>
          <w:b/>
          <w:highlight w:val="white"/>
        </w:rPr>
        <w:t xml:space="preserve">2.1</w:t>
      </w:r>
      <w:r>
        <w:rPr>
          <w:b/>
          <w:highlight w:val="white"/>
        </w:rPr>
        <w:t xml:space="preserve">. Основные операционные показатели, характеризующие деятельность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Основные операционные показатели, наиболее объективно и всесторонне характеризующие финансово-хозяйственную деятельность группы эмитента в натуральном выражении: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8818" w:type="dxa"/>
        <w:jc w:val="center"/>
        <w:tblLook w:val="04A0" w:firstRow="1" w:lastRow="0" w:firstColumn="1" w:lastColumn="0" w:noHBand="0" w:noVBand="1"/>
      </w:tblPr>
      <w:tblGrid>
        <w:gridCol w:w="720"/>
        <w:gridCol w:w="3811"/>
        <w:gridCol w:w="1134"/>
        <w:gridCol w:w="1026"/>
        <w:gridCol w:w="1101"/>
        <w:gridCol w:w="1026"/>
      </w:tblGrid>
      <w:tr>
        <w:trPr>
          <w:jc w:val="center"/>
          <w:trHeight w:val="300"/>
        </w:trPr>
        <w:tblPrEx/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№ п/п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01.01.2023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01.01.2024</w:t>
            </w:r>
            <w:r>
              <w:rPr>
                <w:b/>
                <w:bCs/>
                <w:sz w:val="18"/>
                <w:szCs w:val="18"/>
                <w:highlight w:val="white"/>
                <w:lang w:val="en-US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W w:w="110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01.01.2025</w:t>
            </w:r>
            <w:r>
              <w:rPr>
                <w:b/>
                <w:bCs/>
                <w:sz w:val="18"/>
                <w:szCs w:val="18"/>
                <w:highlight w:val="white"/>
                <w:lang w:val="en-US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01.04.2025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Активы группы, млн. руб.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4 257 605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4 746 219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5 566 351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5 401 588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Рентабельность активов (ROА), %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0,2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0,7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0,8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1,4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9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Кредитный портфель до вычета резервов по кредитным убыткам (включая кредиты, оцениваемые по справедливой стоимости), млн. руб.,</w:t>
            </w:r>
            <w:r>
              <w:rPr>
                <w:sz w:val="18"/>
                <w:szCs w:val="18"/>
                <w:highlight w:val="white"/>
              </w:rPr>
              <w:br/>
              <w:t xml:space="preserve">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3 413 082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3 719 218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4 238 133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4 198 085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Кредиты юридическим лицам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2 823 533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3 151 947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3 657 335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3 634 470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Кредиты физическим лицам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589 549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567 271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580 798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563 615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6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клиентов, млн. руб.,</w:t>
            </w:r>
            <w:r>
              <w:rPr>
                <w:sz w:val="18"/>
                <w:szCs w:val="18"/>
                <w:highlight w:val="white"/>
              </w:rPr>
              <w:br/>
              <w:t xml:space="preserve">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3 363 165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3 653 685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4 119 336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4 105 007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Юридических лиц, 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1 699 952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1 722 974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1 948 505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1 860 226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4.1.1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текущие/расчетные счета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276 841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275 975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327 561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325 102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4.1.2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срочные депозиты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1 423 111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1 446 999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1 620 944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1 535 124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Физических лиц, 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1 663 213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1 930 711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2 170 831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2 244 781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4.2.1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текущие счета/счета до востребования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296 573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398 034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336 081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309 341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4.2.2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срочные депозиты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1 366 640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1 532 677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1 834 750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1 935 440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Соотношение кредитов к депозитам (LD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R</w:t>
            </w:r>
            <w:r>
              <w:rPr>
                <w:sz w:val="18"/>
                <w:szCs w:val="18"/>
                <w:highlight w:val="white"/>
              </w:rPr>
              <w:t xml:space="preserve">), %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101,5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101,8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102,9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102,3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81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Уставный капитал Группы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523 333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523 333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523 333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0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white"/>
                <w14:ligatures w14:val="non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523 333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  <w14:ligatures w14:val="none"/>
              </w:rPr>
            </w:r>
            <w:r>
              <w:rPr>
                <w:sz w:val="18"/>
                <w:szCs w:val="18"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Анализ динамики изменения приведенных показателей операционной деятельности эмитента (группы эмитента):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highlight w:val="white"/>
        </w:rPr>
        <w:t xml:space="preserve">В 2023-2024 годах наблюдался рост активов группы: в 2023 году активы выросли на </w:t>
      </w:r>
      <w:r>
        <w:rPr>
          <w:highlight w:val="white"/>
        </w:rPr>
        <w:t xml:space="preserve">на 488 614 млн. руб</w:t>
      </w:r>
      <w:r>
        <w:rPr>
          <w:highlight w:val="white"/>
        </w:rPr>
        <w:t xml:space="preserve">лей (+11,5%) и состав</w:t>
      </w:r>
      <w:r>
        <w:rPr>
          <w:highlight w:val="white"/>
        </w:rPr>
        <w:t xml:space="preserve">или </w:t>
      </w:r>
      <w:r>
        <w:rPr>
          <w:highlight w:val="white"/>
          <w:lang w:eastAsia="ru-RU"/>
        </w:rPr>
        <w:t xml:space="preserve">4 746 219 </w:t>
      </w:r>
      <w:r>
        <w:rPr>
          <w:highlight w:val="white"/>
        </w:rPr>
        <w:t xml:space="preserve">млн. руб</w:t>
      </w:r>
      <w:r>
        <w:rPr>
          <w:highlight w:val="white"/>
        </w:rPr>
        <w:t xml:space="preserve">лей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2024 -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820 132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составили 5 566 351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рублей. </w:t>
      </w:r>
      <w:r>
        <w:rPr>
          <w:highlight w:val="white"/>
        </w:rPr>
        <w:t xml:space="preserve">Рентабельность активов по итогам 2023 года составила 0,7%, что значительно </w:t>
      </w:r>
      <w:r>
        <w:rPr>
          <w:highlight w:val="white"/>
        </w:rPr>
        <w:t xml:space="preserve">(на 50 базисных пунктов) выше значения на 01.01.2023.</w:t>
      </w:r>
      <w:r>
        <w:rPr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ентабельность активов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составила 0,8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 базисных пунктов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выше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П</w:t>
      </w:r>
      <w:r>
        <w:rPr>
          <w:highlight w:val="white"/>
        </w:rPr>
        <w:t xml:space="preserve">о состоянию на 01.04.2025, активы незначительно, на 164 763 млн. рублей (-3,0%), сократились и составили 5 401 588 млн. рублей,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рентабельность активов напротив значительно </w:t>
      </w:r>
      <w:r>
        <w:rPr>
          <w:highlight w:val="white"/>
        </w:rPr>
        <w:t xml:space="preserve">на 60 базисных пунктов</w:t>
      </w:r>
      <w:r>
        <w:rPr>
          <w:highlight w:val="white"/>
        </w:rPr>
        <w:t xml:space="preserve"> увеличилась и составила 1,4%, что обусловлено ростом чистой прибыли.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Кредитный портфель до вычета резервов по кредитным убыткам </w:t>
      </w:r>
      <w:r>
        <w:rPr>
          <w:highlight w:val="white"/>
        </w:rPr>
        <w:t xml:space="preserve">за 2023 год вырос на 306 136 млн. рублей (+9,0%)</w:t>
      </w:r>
      <w:r>
        <w:rPr>
          <w:highlight w:val="white"/>
        </w:rPr>
        <w:t xml:space="preserve">,</w:t>
      </w:r>
      <w:r>
        <w:rPr>
          <w:highlight w:val="white"/>
        </w:rPr>
        <w:t xml:space="preserve"> за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 -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518 915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14,0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%). </w:t>
      </w:r>
      <w:r>
        <w:rPr>
          <w:highlight w:val="white"/>
        </w:rPr>
        <w:t xml:space="preserve">Основной рост кредитного портфел</w:t>
      </w:r>
      <w:r>
        <w:rPr>
          <w:highlight w:val="white"/>
        </w:rPr>
        <w:t xml:space="preserve">я в 2023-2024 годах произошел за счет увеличения объема кредитов юридическим лицам в 2023 году на 328 414 млн. рублей (+</w:t>
      </w:r>
      <w:r>
        <w:rPr>
          <w:highlight w:val="white"/>
        </w:rPr>
        <w:t xml:space="preserve">11,6%) и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505 388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0%)</w:t>
      </w:r>
      <w:r>
        <w:rPr>
          <w:highlight w:val="white"/>
        </w:rPr>
        <w:t xml:space="preserve"> в 2024 году. По итогам</w:t>
      </w:r>
      <w:r>
        <w:rPr>
          <w:highlight w:val="white"/>
        </w:rPr>
        <w:t xml:space="preserve"> </w:t>
      </w:r>
      <w:r>
        <w:rPr>
          <w:highlight w:val="white"/>
        </w:rPr>
        <w:t xml:space="preserve">1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вартала</w:t>
      </w:r>
      <w:r>
        <w:rPr>
          <w:highlight w:val="white"/>
        </w:rPr>
        <w:t xml:space="preserve"> </w:t>
      </w:r>
      <w:r>
        <w:rPr>
          <w:highlight w:val="white"/>
        </w:rPr>
        <w:t xml:space="preserve">2</w:t>
      </w:r>
      <w:r>
        <w:rPr>
          <w:highlight w:val="white"/>
        </w:rPr>
        <w:t xml:space="preserve">0</w:t>
      </w:r>
      <w:r>
        <w:rPr>
          <w:highlight w:val="white"/>
        </w:rPr>
        <w:t xml:space="preserve">2</w:t>
      </w:r>
      <w:r>
        <w:rPr>
          <w:highlight w:val="white"/>
        </w:rPr>
        <w:t xml:space="preserve">5</w:t>
      </w:r>
      <w:r>
        <w:rPr>
          <w:highlight w:val="white"/>
        </w:rPr>
        <w:t xml:space="preserve"> </w:t>
      </w:r>
      <w:r>
        <w:rPr>
          <w:highlight w:val="white"/>
        </w:rPr>
        <w:t xml:space="preserve">г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 </w:t>
      </w:r>
      <w:r>
        <w:rPr>
          <w:highlight w:val="white"/>
        </w:rPr>
        <w:t xml:space="preserve">к</w:t>
      </w:r>
      <w:r>
        <w:rPr>
          <w:highlight w:val="white"/>
        </w:rPr>
        <w:t xml:space="preserve">редитный портфель до вычета резервов по кредитным убыткам </w:t>
      </w:r>
      <w:r>
        <w:rPr>
          <w:highlight w:val="white"/>
        </w:rPr>
        <w:t xml:space="preserve">практически не претерпел изменений по сравнению с 2024 годом незначительно, на 40 048 млн. рублей</w:t>
      </w:r>
      <w:r>
        <w:rPr>
          <w:highlight w:val="white"/>
        </w:rPr>
        <w:t xml:space="preserve"> </w:t>
      </w:r>
      <w:r>
        <w:rPr>
          <w:highlight w:val="white"/>
        </w:rPr>
        <w:t xml:space="preserve">(-0</w:t>
      </w:r>
      <w:r>
        <w:rPr>
          <w:highlight w:val="white"/>
        </w:rPr>
        <w:t xml:space="preserve">,9</w:t>
      </w:r>
      <w:r>
        <w:rPr>
          <w:highlight w:val="white"/>
        </w:rPr>
        <w:t xml:space="preserve">%)</w:t>
      </w:r>
      <w:r>
        <w:rPr>
          <w:highlight w:val="white"/>
        </w:rPr>
        <w:t xml:space="preserve">, сократившись и составил 4 198 085 млн. рублей.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Средства клиентов на протяжении 2023-2024 г</w:t>
      </w:r>
      <w:r>
        <w:rPr>
          <w:highlight w:val="white"/>
        </w:rPr>
        <w:t xml:space="preserve">одов увеличивались </w:t>
      </w:r>
      <w:r>
        <w:rPr>
          <w:highlight w:val="white"/>
        </w:rPr>
        <w:t xml:space="preserve">преимущественно за счет роста срочных депозитов, привлеченных от юридических и физических лиц</w:t>
      </w:r>
      <w:r>
        <w:rPr>
          <w:highlight w:val="white"/>
        </w:rPr>
        <w:t xml:space="preserve">: в 2023 году на 290 520 млн. рублей (+8,6%), </w:t>
      </w:r>
      <w:r>
        <w:rPr>
          <w:highlight w:val="white"/>
        </w:rPr>
        <w:t xml:space="preserve">в 2024 году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465 651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12,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7%)</w:t>
      </w:r>
      <w:r>
        <w:rPr>
          <w:highlight w:val="white"/>
        </w:rPr>
        <w:t xml:space="preserve">. По итогам 3</w:t>
      </w:r>
      <w:r>
        <w:rPr>
          <w:highlight w:val="white"/>
        </w:rPr>
        <w:t xml:space="preserve"> месяцев 2025 года объем средств клиентов практически не претерпел изменений по сравнению с 2024 годом незначительно, на 14 329 млн. рублей     (-0,</w:t>
      </w:r>
      <w:r>
        <w:rPr>
          <w:highlight w:val="white"/>
        </w:rPr>
        <w:t xml:space="preserve">3</w:t>
      </w:r>
      <w:r>
        <w:rPr>
          <w:highlight w:val="white"/>
        </w:rPr>
        <w:t xml:space="preserve">%), сократившись и составил 4 105 007 млн. рублей.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2023 году средства, привлеченные от юридических лиц, незначительно, </w:t>
      </w:r>
      <w:r>
        <w:rPr>
          <w:highlight w:val="white"/>
        </w:rPr>
        <w:t xml:space="preserve">на 23 022 млн. рублей (+1,4%)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у</w:t>
      </w:r>
      <w:r>
        <w:rPr>
          <w:highlight w:val="white"/>
        </w:rPr>
        <w:t xml:space="preserve">в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ч</w:t>
      </w:r>
      <w:r>
        <w:rPr>
          <w:highlight w:val="white"/>
        </w:rPr>
        <w:t xml:space="preserve">и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с</w:t>
      </w:r>
      <w:r>
        <w:rPr>
          <w:highlight w:val="white"/>
        </w:rPr>
        <w:t xml:space="preserve">ь</w:t>
      </w:r>
      <w:r>
        <w:rPr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сос</w:t>
      </w:r>
      <w:r>
        <w:rPr>
          <w:highlight w:val="white"/>
        </w:rPr>
        <w:t xml:space="preserve">тавили </w:t>
      </w:r>
      <w:r>
        <w:rPr>
          <w:highlight w:val="white"/>
          <w:lang w:eastAsia="ru-RU"/>
        </w:rPr>
        <w:t xml:space="preserve">1 722 974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лн. рублей</w:t>
      </w:r>
      <w:r>
        <w:rPr>
          <w:highlight w:val="white"/>
        </w:rPr>
        <w:t xml:space="preserve">. </w:t>
      </w:r>
      <w:r>
        <w:rPr>
          <w:highlight w:val="white"/>
        </w:rPr>
        <w:t xml:space="preserve">В 2024 году </w:t>
      </w:r>
      <w:r>
        <w:rPr>
          <w:highlight w:val="white"/>
        </w:rPr>
        <w:t xml:space="preserve">произошло увеличение объема средств, привлеченных от юридических лиц, на 225 531 млн. рублей (+13,1%). </w:t>
      </w:r>
      <w:r>
        <w:rPr>
          <w:highlight w:val="white"/>
        </w:rPr>
        <w:t xml:space="preserve">По итогам 3 месяцев 2025 года объем </w:t>
      </w:r>
      <w:r>
        <w:rPr>
          <w:highlight w:val="white"/>
        </w:rPr>
        <w:t xml:space="preserve">средств, привлеченных от юридических лиц не</w:t>
      </w:r>
      <w:r>
        <w:rPr>
          <w:highlight w:val="white"/>
        </w:rPr>
        <w:t xml:space="preserve">значительно, на 88 279 млн. рублей (-4,5%), сократился и составил            1 8</w:t>
      </w:r>
      <w:r>
        <w:rPr>
          <w:highlight w:val="white"/>
        </w:rPr>
        <w:t xml:space="preserve">6</w:t>
      </w:r>
      <w:r>
        <w:rPr>
          <w:highlight w:val="white"/>
        </w:rPr>
        <w:t xml:space="preserve">0 226 </w:t>
      </w:r>
      <w:r>
        <w:rPr>
          <w:highlight w:val="white"/>
        </w:rPr>
        <w:t xml:space="preserve">млн. рублей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Средства, привлеченные от физических лиц, на протяжении 2023 – 1 кв. 2025 года значительно увеличивались: </w:t>
      </w:r>
      <w:r>
        <w:rPr>
          <w:highlight w:val="white"/>
        </w:rPr>
        <w:t xml:space="preserve">на 267 498 млн. рублей (+16,1%) в 2023 году</w:t>
      </w:r>
      <w:r>
        <w:rPr>
          <w:highlight w:val="white"/>
        </w:rPr>
        <w:t xml:space="preserve">, на 240 120 млн. рублей (+12,4%) в 2024 году и</w:t>
      </w:r>
      <w:r>
        <w:rPr>
          <w:highlight w:val="white"/>
        </w:rPr>
        <w:t xml:space="preserve"> на 73 950 млн. рублей (+3,4%) за 3 месяца 2025 года и на 01.04.2025 составили 2 244 781 </w:t>
      </w:r>
      <w:r>
        <w:rPr>
          <w:highlight w:val="white"/>
        </w:rPr>
        <w:t xml:space="preserve">млн. рублей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структуре привлеченных средств клиентов основную долю составляют срочные депозиты. </w:t>
      </w:r>
      <w:r>
        <w:rPr>
          <w:highlight w:val="white"/>
        </w:rPr>
        <w:t xml:space="preserve">Доля срочных депозитов юридических лиц от общей суммы привлеченных средств клиентов на 01.04.2025 составила 37,4</w:t>
      </w:r>
      <w:r>
        <w:rPr>
          <w:highlight w:val="white"/>
        </w:rPr>
        <w:t xml:space="preserve">% (на 01.01.2023 - 42,3%, на 01.01.2024 - 39,6%, на 01.01.2025 -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</w:t>
      </w:r>
      <w:r>
        <w:rPr>
          <w:highlight w:val="white"/>
        </w:rPr>
        <w:t xml:space="preserve">). </w:t>
      </w:r>
      <w:r>
        <w:rPr>
          <w:highlight w:val="white"/>
        </w:rPr>
        <w:t xml:space="preserve">Доля срочных депозитов физических лиц от общей суммы привлеченных средств клиентов на 01.04.2025 составила 47</w:t>
      </w:r>
      <w:r>
        <w:rPr>
          <w:highlight w:val="white"/>
        </w:rPr>
        <w:t xml:space="preserve">,1</w:t>
      </w:r>
      <w:r>
        <w:rPr>
          <w:highlight w:val="white"/>
        </w:rPr>
        <w:t xml:space="preserve">% (на 01.01.2023 – 40,6%, на 01.01.2024 - 41,9%, </w:t>
      </w:r>
      <w:r>
        <w:rPr>
          <w:highlight w:val="white"/>
        </w:rPr>
        <w:t xml:space="preserve">на 01.01.2025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highlight w:val="white"/>
        </w:rPr>
        <w:t xml:space="preserve">%</w:t>
      </w:r>
      <w:r>
        <w:rPr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Значение показателя соотношения кредитов к депозитам (</w:t>
      </w:r>
      <w:r>
        <w:rPr>
          <w:highlight w:val="white"/>
          <w:lang w:val="en-US"/>
        </w:rPr>
        <w:t xml:space="preserve">LDR</w:t>
      </w:r>
      <w:r>
        <w:rPr>
          <w:highlight w:val="white"/>
        </w:rPr>
        <w:t xml:space="preserve">) за 2023 - 1 кв. 2025 года не претерпевало значительных изменений, что связанно с ростом как кредитного портфеля, так и депозитов одновременно.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Уст</w:t>
      </w:r>
      <w:r>
        <w:rPr>
          <w:highlight w:val="white"/>
        </w:rPr>
        <w:t xml:space="preserve">авный капитал Группы по состоянию на 01.04.2025 года составил                               523 333 млн. рублей. В 2023 - 1 кв. 2025 годах Банк не увеличивал размер уставного капитала.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Основные события и факторы, в том числе макроэкономические, произошедшие                                 в отчетном периоде, которые, по мнению эмитента, оказали существенное влияние на изменение основных операционных показателей </w:t>
      </w:r>
      <w:r>
        <w:rPr>
          <w:b/>
          <w:i/>
          <w:highlight w:val="white"/>
        </w:rPr>
        <w:t xml:space="preserve">г</w:t>
      </w:r>
      <w:r>
        <w:rPr>
          <w:b/>
          <w:i/>
          <w:highlight w:val="white"/>
        </w:rPr>
        <w:t xml:space="preserve">руппы эмитента: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 </w:t>
      </w:r>
      <w:r>
        <w:rPr>
          <w:rStyle w:val="1270"/>
          <w:highlight w:val="white"/>
        </w:rPr>
        <w:t xml:space="preserve">ростом геополитической напряженности с февраля 2022 года набл</w:t>
      </w:r>
      <w:r>
        <w:rPr>
          <w:rStyle w:val="1270"/>
          <w:highlight w:val="white"/>
        </w:rPr>
        <w:t xml:space="preserve">юдался существенный рост волатильности на фондовых и валютных рынках. Курс рубля значительно снижался в течение года по отношению к доллару США и евро. Удорожание фондирования привело, с одной стороны, к сокращению средств юрлиц в середине года. С другой, </w:t>
      </w:r>
      <w:r>
        <w:rPr>
          <w:highlight w:val="white"/>
        </w:rPr>
        <w:t xml:space="preserve">хорошее финансовое состояние отрасли АПК,</w:t>
      </w:r>
      <w:r>
        <w:rPr>
          <w:rStyle w:val="1270"/>
          <w:highlight w:val="white"/>
        </w:rPr>
        <w:t xml:space="preserve"> программы </w:t>
      </w:r>
      <w:r>
        <w:rPr>
          <w:highlight w:val="white"/>
        </w:rPr>
        <w:t xml:space="preserve">субсидирования процентных ставок в условиях их высокого уровня, а также клиентский спрос на замещение внешних заимствований обусловили прирост кредитного портфеля на </w:t>
      </w:r>
      <w:r>
        <w:rPr>
          <w:highlight w:val="white"/>
        </w:rPr>
        <w:t xml:space="preserve">9</w:t>
      </w:r>
      <w:r>
        <w:rPr>
          <w:highlight w:val="white"/>
        </w:rPr>
        <w:t xml:space="preserve">,7</w:t>
      </w:r>
      <w:r>
        <w:rPr>
          <w:highlight w:val="white"/>
        </w:rPr>
        <w:t xml:space="preserve">% по итогу 2022 года.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Восстановление деловой активности в 2023-2024 гг. поспособствовали росту рыночного спроса на кредитные ресурсы. Рост кредитного портфеля Банка составил 9% в 2023 г. и 1</w:t>
      </w:r>
      <w:r>
        <w:rPr>
          <w:highlight w:val="white"/>
        </w:rPr>
        <w:t xml:space="preserve">4</w:t>
      </w:r>
      <w:r>
        <w:rPr>
          <w:highlight w:val="white"/>
        </w:rPr>
        <w:t xml:space="preserve">% по итогам 2024 г. Средства клиентов также увеличились вследствие роста ставок, увеличения государственных расходов и доходов населения: по итогам 2023 года прирост составил </w:t>
      </w:r>
      <w:r>
        <w:rPr>
          <w:highlight w:val="white"/>
        </w:rPr>
        <w:t xml:space="preserve">8</w:t>
      </w:r>
      <w:r>
        <w:rPr>
          <w:highlight w:val="white"/>
        </w:rPr>
        <w:t xml:space="preserve">,</w:t>
      </w:r>
      <w:r>
        <w:rPr>
          <w:highlight w:val="white"/>
        </w:rPr>
        <w:t xml:space="preserve">6</w:t>
      </w:r>
      <w:r>
        <w:rPr>
          <w:highlight w:val="white"/>
        </w:rPr>
        <w:t xml:space="preserve">% и </w:t>
      </w:r>
      <w:r>
        <w:rPr>
          <w:highlight w:val="white"/>
        </w:rPr>
        <w:t xml:space="preserve">12</w:t>
      </w:r>
      <w:r>
        <w:rPr>
          <w:highlight w:val="white"/>
        </w:rPr>
        <w:t xml:space="preserve">,</w:t>
      </w:r>
      <w:r>
        <w:rPr>
          <w:highlight w:val="white"/>
        </w:rPr>
        <w:t xml:space="preserve">7</w:t>
      </w:r>
      <w:r>
        <w:rPr>
          <w:highlight w:val="white"/>
        </w:rPr>
        <w:t xml:space="preserve">% по итогам 2024 г</w:t>
      </w:r>
      <w:r>
        <w:rPr>
          <w:highlight w:val="white"/>
          <w:vertAlign w:val="superscript"/>
        </w:rPr>
        <w:footnoteReference w:id="2"/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Увеличение ключевой ставки Банком России с 16% до 21% на фоне сохраняющихся инфляци</w:t>
      </w:r>
      <w:r>
        <w:rPr>
          <w:highlight w:val="white"/>
        </w:rPr>
        <w:t xml:space="preserve">онных рисков способствовало росту стоимости фондирования и доходности от размещения средств, а также увеличению доли депозитов и накопительных счетов (счетов с минимальным остатком) в структуре сбережений домохозяйств и финансовых активов юридических лиц.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Сохранение темпов роста экономики и доходов населения, стабильное финансовое положение в АПК позволили снизить стоимость кредитного риска (COR).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Снижение </w:t>
      </w:r>
      <w:r>
        <w:rPr>
          <w:highlight w:val="white"/>
        </w:rPr>
        <w:t xml:space="preserve">показателей баланса, наблюдаемое в </w:t>
      </w:r>
      <w:r>
        <w:rPr>
          <w:highlight w:val="white"/>
        </w:rPr>
        <w:t xml:space="preserve">1 квартале 2025 года</w:t>
      </w:r>
      <w:r>
        <w:rPr>
          <w:highlight w:val="white"/>
        </w:rPr>
        <w:t xml:space="preserve">, обусловлено </w:t>
      </w:r>
      <w:r>
        <w:rPr>
          <w:highlight w:val="white"/>
        </w:rPr>
        <w:t xml:space="preserve">переоценкой </w:t>
      </w:r>
      <w:r>
        <w:rPr>
          <w:highlight w:val="white"/>
        </w:rPr>
        <w:t xml:space="preserve">активов, номинированных в валюте</w:t>
      </w:r>
      <w:r>
        <w:rPr>
          <w:highlight w:val="white"/>
        </w:rPr>
        <w:t xml:space="preserve">,</w:t>
      </w:r>
      <w:r>
        <w:rPr>
          <w:highlight w:val="white"/>
        </w:rPr>
        <w:t xml:space="preserve"> из-за укрепления рубля</w:t>
      </w:r>
      <w:r>
        <w:rPr>
          <w:highlight w:val="white"/>
        </w:rPr>
        <w:t xml:space="preserve">: </w:t>
      </w:r>
      <w:r>
        <w:rPr>
          <w:highlight w:val="white"/>
        </w:rPr>
        <w:t xml:space="preserve">курс доллара к рублю </w:t>
      </w:r>
      <w:r>
        <w:rPr>
          <w:highlight w:val="white"/>
        </w:rPr>
        <w:t xml:space="preserve">за рассматриваемый период </w:t>
      </w:r>
      <w:r>
        <w:rPr>
          <w:highlight w:val="white"/>
        </w:rPr>
        <w:t xml:space="preserve">изменился с </w:t>
      </w:r>
      <w:r>
        <w:rPr>
          <w:highlight w:val="white"/>
        </w:rPr>
        <w:t xml:space="preserve">101,68 до 83,68 (-18%). С исключением валютной переоценки по больши</w:t>
      </w:r>
      <w:r>
        <w:rPr>
          <w:highlight w:val="white"/>
        </w:rPr>
        <w:t xml:space="preserve">н</w:t>
      </w:r>
      <w:r>
        <w:rPr>
          <w:highlight w:val="white"/>
        </w:rPr>
        <w:t xml:space="preserve">ству показателей баланса </w:t>
      </w:r>
      <w:r>
        <w:rPr>
          <w:highlight w:val="white"/>
        </w:rPr>
        <w:t xml:space="preserve">наблюдался рост:</w:t>
      </w:r>
      <w:r>
        <w:rPr>
          <w:highlight w:val="white"/>
        </w:rPr>
        <w:t xml:space="preserve"> кредитный портфель Банка увеличился на 1,</w:t>
      </w:r>
      <w:r>
        <w:rPr>
          <w:highlight w:val="white"/>
        </w:rPr>
        <w:t xml:space="preserve">2</w:t>
      </w:r>
      <w:r>
        <w:rPr>
          <w:highlight w:val="white"/>
        </w:rPr>
        <w:t xml:space="preserve">%</w:t>
      </w:r>
      <w:r>
        <w:rPr>
          <w:highlight w:val="white"/>
        </w:rPr>
        <w:t xml:space="preserve">, с</w:t>
      </w:r>
      <w:r>
        <w:rPr>
          <w:highlight w:val="white"/>
        </w:rPr>
        <w:t xml:space="preserve">редства клиентов </w:t>
      </w:r>
      <w:r>
        <w:rPr>
          <w:highlight w:val="white"/>
        </w:rPr>
        <w:t xml:space="preserve">– </w:t>
      </w:r>
      <w:r>
        <w:rPr>
          <w:highlight w:val="white"/>
        </w:rPr>
        <w:t xml:space="preserve">на 1,1%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Сдерживающее влияние на кредитную активность начала оказывать жесткая денежно-кредитная политика Банка России: усиление макропруденциальных требований, плановое ужесточение нормативов достаточности капитала</w:t>
      </w:r>
      <w:r>
        <w:rPr>
          <w:highlight w:val="white"/>
        </w:rPr>
        <w:t xml:space="preserve">. </w:t>
      </w:r>
      <w:r>
        <w:rPr>
          <w:highlight w:val="white"/>
        </w:rPr>
        <w:t xml:space="preserve">Высокие процентные ставки способствовали </w:t>
      </w:r>
      <w:r>
        <w:rPr>
          <w:highlight w:val="white"/>
        </w:rPr>
        <w:t xml:space="preserve">более активному использованию предприятиями </w:t>
      </w:r>
      <w:r>
        <w:rPr>
          <w:highlight w:val="white"/>
        </w:rPr>
        <w:t xml:space="preserve">собственных средств для финансирования текущей деятельности.</w:t>
      </w:r>
      <w:r>
        <w:rPr>
          <w:highlight w:val="white"/>
        </w:rPr>
        <w:t xml:space="preserve"> В то же время, </w:t>
      </w:r>
      <w:r>
        <w:rPr>
          <w:highlight w:val="white"/>
        </w:rPr>
        <w:t xml:space="preserve">с</w:t>
      </w:r>
      <w:r>
        <w:rPr>
          <w:highlight w:val="white"/>
        </w:rPr>
        <w:t xml:space="preserve">охранение объемов финансовой государственной поддержки АПК поддержало объем выдач льготных кредитов агропромышленному сектору.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 Основные финансовые показатели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2.2.1. </w:t>
      </w:r>
      <w:r>
        <w:rPr>
          <w:b/>
          <w:highlight w:val="white"/>
        </w:rPr>
        <w:t xml:space="preserve">Основные финансовые показатели </w:t>
      </w:r>
      <w:r>
        <w:rPr>
          <w:b/>
          <w:highlight w:val="white"/>
        </w:rPr>
        <w:t xml:space="preserve">эмитента</w:t>
      </w:r>
      <w:r>
        <w:rPr>
          <w:b/>
          <w:highlight w:val="white"/>
        </w:rPr>
        <w:t xml:space="preserve">, за исключением кр</w:t>
      </w:r>
      <w:r>
        <w:rPr>
          <w:b/>
          <w:highlight w:val="white"/>
        </w:rPr>
        <w:t xml:space="preserve">едитных организаций, составляющего</w:t>
      </w:r>
      <w:r>
        <w:rPr>
          <w:b/>
          <w:highlight w:val="white"/>
        </w:rPr>
        <w:t xml:space="preserve"> консолидированную финансовую отч</w:t>
      </w:r>
      <w:r>
        <w:rPr>
          <w:b/>
          <w:highlight w:val="white"/>
        </w:rPr>
        <w:t xml:space="preserve">етность (финансовую отчетность)</w:t>
      </w:r>
      <w:r>
        <w:rPr>
          <w:b/>
          <w:highlight w:val="white"/>
        </w:rPr>
        <w:t xml:space="preserve">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rFonts w:ascii="Calibri" w:hAnsi="Calibri" w:cs="Calibri"/>
          <w:highlight w:val="white"/>
        </w:rPr>
      </w:pPr>
      <w:r>
        <w:rPr>
          <w:highlight w:val="white"/>
        </w:rPr>
        <w:t xml:space="preserve">Не применимо. Эмитент является кредитной организацией</w:t>
      </w:r>
      <w:r>
        <w:rPr>
          <w:rFonts w:ascii="Calibri" w:hAnsi="Calibri" w:cs="Calibri"/>
          <w:highlight w:val="white"/>
        </w:rPr>
      </w:r>
      <w:r>
        <w:rPr>
          <w:rFonts w:ascii="Calibri" w:hAnsi="Calibri" w:cs="Calibri"/>
          <w:highlight w:val="white"/>
        </w:rPr>
      </w:r>
    </w:p>
    <w:p>
      <w:pPr>
        <w:ind w:firstLine="540"/>
        <w:jc w:val="both"/>
        <w:rPr>
          <w:rFonts w:ascii="Calibri,Bold" w:hAnsi="Calibri,Bold" w:cs="Calibri,Bold" w:eastAsiaTheme="minorHAnsi"/>
          <w:b/>
          <w:bCs/>
          <w:sz w:val="22"/>
          <w:szCs w:val="22"/>
          <w:highlight w:val="white"/>
        </w:rPr>
      </w:pPr>
      <w:r>
        <w:rPr>
          <w:rFonts w:ascii="Calibri,Bold" w:hAnsi="Calibri,Bold" w:cs="Calibri,Bold" w:eastAsiaTheme="minorHAnsi"/>
          <w:b/>
          <w:bCs/>
          <w:sz w:val="22"/>
          <w:szCs w:val="22"/>
          <w:highlight w:val="white"/>
          <w:lang w:eastAsia="en-US"/>
        </w:rPr>
      </w:r>
      <w:r>
        <w:rPr>
          <w:rFonts w:ascii="Calibri,Bold" w:hAnsi="Calibri,Bold" w:cs="Calibri,Bold" w:eastAsiaTheme="minorHAnsi"/>
          <w:b/>
          <w:bCs/>
          <w:sz w:val="22"/>
          <w:szCs w:val="22"/>
          <w:highlight w:val="white"/>
          <w:lang w:eastAsia="en-US"/>
        </w:rPr>
      </w:r>
      <w:r>
        <w:rPr>
          <w:rFonts w:ascii="Calibri,Bold" w:hAnsi="Calibri,Bold" w:cs="Calibri,Bold" w:eastAsiaTheme="minorHAnsi"/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2.2.2. </w:t>
      </w:r>
      <w:r>
        <w:rPr>
          <w:b/>
          <w:highlight w:val="white"/>
        </w:rPr>
        <w:t xml:space="preserve">Основные финансовые показатели </w:t>
      </w:r>
      <w:r>
        <w:rPr>
          <w:b/>
          <w:highlight w:val="white"/>
        </w:rPr>
        <w:t xml:space="preserve">эмитента, не составляющего</w:t>
      </w:r>
      <w:r>
        <w:rPr>
          <w:b/>
          <w:highlight w:val="white"/>
        </w:rPr>
        <w:t xml:space="preserve"> консолидированную финансовую отчетность (финансовую отчетность),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рассчитываемые на основе бухгалтерской (финансовой) отчетности эмитента: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Не применимо. Эмитент составляет консолидированную финансовую отчетность</w:t>
      </w:r>
      <w:r>
        <w:rPr>
          <w:highlight w:val="white"/>
        </w:rPr>
      </w:r>
    </w:p>
    <w:p>
      <w:pPr>
        <w:spacing w:before="240"/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.3 Основные финансовые показатели эмитентов, являющихся кредитными организациями:</w:t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W w:w="9215" w:type="dxa"/>
        <w:tblLook w:val="04A0" w:firstRow="1" w:lastRow="0" w:firstColumn="1" w:lastColumn="0" w:noHBand="0" w:noVBand="1"/>
      </w:tblPr>
      <w:tblGrid>
        <w:gridCol w:w="616"/>
        <w:gridCol w:w="2640"/>
        <w:gridCol w:w="1116"/>
        <w:gridCol w:w="1152"/>
        <w:gridCol w:w="1156"/>
        <w:gridCol w:w="1293"/>
        <w:gridCol w:w="1236"/>
        <w:gridCol w:w="6"/>
      </w:tblGrid>
      <w:tr>
        <w:trPr>
          <w:gridAfter w:val="1"/>
          <w:trHeight w:val="300"/>
        </w:trPr>
        <w:tblPrEx/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№ п/п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Наименование показателя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2022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год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2023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год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2024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год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мес.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2025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года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 мес.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2024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года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9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Показатели консолидированного отчета о прибылях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 убытках и прочем совокупном доходе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rPr>
          <w:gridAfter w:val="1"/>
          <w:trHeight w:val="6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Чистые процентные доходы после создания резерва под кредитные убытки,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31 557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82 160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99 648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36 636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28 675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Процентные доходы, млн. руб., в том числе: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358 139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429 128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697 415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212 172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143 457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1.1.1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финансовые инструменты, оцениваемые через прибыль или убыток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20 095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20 953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39 715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13 109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7 605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51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1.1.2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кредиты и авансы, оцениваемые по амортизированной стоимости, в том числе: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290 673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347 695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540 912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174 531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113 055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 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     кредиты и авансы юридическим лицам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227 149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285 778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455 122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149 521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95 376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 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     кредиты и авансы физическим лицам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63 524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61 917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85 790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25 010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17 679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1.1.3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прочие финансовые инструменты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47 371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60 480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116 788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24 532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22 797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Процентные расходы, млн. руб., в том числе: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(275 780)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(290 133)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553 260)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178 002)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(109 747)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1.2.1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срочные депозиты, в том числе: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(225 721)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(218 875)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425 705)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132 021)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(84 647)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 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      срочные депозиты юридических лиц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(106 460)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(127 163)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247 141)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60 698)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49 124)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 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      срочные вклады физических лиц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(119 261)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(91 712)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178 564)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71 323)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(35 523)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1.2.2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выпущенные ценные бумаги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(15 584)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(13 774)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21 389)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6 905)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4 359)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1.2.3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субординированные обязательства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(10 710)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(14 964)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12 270)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2 139)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3 550)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29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1.2.4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прочие процентные расходы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(23 765)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(42 520)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93 896)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(36 937)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17 191)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12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Расходы по кредитным убыткам,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(42 026)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(47 058) 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32 976)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5 547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(2 361)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243"/>
        </w:trPr>
        <w:tblPrEx/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1.4.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Расходы, связанные со страхованием вкладов, млн. рублей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(8 776)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(9 777)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11 531)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3 081)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2 674)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Чистая процентная маржа (NIM), %.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</w:rPr>
              <w:t xml:space="preserve">,</w:t>
            </w:r>
            <w:r>
              <w:rPr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2,9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2,7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2,4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2,7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Чистые комиссионные доходы,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23 145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21 635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22 318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5 735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4 835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3.1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комиссионные доходы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26 916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24 908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25 768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6 919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5 600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3.2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комиссионные расходы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(3 771)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(3 273)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(3 450)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1 184)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(765)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Операционные доходы</w:t>
            </w:r>
            <w:r>
              <w:rPr>
                <w:bCs/>
                <w:sz w:val="20"/>
                <w:szCs w:val="20"/>
                <w:highlight w:val="white"/>
              </w:rPr>
              <w:t xml:space="preserve">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86 314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121 159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136 593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46 603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34 978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Коэффициент отношения затрат к доходу (CIR),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54,9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47,7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51,6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50,9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50,5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Чистая прибыль за период,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7 364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31 847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39 825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19 726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13 447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Рентабельность капитала (ROE),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2,7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11,0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13,2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24,4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17,7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204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Стоимость риска (COR),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1,2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  <w:t xml:space="preserve">0,8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-0,5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0,2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250"/>
        </w:trPr>
        <w:tblPrEx/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Доля неработающих к</w:t>
            </w:r>
            <w:r>
              <w:rPr>
                <w:bCs/>
                <w:sz w:val="20"/>
                <w:szCs w:val="20"/>
                <w:highlight w:val="white"/>
              </w:rPr>
              <w:t xml:space="preserve">редитов в кредитном портфеле,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5,7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5,</w:t>
            </w:r>
            <w:r>
              <w:rPr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3,3</w:t>
            </w:r>
            <w:r>
              <w:rPr>
                <w:sz w:val="24"/>
                <w:szCs w:val="24"/>
                <w:highlight w:val="white"/>
                <w:lang w:eastAsia="ru-RU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3,3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4,9</w:t>
            </w:r>
            <w:r>
              <w:rPr>
                <w:sz w:val="20"/>
                <w:szCs w:val="20"/>
                <w:highlight w:val="white"/>
                <w:lang w:eastAsia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9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Показатели собственных средств (капитала) и обязательных нормативов достаточности капитала Группы*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rPr>
          <w:gridAfter w:val="1"/>
          <w:trHeight w:val="3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Собственные средства (капитал),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496 100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579 916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550 039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538 956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593 740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gridAfter w:val="1"/>
          <w:trHeight w:val="600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Норматив достаточности собственных средств (капитала),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13,</w:t>
            </w:r>
            <w:r>
              <w:rPr>
                <w:bCs/>
                <w:sz w:val="20"/>
                <w:szCs w:val="20"/>
                <w:highlight w:val="white"/>
                <w:lang w:val="en-US"/>
              </w:rPr>
              <w:t xml:space="preserve">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15,1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</w:rPr>
              <w:t xml:space="preserve">12,</w:t>
            </w: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3</w:t>
            </w:r>
            <w:r>
              <w:rPr>
                <w:sz w:val="20"/>
                <w:szCs w:val="20"/>
                <w:highlight w:val="white"/>
                <w:lang w:val="en-US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15,4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gridAfter w:val="1"/>
          <w:trHeight w:val="415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Норматив достаточности базового капитала банка,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9,0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8,1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</w:rPr>
              <w:t xml:space="preserve">6,6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8</w:t>
            </w:r>
            <w:r>
              <w:rPr>
                <w:sz w:val="20"/>
                <w:szCs w:val="20"/>
                <w:highlight w:val="white"/>
                <w:lang w:val="en-US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gridAfter w:val="1"/>
          <w:trHeight w:val="239"/>
        </w:trPr>
        <w:tblPrEx/>
        <w:tc>
          <w:tcPr>
            <w:tcW w:w="61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Норматив достаточности основного капитала,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10,</w:t>
            </w:r>
            <w:r>
              <w:rPr>
                <w:bCs/>
                <w:sz w:val="20"/>
                <w:szCs w:val="20"/>
                <w:highlight w:val="white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</w:tcPr>
          <w:p>
            <w:pPr>
              <w:jc w:val="righ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1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white"/>
              </w:rPr>
              <w:t xml:space="preserve">7,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9,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/>
          <w:sz w:val="20"/>
          <w:szCs w:val="20"/>
          <w:highlight w:val="white"/>
        </w:rPr>
      </w:pPr>
      <w:r>
        <w:rPr>
          <w:b/>
          <w:i/>
          <w:highlight w:val="white"/>
        </w:rPr>
        <w:t xml:space="preserve">*</w:t>
      </w:r>
      <w:r>
        <w:rPr>
          <w:color w:val="000000"/>
          <w:sz w:val="20"/>
          <w:szCs w:val="20"/>
          <w:highlight w:val="white"/>
        </w:rPr>
        <w:t xml:space="preserve">Заполнено </w:t>
      </w:r>
      <w:r>
        <w:rPr>
          <w:color w:val="000000"/>
          <w:sz w:val="20"/>
          <w:szCs w:val="20"/>
          <w:highlight w:val="white"/>
        </w:rPr>
        <w:t xml:space="preserve">по данным отчетной формы 0409805</w:t>
      </w:r>
      <w:r>
        <w:rPr>
          <w:color w:val="000000"/>
          <w:sz w:val="20"/>
          <w:szCs w:val="20"/>
          <w:highlight w:val="white"/>
        </w:rPr>
        <w:t xml:space="preserve"> без учета СПОД (событий после отчетной даты).</w:t>
      </w:r>
      <w:r>
        <w:rPr>
          <w:color w:val="000000"/>
          <w:sz w:val="20"/>
          <w:szCs w:val="20"/>
          <w:highlight w:val="white"/>
        </w:rPr>
      </w:r>
      <w:r>
        <w:rPr>
          <w:color w:val="000000"/>
          <w:sz w:val="20"/>
          <w:szCs w:val="20"/>
          <w:highlight w:val="white"/>
        </w:rPr>
      </w:r>
    </w:p>
    <w:p>
      <w:pPr>
        <w:ind w:firstLine="709"/>
        <w:jc w:val="both"/>
        <w:rPr>
          <w:rFonts w:asciiTheme="minorHAnsi" w:hAnsiTheme="minorHAnsi"/>
          <w:b/>
          <w:i/>
          <w:highlight w:val="white"/>
        </w:rPr>
      </w:pPr>
      <w:r>
        <w:rPr>
          <w:rFonts w:asciiTheme="minorHAnsi" w:hAnsiTheme="minorHAnsi"/>
          <w:b/>
          <w:i/>
          <w:highlight w:val="white"/>
        </w:rPr>
      </w:r>
      <w:r>
        <w:rPr>
          <w:rFonts w:asciiTheme="minorHAnsi" w:hAnsiTheme="minorHAnsi"/>
          <w:b/>
          <w:i/>
          <w:highlight w:val="white"/>
        </w:rPr>
      </w:r>
      <w:r>
        <w:rPr>
          <w:rFonts w:asciiTheme="minorHAnsi" w:hAnsiTheme="minorHAnsi"/>
          <w:b/>
          <w:i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2.2.4. Иные финансовые показатели, в том числе характеризующие финансовые результаты деятельности эмитента (гр</w:t>
      </w:r>
      <w:r>
        <w:rPr>
          <w:b/>
          <w:highlight w:val="white"/>
        </w:rPr>
        <w:t xml:space="preserve">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эмитента).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Иных финансовых показателей, в том числе характеризующие финансовые результаты деятельности эмитента (группы</w:t>
      </w:r>
      <w:r>
        <w:rPr>
          <w:highlight w:val="white"/>
        </w:rPr>
        <w:t xml:space="preserve">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эмитента), нет.</w:t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2.2.5. Анализ динамики изменения финансовых показателей, приведенных в </w:t>
      </w:r>
      <w:hyperlink r:id="rId19" w:tooltip="https://login.consultant.ru/link/?req=doc&amp;base=LAW&amp;n=440052&amp;dst=414" w:history="1">
        <w:r>
          <w:rPr>
            <w:b/>
            <w:highlight w:val="white"/>
          </w:rPr>
          <w:t xml:space="preserve">подпункте </w:t>
        </w:r>
      </w:hyperlink>
      <w:r>
        <w:rPr>
          <w:b/>
          <w:highlight w:val="white"/>
        </w:rPr>
        <w:t xml:space="preserve">2.2.3 настоящего пункта.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Процентные доходы в 2023 году выросли на 70 98</w:t>
      </w:r>
      <w:r>
        <w:rPr>
          <w:highlight w:val="white"/>
        </w:rPr>
        <w:t xml:space="preserve">9 </w:t>
      </w:r>
      <w:r>
        <w:rPr>
          <w:highlight w:val="white"/>
        </w:rPr>
        <w:t xml:space="preserve">млн. рублей, что на 19,8% больше значения в 2022 году. Основной рост процентных доходов связан с увеличением кредитного портфеля и процентного дохода по кредитному портфелю на 57 022 млн. рублей (+19,6%) по сравнению с аналогичным показателем за 2022 год. 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роцентные доходы в 2024 году составили 697 415 млн. рублей и  значительно,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268 287 млн.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62,5%), выросли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сравнению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2023 годом.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Основной рост процентных доходов связан с увеличением кредитного портфеля и процентного дохода по креди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ому портфелю на 193 217 млн.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ублей (+55,6%) по сравнению с аналогичными показателями за 2023 год.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Процентные доходы за 3 месяца 2025 года выросли на 68 715 млн. рублей, что на 47,9% больше, значения аналогичного</w:t>
      </w:r>
      <w:r>
        <w:rPr>
          <w:highlight w:val="white"/>
        </w:rPr>
        <w:t xml:space="preserve"> показателя за 3 месяца 2024 года.</w:t>
      </w:r>
      <w:r>
        <w:rPr>
          <w:highlight w:val="white"/>
        </w:rPr>
        <w:t xml:space="preserve"> Основной рост процентных доходов связан с увеличением кредитного портфеля и процентного дохода по кредитному портфелю на 61 476 млн. рублей (+54,4%) по сравнению с аналогичным показателем за 3 месяца 2024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ff0000"/>
          <w:highlight w:val="white"/>
        </w:rPr>
      </w:pPr>
      <w:r>
        <w:rPr>
          <w:highlight w:val="white"/>
        </w:rPr>
        <w:t xml:space="preserve">Процентные расходы в 2023 году незначительно, на 14 353 млн. рублей (+5,2%), выросли по сравнению с 2022 годом. Рост процентных расходов связан с увеличением </w:t>
      </w:r>
      <w:r>
        <w:rPr>
          <w:bCs/>
          <w:highlight w:val="white"/>
        </w:rPr>
        <w:t xml:space="preserve">прочих процентных расходов на 18 755 </w:t>
      </w:r>
      <w:r>
        <w:rPr>
          <w:highlight w:val="white"/>
        </w:rPr>
        <w:t xml:space="preserve">млн. рублей (+78,9%). По сравнению с 2022 годом процентные расходы по срочным депозитам юридических лиц увеличились на 20 703 млн. рублей (+19,4%).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Процентные расходы в 2024 году значительно, на 263 127 млн. рублей (+90,7%), выросли по сравнению с 2023 годом и составили 553 260 млн.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Значительный рост процентных расходов связан с увеличением процентных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расходов по срочным депозитам юридических и физических лиц на 206 830 млн. рублей (+94,5%) и прочих процентных расходов на 51 376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рублей (+120,8%).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Процентные расходы за </w:t>
      </w:r>
      <w:r>
        <w:rPr>
          <w:highlight w:val="white"/>
        </w:rPr>
        <w:t xml:space="preserve">3 месяца 2025</w:t>
      </w:r>
      <w:r>
        <w:rPr>
          <w:highlight w:val="white"/>
        </w:rPr>
        <w:t xml:space="preserve"> года значительно, на 68 255 млн. рублей (+62,2%) выросли, по сравнению с данными за 3 месяца 2024 года. Р</w:t>
      </w:r>
      <w:r>
        <w:rPr>
          <w:highlight w:val="white"/>
        </w:rPr>
        <w:t xml:space="preserve">ост процентных расходов в основном связа</w:t>
      </w:r>
      <w:r>
        <w:rPr>
          <w:highlight w:val="white"/>
        </w:rPr>
        <w:t xml:space="preserve">н с увеличением объема срочных вкладов, привлеченных от юридических и физических лиц.</w:t>
      </w:r>
      <w:r>
        <w:rPr>
          <w:highlight w:val="white"/>
        </w:rPr>
        <w:t xml:space="preserve"> По сравнению с аналогичным отчетным периодом прошлого года процентные расходы по срочным вкладам юридических лиц увеличились на 11 574 млн. рублей (+23,6%),</w:t>
      </w:r>
      <w:r>
        <w:rPr>
          <w:highlight w:val="white"/>
        </w:rPr>
        <w:t xml:space="preserve"> физических ли</w:t>
      </w:r>
      <w:r>
        <w:rPr>
          <w:highlight w:val="white"/>
        </w:rPr>
        <w:t xml:space="preserve">ц - на 35 800 млн. рублей (+100,8</w:t>
      </w:r>
      <w:r>
        <w:rPr>
          <w:highlight w:val="white"/>
        </w:rPr>
        <w:t xml:space="preserve">%).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Расходы по кредитным убыткам по итогам 2023 года увеличились на 5 032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(+12,0%) по сравнению с аналогичным показателем по итогам 2022 года и составили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47 058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млн. руб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Расходы по кредитным убыткам по итогам 2024 года сократились на 14 082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млн.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(-29,9%) по сравнению с аналогичным показателем по итогам 2023 года и составили 32 976 млн.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</w:t>
      </w:r>
      <w:r>
        <w:rPr>
          <w:highlight w:val="white"/>
        </w:rPr>
        <w:t xml:space="preserve">осстановление </w:t>
      </w:r>
      <w:r>
        <w:rPr>
          <w:highlight w:val="white"/>
        </w:rPr>
        <w:t xml:space="preserve">р</w:t>
      </w:r>
      <w:r>
        <w:rPr>
          <w:highlight w:val="white"/>
        </w:rPr>
        <w:t xml:space="preserve">асход</w:t>
      </w:r>
      <w:r>
        <w:rPr>
          <w:highlight w:val="white"/>
        </w:rPr>
        <w:t xml:space="preserve">ов</w:t>
      </w:r>
      <w:r>
        <w:rPr>
          <w:highlight w:val="white"/>
        </w:rPr>
        <w:t xml:space="preserve"> по кредитным убыткам по итогам 3 месяцев 2025 года </w:t>
      </w:r>
      <w:r>
        <w:rPr>
          <w:highlight w:val="white"/>
        </w:rPr>
        <w:t xml:space="preserve">составило 5 547 млн. рублей, что на </w:t>
      </w:r>
      <w:r>
        <w:rPr>
          <w:highlight w:val="white"/>
        </w:rPr>
        <w:t xml:space="preserve">7 908 млн. рублей больше</w:t>
      </w:r>
      <w:r>
        <w:rPr>
          <w:highlight w:val="white"/>
        </w:rPr>
        <w:t xml:space="preserve"> расходов по кредитным убыткам </w:t>
      </w:r>
      <w:r>
        <w:rPr>
          <w:highlight w:val="white"/>
        </w:rPr>
        <w:t xml:space="preserve">за </w:t>
      </w:r>
      <w:r>
        <w:rPr>
          <w:highlight w:val="white"/>
        </w:rPr>
        <w:t xml:space="preserve">3 месяцев 2024 года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Операционные доходы Банка в 2023 году значительно, на 34 845 млн. рублей (+40,4%), выросли по сравнению с 2022 годом. Прирост операционного дохода </w:t>
      </w:r>
      <w:r>
        <w:rPr>
          <w:highlight w:val="white"/>
        </w:rPr>
        <w:t xml:space="preserve">и снижение расходов по кредитным убыткам (на 5 032 млн. рублей)</w:t>
      </w:r>
      <w:r>
        <w:rPr>
          <w:highlight w:val="white"/>
        </w:rPr>
        <w:t xml:space="preserve"> обеспечило значительный рост чистого процентного дохода (ЧПД), в 2023 году ЧПД вырос на 50 603 млн. рублей (в 2,6 раза), с 31 557  млн. рублей до 82 160 млн. рублей.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Операционные доходы в 2024 году выросли на 15 434 млн. рублей (+12,7%), по сравнению с 2023 годом и составили 136 593 млн.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 Прирост операционного дохода обеспечил значительный рост чистого процентного дохода (ЧПД), в 2024 году ЧПД вырос на 17 488 млн. рублей (+21,3%).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Операционные доходы Банка за 3 месяца 2025 г. составили</w:t>
      </w:r>
      <w:r>
        <w:rPr>
          <w:highlight w:val="white"/>
        </w:rPr>
        <w:t xml:space="preserve"> 46 603 млн. рублей, что превышает на </w:t>
      </w:r>
      <w:r>
        <w:rPr>
          <w:highlight w:val="white"/>
        </w:rPr>
        <w:t xml:space="preserve">11 625</w:t>
      </w:r>
      <w:r>
        <w:rPr>
          <w:highlight w:val="white"/>
        </w:rPr>
        <w:t xml:space="preserve"> </w:t>
      </w:r>
      <w:r>
        <w:rPr>
          <w:highlight w:val="white"/>
        </w:rPr>
        <w:t xml:space="preserve">млн. рублей (+33</w:t>
      </w:r>
      <w:r>
        <w:rPr>
          <w:highlight w:val="white"/>
        </w:rPr>
        <w:t xml:space="preserve">,2</w:t>
      </w:r>
      <w:r>
        <w:rPr>
          <w:highlight w:val="white"/>
        </w:rPr>
        <w:t xml:space="preserve">%) значение данного показателя за сопоставимый период прошлого года. Прирост операционного дохода обеспечил рост чистого процентного дохода (ЧПД), по сравнению с 3 месяцами 2024 года ЧПД вырос на 7 961 млн. рублей (+27,8%).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Чистые комиссионные доходы в 2023-2024 годах не претерпевали значительных изменений. В 2023 году незначительно снизились на 1 510 млн. рублей (-6,5%), в 2024 году </w:t>
      </w:r>
      <w:r>
        <w:rPr>
          <w:highlight w:val="white"/>
        </w:rPr>
        <w:t xml:space="preserve">незначительно увеличились на 683 млн. рублей (+3,2%)</w:t>
      </w:r>
      <w:r>
        <w:rPr>
          <w:highlight w:val="white"/>
        </w:rPr>
        <w:t xml:space="preserve">. 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За 3 месяца 2025 года ч</w:t>
      </w:r>
      <w:r>
        <w:rPr>
          <w:highlight w:val="white"/>
        </w:rPr>
        <w:t xml:space="preserve">истые комиссионные доходы увеличились и с</w:t>
      </w:r>
      <w:r>
        <w:rPr>
          <w:highlight w:val="white"/>
        </w:rPr>
        <w:t xml:space="preserve">оставили 5 735 млн. рублей, что на 900 млн. рублей (+18,6%) больше значения данного показателя за                3 месяца 2024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итогам 2023 года чистая процентная маржа составила </w:t>
      </w:r>
      <w:r>
        <w:rPr>
          <w:highlight w:val="white"/>
        </w:rPr>
        <w:t xml:space="preserve">2,9%, что на 100</w:t>
      </w:r>
      <w:r>
        <w:rPr>
          <w:highlight w:val="white"/>
        </w:rPr>
        <w:t xml:space="preserve"> базисных пунктов выше аналогичного показателя за 2022 год, что связанно со значительным ростом чистых процентных доходов.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итогам 2024 года чистая процентная маржа составила 2,7%, что на 20 базисных пунктов ниже аналогичного показателя за 2023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За 3 месяца 2025 года чистая процентная маржа не претерпела значительных изменений и составила 2,4%, что на 30  базисных пунктов ниже аналогичного показателя за 3 месяца 2024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ff0000"/>
          <w:highlight w:val="white"/>
        </w:rPr>
      </w:pPr>
      <w:r>
        <w:rPr>
          <w:highlight w:val="white"/>
        </w:rPr>
        <w:t xml:space="preserve">В 2023 году </w:t>
      </w:r>
      <w:r>
        <w:rPr>
          <w:highlight w:val="white"/>
        </w:rPr>
        <w:t xml:space="preserve">показатель стоимости риска (COR</w:t>
      </w:r>
      <w:r>
        <w:rPr>
          <w:highlight w:val="white"/>
        </w:rPr>
        <w:t xml:space="preserve">) </w:t>
      </w:r>
      <w:r>
        <w:rPr>
          <w:highlight w:val="white"/>
        </w:rPr>
        <w:t xml:space="preserve">остался на уровне 2022 года и составил 1,2%.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итогам 2024 года </w:t>
      </w:r>
      <w:r>
        <w:rPr>
          <w:highlight w:val="white"/>
        </w:rPr>
        <w:t xml:space="preserve">показатель стоимости риска (COR</w:t>
      </w:r>
      <w:r>
        <w:rPr>
          <w:highlight w:val="white"/>
        </w:rPr>
        <w:t xml:space="preserve">) уменьшился на </w:t>
      </w:r>
      <w:r>
        <w:rPr>
          <w:highlight w:val="white"/>
        </w:rPr>
        <w:t xml:space="preserve">4</w:t>
      </w:r>
      <w:r>
        <w:rPr>
          <w:highlight w:val="white"/>
        </w:rPr>
        <w:t xml:space="preserve">0 базисных пунктов по сравнению со значением данного показателя за 2023 год</w:t>
      </w:r>
      <w:r>
        <w:rPr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а</w:t>
      </w:r>
      <w:r>
        <w:rPr>
          <w:highlight w:val="white"/>
        </w:rPr>
        <w:t xml:space="preserve">в</w:t>
      </w:r>
      <w:r>
        <w:rPr>
          <w:highlight w:val="white"/>
        </w:rPr>
        <w:t xml:space="preserve">и</w:t>
      </w:r>
      <w:r>
        <w:rPr>
          <w:highlight w:val="white"/>
        </w:rPr>
        <w:t xml:space="preserve">л</w:t>
      </w:r>
      <w:r>
        <w:rPr>
          <w:highlight w:val="white"/>
        </w:rPr>
        <w:t xml:space="preserve"> </w:t>
      </w:r>
      <w:r>
        <w:rPr>
          <w:highlight w:val="white"/>
        </w:rPr>
        <w:t xml:space="preserve">0</w:t>
      </w:r>
      <w:r>
        <w:rPr>
          <w:highlight w:val="white"/>
        </w:rPr>
        <w:t xml:space="preserve">,8</w:t>
      </w:r>
      <w:r>
        <w:rPr>
          <w:highlight w:val="white"/>
        </w:rPr>
        <w:t xml:space="preserve">%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За 3 месяца 2025 года 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показатель стоимости риска (COR</w:t>
      </w:r>
      <w:r>
        <w:rPr>
          <w:highlight w:val="white"/>
        </w:rPr>
        <w:t xml:space="preserve">)</w:t>
      </w:r>
      <w:r>
        <w:rPr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 </w:t>
      </w:r>
      <w:r>
        <w:rPr>
          <w:highlight w:val="white"/>
        </w:rPr>
        <w:t xml:space="preserve">о</w:t>
      </w:r>
      <w:r>
        <w:rPr>
          <w:highlight w:val="white"/>
        </w:rPr>
        <w:t xml:space="preserve">т</w:t>
      </w:r>
      <w:r>
        <w:rPr>
          <w:highlight w:val="white"/>
        </w:rPr>
        <w:t xml:space="preserve">р</w:t>
      </w:r>
      <w:r>
        <w:rPr>
          <w:highlight w:val="white"/>
        </w:rPr>
        <w:t xml:space="preserve">и</w:t>
      </w:r>
      <w:r>
        <w:rPr>
          <w:highlight w:val="white"/>
        </w:rPr>
        <w:t xml:space="preserve">ц</w:t>
      </w:r>
      <w:r>
        <w:rPr>
          <w:highlight w:val="white"/>
        </w:rPr>
        <w:t xml:space="preserve">а</w:t>
      </w:r>
      <w:r>
        <w:rPr>
          <w:highlight w:val="white"/>
        </w:rPr>
        <w:t xml:space="preserve">т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</w:t>
      </w:r>
      <w:r>
        <w:rPr>
          <w:highlight w:val="white"/>
        </w:rPr>
        <w:t xml:space="preserve">ь</w:t>
      </w:r>
      <w:r>
        <w:rPr>
          <w:highlight w:val="white"/>
        </w:rPr>
        <w:t xml:space="preserve">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н</w:t>
      </w:r>
      <w:r>
        <w:rPr>
          <w:highlight w:val="white"/>
        </w:rPr>
        <w:t xml:space="preserve">а</w:t>
      </w:r>
      <w:r>
        <w:rPr>
          <w:highlight w:val="white"/>
        </w:rPr>
        <w:t xml:space="preserve">ч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</w:t>
      </w:r>
      <w:r>
        <w:rPr>
          <w:highlight w:val="white"/>
        </w:rPr>
        <w:t xml:space="preserve">и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</w:rPr>
        <w:t xml:space="preserve">-</w:t>
      </w:r>
      <w:r>
        <w:rPr>
          <w:highlight w:val="white"/>
        </w:rPr>
        <w:t xml:space="preserve">0</w:t>
      </w:r>
      <w:r>
        <w:rPr>
          <w:highlight w:val="white"/>
        </w:rPr>
        <w:t xml:space="preserve">,5%</w:t>
      </w:r>
      <w:r>
        <w:rPr>
          <w:highlight w:val="white"/>
        </w:rPr>
        <w:t xml:space="preserve">,</w:t>
      </w:r>
      <w:r>
        <w:rPr>
          <w:highlight w:val="white"/>
        </w:rPr>
        <w:t xml:space="preserve"> что связанно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восстановлением расходов по кредитным убыткам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Рентабельность капитала за 2023 год по сравнению с 2022 годом значительно </w:t>
      </w:r>
      <w:r>
        <w:rPr>
          <w:highlight w:val="white"/>
        </w:rPr>
        <w:t xml:space="preserve">(в </w:t>
      </w:r>
      <w:r>
        <w:rPr>
          <w:highlight w:val="white"/>
        </w:rPr>
        <w:t xml:space="preserve">4</w:t>
      </w:r>
      <w:r>
        <w:rPr>
          <w:highlight w:val="white"/>
        </w:rPr>
        <w:t xml:space="preserve">,</w:t>
      </w:r>
      <w:r>
        <w:rPr>
          <w:highlight w:val="white"/>
        </w:rPr>
        <w:t xml:space="preserve">1</w:t>
      </w:r>
      <w:r>
        <w:rPr>
          <w:highlight w:val="white"/>
        </w:rPr>
        <w:t xml:space="preserve"> раза)</w:t>
      </w:r>
      <w:r>
        <w:rPr>
          <w:highlight w:val="white"/>
        </w:rPr>
        <w:t xml:space="preserve"> увеличилась, что связанно со значительным ростом чистой прибыли в отчетном периоде, и составила 11,0%.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Рентабельность капитала за 2024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составила 13,2% и значительно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220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базисных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ункта)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по сравнению с данными за 2023 год,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увеличилась,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что связанн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прибыли в отчетном периоде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итогам 3 месяцев 2025 года произошел значительный рост показателя и рентабельность капитала составила 24,4% (на 67</w:t>
      </w:r>
      <w:r>
        <w:rPr>
          <w:highlight w:val="white"/>
        </w:rPr>
        <w:t xml:space="preserve">0</w:t>
      </w:r>
      <w:r>
        <w:rPr>
          <w:highlight w:val="white"/>
        </w:rPr>
        <w:t xml:space="preserve"> базисных пунктов больше чем за 3 месяца 2024 года), что обусловлено ростом чистой прибыли </w:t>
      </w:r>
      <w:r>
        <w:rPr>
          <w:highlight w:val="white"/>
        </w:rPr>
        <w:t xml:space="preserve">и восстановлением расходов по кредитным убыткам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Чистая прибыль за 2023 год увеличилась на 24 483 млн. рублей (в 4,3 раза) и составила 31 847 млн. рублей против 7 364 млн. рублей за 2022 год. Рост чистой прибыли обусловлен значительным ростом чистых процентных доходов.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Чистая прибыль за 2024 год увеличилась на 7 978 млн. рублей (+25,1%) и составила 39 825 млн. рублей против 31 847 млн. рублей за 2023 год. Рост чистой прибыли обусловлен ростом чистых процентных доходов.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color w:val="ffc000"/>
          <w:highlight w:val="white"/>
        </w:rPr>
      </w:pPr>
      <w:r>
        <w:rPr>
          <w:highlight w:val="white"/>
        </w:rPr>
        <w:t xml:space="preserve">По итогам 3 месяцев 2025 года чистая прибыль значительно, на 6 279 млн. рублей (+46,7%), увеличилась по сравнению с аналогичным периодом 2024 года и составила                 19 726 млн. рублей.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Рост чистой прибыли обусловлен ростом чистых процентных доходов.</w:t>
      </w:r>
      <w:r>
        <w:rPr>
          <w:color w:val="ffc000"/>
          <w:highlight w:val="white"/>
        </w:rPr>
      </w:r>
      <w:r>
        <w:rPr>
          <w:color w:val="ffc000"/>
          <w:highlight w:val="whit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color w:val="ff0000"/>
          <w:highlight w:val="white"/>
        </w:rPr>
      </w:pPr>
      <w:r>
        <w:rPr>
          <w:highlight w:val="white"/>
        </w:rPr>
        <w:t xml:space="preserve">Собственные средства (капитал) Группы на 01.01.2024 года, рассчитанные в соответствии с </w:t>
      </w:r>
      <w:hyperlink r:id="rId20" w:tooltip="consultantplus://offline/ref=9AEDFF8C039E75E3A7B5597AC488A1B40066042602BCD306C6C282F52CB5F75EFD3A0BF9C666364553D38E8EF3TDC6J" w:history="1">
        <w:r>
          <w:rPr>
            <w:highlight w:val="white"/>
          </w:rPr>
          <w:t xml:space="preserve">Положением</w:t>
        </w:r>
      </w:hyperlink>
      <w:r>
        <w:rPr>
          <w:highlight w:val="white"/>
        </w:rPr>
        <w:t xml:space="preserve"> Банка России от 15.07.2020 года № 729-П увеличились по сравнению с аналогичным показателем на 01.01.2023 года на 83 816 млн. рублей (+16,9%).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Собственные средства (капитал) Группы на 01.01.2025 года, рассчитанные в соответствии с </w:t>
      </w:r>
      <w:hyperlink r:id="rId21" w:tooltip="consultantplus://offline/ref=9AEDFF8C039E75E3A7B5597AC488A1B40066042602BCD306C6C282F52CB5F75EFD3A0BF9C666364553D38E8EF3TDC6J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Положением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Банка России от 15.07.2020 года № 729-П «О методике определения собственных средств (капитала) и обязательных нормативов,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надбавок к нормативам достаточности капитала, числовых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начениях обязательных нормативов и размерах (лимитах) открытых валютных позиций банковских групп» незначительно, на             29 877 млн. рублей (-5,2%), снизились по сравнению с аналогичным показателем на 01.01.2024 года и составили 550 039 млн. рублей.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both"/>
        <w:rPr>
          <w:color w:val="ff0000"/>
          <w:highlight w:val="white"/>
        </w:rPr>
      </w:pPr>
      <w:r>
        <w:rPr>
          <w:highlight w:val="white"/>
        </w:rPr>
        <w:t xml:space="preserve">Собственные средства (капитал) Группы на 01.04.2025 года, рассчитанные в соответствии с </w:t>
      </w:r>
      <w:hyperlink r:id="rId22" w:tooltip="consultantplus://offline/ref=9AEDFF8C039E75E3A7B5597AC488A1B40066042602BCD306C6C282F52CB5F75EFD3A0BF9C666364553D38E8EF3TDC6J" w:history="1">
        <w:r>
          <w:rPr>
            <w:highlight w:val="white"/>
          </w:rPr>
          <w:t xml:space="preserve">Положением</w:t>
        </w:r>
      </w:hyperlink>
      <w:r>
        <w:rPr>
          <w:highlight w:val="white"/>
        </w:rPr>
        <w:t xml:space="preserve"> Банка России от 15.07.2020 года № 729-П сократились по сравнению с аналогичным показателем на 01.04.2024 года на 54 784 млн. рублей (-9,2%).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b/>
          <w:i/>
          <w:highlight w:val="white"/>
        </w:rPr>
        <w:t xml:space="preserve">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</w:t>
      </w:r>
      <w:r>
        <w:rPr>
          <w:i/>
          <w:highlight w:val="white"/>
        </w:rPr>
        <w:t xml:space="preserve">: 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Значительное влияние на изменение основных финансовых показателей группы Банка, с учетом значительной доли субсидируемых кредитов, в течение 2022-2024 гг. оказывала динамика ключевой ставки, а также меры поддержки Правительства России, способст</w:t>
      </w:r>
      <w:r>
        <w:rPr>
          <w:highlight w:val="white"/>
        </w:rPr>
        <w:t xml:space="preserve">во</w:t>
      </w:r>
      <w:r>
        <w:rPr>
          <w:highlight w:val="white"/>
        </w:rPr>
        <w:t xml:space="preserve">вавшие непрерывному снижению доли не</w:t>
      </w:r>
      <w:r>
        <w:rPr>
          <w:highlight w:val="white"/>
        </w:rPr>
        <w:t xml:space="preserve">работающих</w:t>
      </w:r>
      <w:r>
        <w:rPr>
          <w:highlight w:val="white"/>
        </w:rPr>
        <w:t xml:space="preserve"> активов в отрасли АПК.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2022 г. банковская система России подверглась серьезным вызовам по целому ряду направлений: отключение от СВИФТ и введенные западны</w:t>
      </w:r>
      <w:r>
        <w:rPr>
          <w:highlight w:val="white"/>
        </w:rPr>
        <w:t xml:space="preserve">е санкции в отношении крупнейших российских банков, снижение котировок ценных бумаг, отток средств клиентов, повышенный спрос на наличную иностранную валюту. В тоже время, финансовое положение отрасли АПК характеризовалась сохранением высокой рентабельност</w:t>
      </w:r>
      <w:r>
        <w:rPr>
          <w:highlight w:val="white"/>
        </w:rPr>
        <w:t xml:space="preserve">ью</w:t>
      </w:r>
      <w:r>
        <w:rPr>
          <w:highlight w:val="white"/>
        </w:rPr>
        <w:t xml:space="preserve"> бизнеса вследствие существенного роста цен реализации товаров.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Низкая стоимость риска и меры по сокращению затрат позволили Банку сохранить в 2022 г. положительную рентабельность, несмотря на снижение чистой процентной маржи и чистых комиссионных доходов.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2023-2024 гг. чистая прибыль </w:t>
      </w:r>
      <w:r>
        <w:rPr>
          <w:highlight w:val="white"/>
        </w:rPr>
        <w:t xml:space="preserve">Б</w:t>
      </w:r>
      <w:r>
        <w:rPr>
          <w:highlight w:val="white"/>
        </w:rPr>
        <w:t xml:space="preserve">анка превысила показатель 2021</w:t>
      </w:r>
      <w:r>
        <w:rPr>
          <w:highlight w:val="white"/>
        </w:rPr>
        <w:t xml:space="preserve"> г. на 43% и 76% соответственно.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Рентабельность капитала увеличилась д</w:t>
      </w:r>
      <w:r>
        <w:rPr>
          <w:highlight w:val="white"/>
        </w:rPr>
        <w:t xml:space="preserve">о 11% и 1</w:t>
      </w:r>
      <w:r>
        <w:rPr>
          <w:highlight w:val="white"/>
        </w:rPr>
        <w:t xml:space="preserve">3,2</w:t>
      </w:r>
      <w:r>
        <w:rPr>
          <w:highlight w:val="white"/>
        </w:rPr>
        <w:t xml:space="preserve">% соответственно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rPr>
          <w:highlight w:val="white"/>
        </w:rPr>
        <w:t xml:space="preserve">осту доходов также способствовали продолжающийся с середины 2023 г. цикл повышения ключевой ставки, а также минимальная - вследствие выбран</w:t>
      </w:r>
      <w:r>
        <w:rPr>
          <w:highlight w:val="white"/>
        </w:rPr>
        <w:t xml:space="preserve">ной банком стратегии - с 2021 г</w:t>
      </w:r>
      <w:r>
        <w:rPr>
          <w:highlight w:val="white"/>
        </w:rPr>
        <w:t xml:space="preserve">ода</w:t>
      </w:r>
      <w:r>
        <w:rPr>
          <w:highlight w:val="white"/>
        </w:rPr>
        <w:t xml:space="preserve"> стоимость риска, несмотря на первые признаки ухудшения качества кредитного портфеля по банковской системе в целом.  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</w:rPr>
      </w:pPr>
      <w:r>
        <w:rPr>
          <w:highlight w:val="white"/>
        </w:rPr>
        <w:t xml:space="preserve">Рост ключевой ставки способствовал росту процентного дохода по причине высокой доли субсидируемых кредитов по плавающей ставке</w:t>
      </w:r>
      <w:r>
        <w:rPr>
          <w:highlight w:val="white"/>
        </w:rPr>
        <w:t xml:space="preserve">, в том числе сектора АПК. Рост процентных расходов и расходов на страхование вкладов при этом носил опережающий характер вследствие более существенного, чем изменение ключевой ставки, роста депозитных ставок в рублях для юридических лиц и физических лиц. 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</w:rPr>
      </w:pPr>
      <w:r>
        <w:rPr>
          <w:highlight w:val="white"/>
        </w:rPr>
        <w:t xml:space="preserve">Увеличению прибыли в существенной степени способствовали рост доходов от валютной переоценки вследствие ослабления рубля в течение 2024 г. и снижение расходов от кредитных убытков.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</w:rPr>
      </w:pPr>
      <w:r>
        <w:rPr>
          <w:highlight w:val="white"/>
        </w:rPr>
        <w:t xml:space="preserve">В </w:t>
      </w:r>
      <w:r>
        <w:rPr>
          <w:highlight w:val="white"/>
        </w:rPr>
        <w:t xml:space="preserve">1 квартале 2025 года </w:t>
      </w:r>
      <w:r>
        <w:rPr>
          <w:highlight w:val="white"/>
        </w:rPr>
        <w:t xml:space="preserve">Банк показал рост прибыли на </w:t>
      </w:r>
      <w:r>
        <w:rPr>
          <w:highlight w:val="white"/>
        </w:rPr>
        <w:t xml:space="preserve">4</w:t>
      </w:r>
      <w:r>
        <w:rPr>
          <w:highlight w:val="white"/>
        </w:rPr>
        <w:t xml:space="preserve">6,</w:t>
      </w:r>
      <w:r>
        <w:rPr>
          <w:highlight w:val="white"/>
        </w:rPr>
        <w:t xml:space="preserve">7% </w:t>
      </w:r>
      <w:r>
        <w:rPr>
          <w:highlight w:val="white"/>
        </w:rPr>
        <w:t xml:space="preserve">по сравнению с аналогичным показателем предыдущего года</w:t>
      </w:r>
      <w:r>
        <w:rPr>
          <w:highlight w:val="white"/>
        </w:rPr>
        <w:t xml:space="preserve">. Динамика была </w:t>
      </w:r>
      <w:r>
        <w:rPr>
          <w:highlight w:val="white"/>
        </w:rPr>
        <w:t xml:space="preserve">обусловлен</w:t>
      </w:r>
      <w:r>
        <w:rPr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восстановлением резервов</w:t>
      </w:r>
      <w:r>
        <w:rPr>
          <w:highlight w:val="white"/>
        </w:rPr>
        <w:t xml:space="preserve">, ростом </w:t>
      </w:r>
      <w:r>
        <w:rPr>
          <w:highlight w:val="white"/>
        </w:rPr>
        <w:t xml:space="preserve">чистых </w:t>
      </w:r>
      <w:r>
        <w:rPr>
          <w:highlight w:val="white"/>
        </w:rPr>
        <w:t xml:space="preserve">комиссионны</w:t>
      </w:r>
      <w:r>
        <w:rPr>
          <w:highlight w:val="white"/>
        </w:rPr>
        <w:t xml:space="preserve">х </w:t>
      </w:r>
      <w:r>
        <w:rPr>
          <w:highlight w:val="white"/>
        </w:rPr>
        <w:t xml:space="preserve">доходов и </w:t>
      </w:r>
      <w:r>
        <w:rPr>
          <w:highlight w:val="white"/>
        </w:rPr>
        <w:t xml:space="preserve">увеличением кредитного портфеля</w:t>
      </w:r>
      <w:r>
        <w:rPr>
          <w:highlight w:val="white"/>
        </w:rPr>
        <w:t xml:space="preserve"> на фоне снижения чистой процентной маржи</w:t>
      </w:r>
      <w:r>
        <w:rPr>
          <w:highlight w:val="white"/>
        </w:rPr>
        <w:t xml:space="preserve">. Укрепление рубля оказало умеренное негативное </w:t>
      </w:r>
      <w:r>
        <w:rPr>
          <w:highlight w:val="white"/>
        </w:rPr>
        <w:t xml:space="preserve">влияние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highlight w:val="white"/>
          <w:u w:val="single"/>
        </w:rPr>
      </w:pPr>
      <w:r>
        <w:rPr>
          <w:highlight w:val="white"/>
        </w:rPr>
      </w:r>
      <w:r>
        <w:rPr>
          <w:b/>
          <w:bCs/>
          <w:iCs/>
          <w:highlight w:val="white"/>
          <w:u w:val="single"/>
        </w:rPr>
        <w:t xml:space="preserve">Поскольку Банк не имеет подконтрольных организаций, имеющих для него существенное значение, информация по п. </w:t>
      </w:r>
      <w:r>
        <w:rPr>
          <w:b/>
          <w:bCs/>
          <w:iCs/>
          <w:highlight w:val="white"/>
          <w:u w:val="single"/>
        </w:rPr>
        <w:t xml:space="preserve">2.3</w:t>
      </w:r>
      <w:r>
        <w:rPr>
          <w:b/>
          <w:bCs/>
          <w:iCs/>
          <w:highlight w:val="white"/>
          <w:u w:val="single"/>
        </w:rPr>
        <w:t xml:space="preserve">, </w:t>
      </w:r>
      <w:r>
        <w:rPr>
          <w:b/>
          <w:bCs/>
          <w:iCs/>
          <w:highlight w:val="white"/>
          <w:u w:val="single"/>
        </w:rPr>
        <w:t xml:space="preserve">2.4, 2</w:t>
      </w:r>
      <w:r>
        <w:rPr>
          <w:b/>
          <w:bCs/>
          <w:iCs/>
          <w:highlight w:val="white"/>
          <w:u w:val="single"/>
        </w:rPr>
        <w:t xml:space="preserve">.</w:t>
      </w:r>
      <w:r>
        <w:rPr>
          <w:b/>
          <w:bCs/>
          <w:iCs/>
          <w:highlight w:val="white"/>
          <w:u w:val="single"/>
        </w:rPr>
        <w:t xml:space="preserve">5.1</w:t>
      </w:r>
      <w:r>
        <w:rPr>
          <w:b/>
          <w:bCs/>
          <w:iCs/>
          <w:highlight w:val="white"/>
          <w:u w:val="single"/>
        </w:rPr>
        <w:t xml:space="preserve"> -</w:t>
      </w:r>
      <w:r>
        <w:rPr>
          <w:b/>
          <w:bCs/>
          <w:iCs/>
          <w:highlight w:val="white"/>
          <w:u w:val="single"/>
        </w:rPr>
        <w:t xml:space="preserve"> 2</w:t>
      </w:r>
      <w:r>
        <w:rPr>
          <w:b/>
          <w:bCs/>
          <w:iCs/>
          <w:highlight w:val="white"/>
          <w:u w:val="single"/>
        </w:rPr>
        <w:t xml:space="preserve">.</w:t>
      </w:r>
      <w:r>
        <w:rPr>
          <w:b/>
          <w:bCs/>
          <w:iCs/>
          <w:highlight w:val="white"/>
          <w:u w:val="single"/>
        </w:rPr>
        <w:t xml:space="preserve">5</w:t>
      </w:r>
      <w:r>
        <w:rPr>
          <w:b/>
          <w:bCs/>
          <w:iCs/>
          <w:highlight w:val="white"/>
          <w:u w:val="single"/>
        </w:rPr>
        <w:t xml:space="preserve">.3 раскрывается в отношении Банка на основе бухгалтерской (финансовой) отчетности.</w:t>
      </w:r>
      <w:r>
        <w:rPr>
          <w:b/>
          <w:bCs/>
          <w:highlight w:val="white"/>
          <w:u w:val="single"/>
        </w:rPr>
      </w:r>
      <w:r>
        <w:rPr>
          <w:b/>
          <w:bCs/>
          <w:highlight w:val="white"/>
          <w:u w:val="singl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3" w:name="Par154"/>
      <w:r>
        <w:rPr>
          <w:highlight w:val="white"/>
        </w:rPr>
      </w:r>
      <w:bookmarkEnd w:id="3"/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highlight w:val="white"/>
        </w:rPr>
        <w:t xml:space="preserve">2.3</w:t>
      </w:r>
      <w:r>
        <w:rPr>
          <w:b/>
          <w:highlight w:val="white"/>
        </w:rPr>
        <w:t xml:space="preserve">. Сведения об основных по</w:t>
      </w:r>
      <w:r>
        <w:rPr>
          <w:b/>
          <w:highlight w:val="white"/>
        </w:rPr>
        <w:t xml:space="preserve">ставщиках </w:t>
      </w:r>
      <w:r>
        <w:rPr>
          <w:b/>
          <w:highlight w:val="white"/>
        </w:rPr>
        <w:t xml:space="preserve">эмитента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об основных поставщиках </w:t>
      </w:r>
      <w:r>
        <w:rPr>
          <w:b/>
          <w:i/>
          <w:highlight w:val="white"/>
        </w:rPr>
        <w:t xml:space="preserve">Э</w:t>
      </w:r>
      <w:r>
        <w:rPr>
          <w:b/>
          <w:i/>
          <w:highlight w:val="white"/>
        </w:rPr>
        <w:t xml:space="preserve">митента, объеме и (или) доле поставок которые в объеме поставок сырья и товаров (работ, услуг) имеет существенное значение</w:t>
      </w:r>
      <w:r>
        <w:rPr>
          <w:b/>
          <w:i/>
          <w:highlight w:val="white"/>
        </w:rPr>
        <w:t xml:space="preserve"> в </w:t>
      </w:r>
      <w:r>
        <w:rPr>
          <w:b/>
          <w:i/>
          <w:highlight w:val="white"/>
        </w:rPr>
        <w:t xml:space="preserve">2022, 2023, 2024 гг. и на 01.04.2025</w:t>
      </w:r>
      <w:r>
        <w:rPr>
          <w:b/>
          <w:i/>
          <w:highlight w:val="white"/>
        </w:rPr>
        <w:t xml:space="preserve">: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Определенный Эмитентом уровень (количественный критерий) существенности объема и (или) доли поставок основного поставщика, составляет 10 процентов от общего объема поставок сырья и товаров (работ, услуг).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Поставщики, </w:t>
      </w:r>
      <w:r>
        <w:rPr>
          <w:highlight w:val="white"/>
        </w:rPr>
        <w:t xml:space="preserve">объем и (или) доля поставок которых в объеме поставок сырья и товаров (работ, услуг) превышает 10% от общего объема, </w:t>
      </w:r>
      <w:r>
        <w:rPr>
          <w:highlight w:val="white"/>
        </w:rPr>
        <w:t xml:space="preserve">имеющие</w:t>
      </w:r>
      <w:r>
        <w:rPr>
          <w:highlight w:val="white"/>
        </w:rPr>
        <w:t xml:space="preserve"> существенное значение </w:t>
      </w:r>
      <w:r>
        <w:rPr>
          <w:highlight w:val="white"/>
        </w:rPr>
        <w:t xml:space="preserve">для Эмитента,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4</w:t>
      </w:r>
      <w:r>
        <w:rPr>
          <w:b/>
          <w:highlight w:val="white"/>
        </w:rPr>
        <w:t xml:space="preserve">. Сведения об основных дебиторах эмитента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pacing w:before="240"/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об основных дебиторах </w:t>
      </w:r>
      <w:r>
        <w:rPr>
          <w:b/>
          <w:i/>
          <w:highlight w:val="white"/>
        </w:rPr>
        <w:t xml:space="preserve">э</w:t>
      </w:r>
      <w:r>
        <w:rPr>
          <w:b/>
          <w:i/>
          <w:highlight w:val="white"/>
        </w:rPr>
        <w:t xml:space="preserve">митента, доля задолженности которых в объеме дебиторской задолженности имеет для </w:t>
      </w:r>
      <w:r>
        <w:rPr>
          <w:b/>
          <w:i/>
          <w:highlight w:val="white"/>
        </w:rPr>
        <w:t xml:space="preserve">эмитента существенное значение</w:t>
      </w:r>
      <w:r>
        <w:rPr>
          <w:b/>
          <w:i/>
          <w:highlight w:val="white"/>
        </w:rPr>
        <w:t xml:space="preserve"> в </w:t>
      </w:r>
      <w:r>
        <w:rPr>
          <w:b/>
          <w:i/>
          <w:highlight w:val="white"/>
        </w:rPr>
        <w:t xml:space="preserve">2022, 2023, 2024 гг. и на 01.04.2025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Определенный Эмитентом уровень существенности дебиторской задолженности, приходящейся на долю основного дебитора, составляет 10 процентов от общей суммы дебиторской задолженности на дату окончания соответствующего отчетного периода.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Дебиторы</w:t>
      </w:r>
      <w:r>
        <w:rPr>
          <w:highlight w:val="white"/>
        </w:rPr>
        <w:t xml:space="preserve">, </w:t>
      </w:r>
      <w:r>
        <w:rPr>
          <w:highlight w:val="white"/>
        </w:rPr>
        <w:t xml:space="preserve">требования к которым превышают 10% от общей суммы дебиторской задолженности, </w:t>
      </w:r>
      <w:r>
        <w:rPr>
          <w:highlight w:val="white"/>
        </w:rPr>
        <w:t xml:space="preserve">имеющие существенное значение для Эмитента,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4" w:name="Par180"/>
      <w:r>
        <w:rPr>
          <w:highlight w:val="white"/>
        </w:rPr>
      </w:r>
      <w:bookmarkEnd w:id="4"/>
      <w:r>
        <w:rPr>
          <w:b/>
          <w:highlight w:val="white"/>
        </w:rPr>
        <w:t xml:space="preserve">2.5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 Сведения об обязательствах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5</w:t>
      </w:r>
      <w:r>
        <w:rPr>
          <w:b/>
          <w:highlight w:val="white"/>
        </w:rPr>
        <w:t xml:space="preserve">.1. С</w:t>
      </w:r>
      <w:r>
        <w:rPr>
          <w:b/>
          <w:highlight w:val="white"/>
        </w:rPr>
        <w:t xml:space="preserve">ведения об основных кредиторах </w:t>
      </w:r>
      <w:r>
        <w:rPr>
          <w:b/>
          <w:highlight w:val="white"/>
        </w:rPr>
        <w:t xml:space="preserve">эмитента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3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об основных кредиторах эмитента,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</w:t>
      </w:r>
      <w:r>
        <w:rPr>
          <w:b/>
          <w:i/>
          <w:highlight w:val="white"/>
        </w:rPr>
        <w:t xml:space="preserve">име</w:t>
      </w:r>
      <w:r>
        <w:rPr>
          <w:b/>
          <w:i/>
          <w:highlight w:val="white"/>
        </w:rPr>
        <w:t xml:space="preserve">ла</w:t>
      </w:r>
      <w:r>
        <w:rPr>
          <w:b/>
          <w:i/>
          <w:highlight w:val="white"/>
        </w:rPr>
        <w:t xml:space="preserve"> существенное значение</w:t>
      </w:r>
      <w:r>
        <w:rPr>
          <w:b/>
          <w:i/>
          <w:highlight w:val="white"/>
        </w:rPr>
        <w:t xml:space="preserve"> в </w:t>
      </w:r>
      <w:r>
        <w:rPr>
          <w:b/>
          <w:i/>
          <w:highlight w:val="white"/>
        </w:rPr>
        <w:t xml:space="preserve">2022, 2023, 2024 гг. и на 01.04.2025</w:t>
      </w:r>
      <w:r>
        <w:rPr>
          <w:b/>
          <w:i/>
          <w:highlight w:val="white"/>
        </w:rPr>
        <w:t xml:space="preserve">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Определенный Эмитентом уровень существенности кредиторской задолженности, приходящейся на долю основного кредитора составляет 10 процентов от общей суммы кредиторской задолженности на дату окончания соответствующего отчетного периода.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Кредиторы</w:t>
      </w:r>
      <w:r>
        <w:rPr>
          <w:highlight w:val="white"/>
        </w:rPr>
        <w:t xml:space="preserve">, </w:t>
      </w:r>
      <w:r>
        <w:rPr>
          <w:highlight w:val="white"/>
        </w:rPr>
        <w:t xml:space="preserve">требования к которым превышают 10% от общей суммы кредиторской задолженности</w:t>
      </w:r>
      <w:r>
        <w:rPr>
          <w:highlight w:val="white"/>
        </w:rPr>
        <w:t xml:space="preserve">, </w:t>
      </w:r>
      <w:r>
        <w:rPr>
          <w:highlight w:val="white"/>
        </w:rPr>
        <w:t xml:space="preserve">имеющие существенное значение для Эмитента,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5</w:t>
      </w:r>
      <w:r>
        <w:rPr>
          <w:b/>
          <w:highlight w:val="white"/>
        </w:rPr>
        <w:t xml:space="preserve">.2. Сведения об обязательствах эмитента из предоставленного обеспечения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pacing w:before="240"/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размере предоставленного эмитентом обеспечения, в том числе в форме залога, поруч</w:t>
      </w:r>
      <w:r>
        <w:rPr>
          <w:b/>
          <w:i/>
          <w:highlight w:val="white"/>
        </w:rPr>
        <w:t xml:space="preserve">ительства, независимой гарантии: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Style w:val="1208"/>
        <w:tblW w:w="8428" w:type="dxa"/>
        <w:jc w:val="center"/>
        <w:tblLook w:val="04A0" w:firstRow="1" w:lastRow="0" w:firstColumn="1" w:lastColumn="0" w:noHBand="0" w:noVBand="1"/>
      </w:tblPr>
      <w:tblGrid>
        <w:gridCol w:w="515"/>
        <w:gridCol w:w="2729"/>
        <w:gridCol w:w="1296"/>
        <w:gridCol w:w="1296"/>
        <w:gridCol w:w="1296"/>
        <w:gridCol w:w="1296"/>
      </w:tblGrid>
      <w:tr>
        <w:trPr>
          <w:jc w:val="center"/>
          <w:trHeight w:val="847"/>
        </w:trPr>
        <w:tblPrEx/>
        <w:tc>
          <w:tcPr>
            <w:tcW w:w="515" w:type="dxa"/>
            <w:noWrap w:val="false"/>
            <w:textDirection w:val="lrTb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№ пп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2729" w:type="dxa"/>
            <w:noWrap w:val="false"/>
            <w:textDirection w:val="lrTb"/>
            <w:vAlign w:val="center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Наименование показателя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184" w:type="dxa"/>
            <w:gridSpan w:val="4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Значение показателя,</w:t>
            </w:r>
            <w:r>
              <w:rPr>
                <w:b/>
                <w:highlight w:val="white"/>
                <w:lang w:val="en-US"/>
              </w:rPr>
              <w:t xml:space="preserve"> </w:t>
            </w:r>
            <w:r>
              <w:rPr>
                <w:b/>
                <w:highlight w:val="white"/>
              </w:rPr>
              <w:t xml:space="preserve">млн. руб.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15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29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01.01.202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1.01.2024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01.01.2025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01.04.2025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224"/>
        </w:trPr>
        <w:tblPrEx/>
        <w:tc>
          <w:tcPr>
            <w:tcW w:w="515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2729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Общий размер предоставленного эмитентом обеспечения, в том числе в форме залога, поруч</w:t>
            </w:r>
            <w:r>
              <w:rPr>
                <w:highlight w:val="white"/>
              </w:rPr>
              <w:t xml:space="preserve">ительства, независимой гарантии</w:t>
            </w:r>
            <w:r>
              <w:rPr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77 984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66 643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66 799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66 952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jc w:val="center"/>
        </w:trPr>
        <w:tblPrEx/>
        <w:tc>
          <w:tcPr>
            <w:tcW w:w="515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2729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 т.ч.  аккредитивы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>
          <w:jc w:val="center"/>
        </w:trPr>
        <w:tblPrEx/>
        <w:tc>
          <w:tcPr>
            <w:tcW w:w="515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2729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 т.ч.  </w:t>
            </w:r>
            <w:r>
              <w:rPr>
                <w:highlight w:val="white"/>
              </w:rPr>
              <w:t xml:space="preserve">гарантии</w:t>
            </w:r>
            <w:r>
              <w:rPr>
                <w:highlight w:val="whit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77 984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66 643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66 799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66 952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color w:val="000000"/>
          <w:sz w:val="20"/>
          <w:highlight w:val="white"/>
        </w:rPr>
      </w:pPr>
      <w:r>
        <w:rPr>
          <w:b/>
          <w:i/>
          <w:sz w:val="20"/>
          <w:highlight w:val="white"/>
        </w:rPr>
        <w:t xml:space="preserve">* </w:t>
      </w:r>
      <w:r>
        <w:rPr>
          <w:color w:val="000000"/>
          <w:sz w:val="20"/>
          <w:highlight w:val="white"/>
        </w:rPr>
        <w:t xml:space="preserve">кроме банков - кредитных организаций и ФЛ</w:t>
      </w:r>
      <w:r>
        <w:rPr>
          <w:color w:val="000000"/>
          <w:sz w:val="20"/>
          <w:highlight w:val="white"/>
        </w:rPr>
      </w:r>
      <w:r>
        <w:rPr>
          <w:color w:val="000000"/>
          <w:sz w:val="20"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Определенный Эмитентом уровень существенности размера предоставленного обеспечения составляет 10 процентов от общего размера предоставленного обеспечения на дату окончания соответствующего отчетного периода.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</w:t>
      </w:r>
      <w:r>
        <w:rPr>
          <w:b/>
          <w:i/>
          <w:highlight w:val="white"/>
        </w:rPr>
        <w:t xml:space="preserve">овершенны</w:t>
      </w:r>
      <w:r>
        <w:rPr>
          <w:b/>
          <w:i/>
          <w:highlight w:val="white"/>
        </w:rPr>
        <w:t xml:space="preserve">е</w:t>
      </w:r>
      <w:r>
        <w:rPr>
          <w:b/>
          <w:i/>
          <w:highlight w:val="white"/>
        </w:rPr>
        <w:t xml:space="preserve"> эмитентом </w:t>
      </w:r>
      <w:r>
        <w:rPr>
          <w:b/>
          <w:i/>
          <w:highlight w:val="white"/>
        </w:rPr>
        <w:t xml:space="preserve">сделки</w:t>
      </w:r>
      <w:r>
        <w:rPr>
          <w:b/>
          <w:i/>
          <w:highlight w:val="white"/>
        </w:rPr>
        <w:t xml:space="preserve"> по предоставлению такого обеспечения, имеющи</w:t>
      </w:r>
      <w:r>
        <w:rPr>
          <w:b/>
          <w:i/>
          <w:highlight w:val="white"/>
        </w:rPr>
        <w:t xml:space="preserve">е</w:t>
      </w:r>
      <w:r>
        <w:rPr>
          <w:b/>
          <w:i/>
          <w:highlight w:val="white"/>
        </w:rPr>
        <w:t xml:space="preserve"> для эмитента существенное значение</w:t>
      </w:r>
      <w:r>
        <w:rPr>
          <w:b/>
          <w:i/>
          <w:highlight w:val="white"/>
        </w:rPr>
        <w:t xml:space="preserve">: </w:t>
      </w:r>
      <w:r>
        <w:rPr>
          <w:highlight w:val="white"/>
        </w:rPr>
        <w:t xml:space="preserve">Сделки по предоставлению обеспечения, </w:t>
      </w:r>
      <w:r>
        <w:rPr>
          <w:highlight w:val="white"/>
        </w:rPr>
        <w:t xml:space="preserve">составляющие более 10% от </w:t>
      </w:r>
      <w:r>
        <w:rPr>
          <w:highlight w:val="white"/>
        </w:rPr>
        <w:t xml:space="preserve">размера, предоставленного эмитентом обеспечения,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имеющие существенное </w:t>
      </w:r>
      <w:r>
        <w:rPr>
          <w:highlight w:val="white"/>
        </w:rPr>
        <w:t xml:space="preserve">для Эмитента </w:t>
      </w:r>
      <w:r>
        <w:rPr>
          <w:highlight w:val="white"/>
        </w:rPr>
        <w:t xml:space="preserve">значение</w:t>
      </w:r>
      <w:r>
        <w:rPr>
          <w:highlight w:val="white"/>
        </w:rPr>
        <w:t xml:space="preserve">,</w:t>
      </w:r>
      <w:r>
        <w:rPr>
          <w:highlight w:val="white"/>
        </w:rPr>
        <w:t xml:space="preserve"> отсутствуют.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предоставлена на основе бухгалтерской (финансовой) отчетности Эмитента, так как прочие организации группы эмитента не предоставляют обеспечение по обязательствам третьих лиц.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5" w:name="Par209"/>
      <w:r>
        <w:rPr>
          <w:highlight w:val="white"/>
        </w:rPr>
      </w:r>
      <w:bookmarkEnd w:id="5"/>
      <w:r>
        <w:rPr>
          <w:b/>
          <w:highlight w:val="white"/>
        </w:rPr>
        <w:t xml:space="preserve">2.5</w:t>
      </w:r>
      <w:r>
        <w:rPr>
          <w:b/>
          <w:highlight w:val="white"/>
        </w:rPr>
        <w:t xml:space="preserve">.3. Сведения о прочих существенных обязательствах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Любые обязательства, которые, по мнению эмитента, могут существенным образом</w:t>
      </w:r>
      <w:r>
        <w:rPr>
          <w:b/>
          <w:bCs/>
          <w:i/>
          <w:iCs/>
          <w:highlight w:val="white"/>
        </w:rPr>
        <w:t xml:space="preserve"> воздействовать на финансовое положение эмитента,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Определенный Эмитентом уровень существенности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рочих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бязательств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составляет 10 процентов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совокупной величины всех обязательств 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Прочие о</w:t>
      </w:r>
      <w:r>
        <w:rPr>
          <w:highlight w:val="white"/>
        </w:rPr>
        <w:t xml:space="preserve">бязательства,</w:t>
      </w:r>
      <w:r>
        <w:rPr>
          <w:highlight w:val="white"/>
        </w:rPr>
        <w:t xml:space="preserve"> в том числе в части привлеченных средств клиентов, которые составляют 10 и более процентов от совокупной величины всех обязательств Банка, </w:t>
      </w:r>
      <w:r>
        <w:rPr>
          <w:highlight w:val="white"/>
        </w:rPr>
        <w:t xml:space="preserve">которые, по мнению </w:t>
      </w:r>
      <w:r>
        <w:rPr>
          <w:highlight w:val="white"/>
        </w:rPr>
        <w:t xml:space="preserve">Э</w:t>
      </w:r>
      <w:r>
        <w:rPr>
          <w:highlight w:val="white"/>
        </w:rPr>
        <w:t xml:space="preserve">митента, могут существенным образом воздействовать на финансовое положение </w:t>
      </w:r>
      <w:r>
        <w:rPr>
          <w:highlight w:val="white"/>
        </w:rPr>
        <w:t xml:space="preserve">Эмитента, отсутствуют.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2.6. Сведения об истории создания и развития эмитента, а также о его положении в отрасли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пунктам 7 и 11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пункте приводится не в полном объеме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истории создания и развития группы эмитента: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</w:t>
      </w:r>
      <w:r>
        <w:rPr>
          <w:highlight w:val="white"/>
        </w:rPr>
        <w:t xml:space="preserve">анк создан в 2000 году в соответствии с распоряжением Президента Российской Федерации от 15 марта 2000 г. № 75-рп. Банк является ключевым звеном национальной кредитно-финансовой системы обслуживания товаропроизводителей в сфере агропромышленного комплекса.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highlight w:val="white"/>
        </w:rPr>
        <w:t xml:space="preserve">Учредитель Банка - Агентство по реструктуризации кредитных организаций –      </w:t>
      </w:r>
      <w:r>
        <w:rPr>
          <w:highlight w:val="white"/>
        </w:rPr>
        <w:t xml:space="preserve">         ГК АРКО (Решение о создании Банка принято Советом директоров Агентства 21.01.2000 г.). В ходе второй дополнительной эмиссии акций Банка 1 марта 2001 г. в состав акционеров вошла Российская Федерация в лице Российского фонда федерального имущества.</w:t>
      </w:r>
      <w:r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pStyle w:val="1201"/>
        <w:spacing w:line="24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 июля 2001 г. состоялась передача акций Банка, принадлежащих ГК АРКО, Российскому фонду федерального имущества согласно распоряжению Правительства Российской Федерации от 21 марта 2001 г. № 394-р.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соответствии с постановлением Правительства Российской Федерации от                            03 декабря 2004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г. № 738 «Об управлении находящимися в федеральной собственности акциями открытых акционерных обществ и использовани</w:t>
      </w:r>
      <w:r>
        <w:rPr>
          <w:highlight w:val="white"/>
        </w:rPr>
        <w:t xml:space="preserve">и специального права на участие Российской Федерации в управлении открытыми акционерными обществами («золотой акции»)» с 10 марта 2005 г. права акционера от имени Российской Федерации осуществляет Федеральное агентство по управлению федеральным имуществом.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 основании Указа Президента Российской Федерации от 12 мая 2008 г. № 724 Федеральное агентство по управлению федеральным имуществом преобразо</w:t>
      </w:r>
      <w:r>
        <w:rPr>
          <w:highlight w:val="white"/>
        </w:rPr>
        <w:t xml:space="preserve">вано в Федеральное агентство по управлению государственным имуществом, действующее на основании постановления Правительства Российской Федерации от 5 июня 2008 г.                     № 432 «О Федеральном агентстве по управлению государственным имуществом».</w:t>
      </w:r>
      <w:r>
        <w:rPr>
          <w:highlight w:val="white"/>
        </w:rPr>
      </w:r>
    </w:p>
    <w:p>
      <w:pPr>
        <w:ind w:firstLine="709"/>
        <w:jc w:val="both"/>
        <w:outlineLvl w:val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Случаи</w:t>
      </w:r>
      <w:r>
        <w:rPr>
          <w:b/>
          <w:i/>
          <w:highlight w:val="white"/>
        </w:rPr>
        <w:t xml:space="preserve"> </w:t>
      </w:r>
      <w:r>
        <w:rPr>
          <w:b/>
          <w:bCs/>
          <w:i/>
          <w:iCs/>
          <w:highlight w:val="white"/>
        </w:rPr>
        <w:t xml:space="preserve">реорганизации </w:t>
      </w:r>
      <w:r>
        <w:rPr>
          <w:b/>
          <w:i/>
          <w:highlight w:val="white"/>
        </w:rPr>
        <w:t xml:space="preserve">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</w:t>
      </w:r>
      <w:r>
        <w:rPr>
          <w:highlight w:val="white"/>
        </w:rPr>
        <w:t xml:space="preserve">еорганизаци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</w:t>
      </w:r>
      <w:r>
        <w:rPr>
          <w:highlight w:val="white"/>
        </w:rPr>
        <w:t xml:space="preserve">Эмитента не проводилась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Случаи реорганизации подконтрольных эмитенту организаций, имеющих для него существенное значение: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не имеет подконтрольных организаций, имеющих для него существенное значение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</w:t>
      </w:r>
      <w:r>
        <w:rPr>
          <w:b/>
          <w:bCs/>
          <w:i/>
          <w:iCs/>
          <w:highlight w:val="white"/>
        </w:rPr>
        <w:t xml:space="preserve">зменения основного вида хозяйственной деятельности эмитента</w:t>
      </w:r>
      <w:r>
        <w:rPr>
          <w:b/>
          <w:bCs/>
          <w:i/>
          <w:iCs/>
          <w:highlight w:val="white"/>
        </w:rPr>
        <w:t xml:space="preserve"> в течение </w:t>
      </w:r>
      <w:r>
        <w:rPr>
          <w:b/>
          <w:bCs/>
          <w:i/>
          <w:iCs/>
          <w:highlight w:val="white"/>
        </w:rPr>
        <w:t xml:space="preserve">2022-2024 гг. и 1 кв. 2025 г.</w:t>
      </w:r>
      <w:r>
        <w:rPr>
          <w:b/>
          <w:bCs/>
          <w:i/>
          <w:iCs/>
          <w:highlight w:val="white"/>
        </w:rPr>
        <w:t xml:space="preserve">: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Отсутствуют.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bCs/>
          <w:i/>
          <w:iCs/>
          <w:highlight w:val="white"/>
        </w:rPr>
        <w:t xml:space="preserve">Изменения основного вида хозяйственной деятельности подконтрольных эмитенту организаций, имеющих для него существенное значение, в течение </w:t>
      </w:r>
      <w:r>
        <w:rPr>
          <w:b/>
          <w:bCs/>
          <w:i/>
          <w:iCs/>
          <w:highlight w:val="white"/>
        </w:rPr>
        <w:t xml:space="preserve">2022-2024 гг. и 1 кв. 2025 г.</w:t>
      </w:r>
      <w:r>
        <w:rPr>
          <w:b/>
          <w:bCs/>
          <w:i/>
          <w:iCs/>
          <w:highlight w:val="white"/>
        </w:rPr>
        <w:t xml:space="preserve">: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не имеет подконтрольных организаций, имеющих для него существенное значение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О</w:t>
      </w:r>
      <w:r>
        <w:rPr>
          <w:b/>
          <w:bCs/>
          <w:i/>
          <w:iCs/>
          <w:highlight w:val="white"/>
        </w:rPr>
        <w:t xml:space="preserve">бщая характеристика отрасли, в которой </w:t>
      </w:r>
      <w:r>
        <w:rPr>
          <w:b/>
          <w:bCs/>
          <w:i/>
          <w:iCs/>
          <w:highlight w:val="white"/>
        </w:rPr>
        <w:t xml:space="preserve">группа эмитента</w:t>
      </w:r>
      <w:r>
        <w:rPr>
          <w:b/>
          <w:bCs/>
          <w:i/>
          <w:iCs/>
          <w:highlight w:val="white"/>
        </w:rPr>
        <w:t xml:space="preserve"> осуществляет свою основную финансово-хозяйственную деятельность, сведения о темпах и основных тенденциях ее развития за </w:t>
      </w:r>
      <w:r>
        <w:rPr>
          <w:b/>
          <w:bCs/>
          <w:i/>
          <w:iCs/>
          <w:highlight w:val="white"/>
        </w:rPr>
        <w:t xml:space="preserve">2022-2024 гг. и 1 кв. 2025 г.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</w:rPr>
        <w:t xml:space="preserve">и об основных факторах, оказывающих влияние на ее состояние</w:t>
      </w:r>
      <w:r>
        <w:rPr>
          <w:b/>
          <w:bCs/>
          <w:i/>
          <w:iCs/>
          <w:highlight w:val="white"/>
        </w:rPr>
        <w:t xml:space="preserve">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2022 год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Экономика Российской Федерации, в том числе агропромышленный комплекс (АПК) и банковский сектор, в 2022 году развивались под воздействием следующих факторов:</w:t>
      </w:r>
      <w:r>
        <w:rPr>
          <w:highlight w:val="white"/>
        </w:rPr>
      </w:r>
    </w:p>
    <w:p>
      <w:pPr>
        <w:tabs>
          <w:tab w:val="left" w:pos="993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−</w:t>
      </w:r>
      <w:r>
        <w:rPr>
          <w:highlight w:val="white"/>
        </w:rPr>
        <w:tab/>
        <w:t xml:space="preserve">усложнение геополитической обстановки и введение новых санкций (наиболее критичных для банковского сектора), при постепенной адаптации экономики к нарастающему санкционному воздействию;</w:t>
      </w:r>
      <w:r>
        <w:rPr>
          <w:highlight w:val="white"/>
        </w:rPr>
      </w:r>
    </w:p>
    <w:p>
      <w:pPr>
        <w:tabs>
          <w:tab w:val="left" w:pos="993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−</w:t>
      </w:r>
      <w:r>
        <w:rPr>
          <w:highlight w:val="white"/>
        </w:rPr>
        <w:tab/>
        <w:t xml:space="preserve">значительные изменения макроэкономичес</w:t>
      </w:r>
      <w:r>
        <w:rPr>
          <w:highlight w:val="white"/>
        </w:rPr>
        <w:t xml:space="preserve">ких параметров: резкий рост уровня инфляции в первой половине года со снижением во втором полугодии, рост процентных ставок до 20% годовых с последующим снижением, снижение курса рубля с последующим переходом к укреплению рубля выше первоначального уровня;</w:t>
      </w:r>
      <w:r>
        <w:rPr>
          <w:highlight w:val="white"/>
        </w:rPr>
      </w:r>
    </w:p>
    <w:p>
      <w:pPr>
        <w:tabs>
          <w:tab w:val="left" w:pos="993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−</w:t>
      </w:r>
      <w:r>
        <w:rPr>
          <w:highlight w:val="white"/>
        </w:rPr>
        <w:tab/>
        <w:t xml:space="preserve">нарушение в результате санкций нормальной работы инфраструктуры финансового рынка, отключение СВИФТ и нарушение системы международных расчетов;</w:t>
      </w:r>
      <w:r>
        <w:rPr>
          <w:highlight w:val="white"/>
        </w:rPr>
      </w:r>
    </w:p>
    <w:p>
      <w:pPr>
        <w:tabs>
          <w:tab w:val="left" w:pos="993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−</w:t>
      </w:r>
      <w:r>
        <w:rPr>
          <w:highlight w:val="white"/>
        </w:rPr>
        <w:tab/>
        <w:t xml:space="preserve">снижение темпов экономического роста в России, обострение проблем импортозамещения как по причине сокращения импорта, так и по причине закрытия предприятий, находящихся в иностранной собственности на территории России;</w:t>
      </w:r>
      <w:r>
        <w:rPr>
          <w:highlight w:val="white"/>
        </w:rPr>
      </w:r>
    </w:p>
    <w:p>
      <w:pPr>
        <w:tabs>
          <w:tab w:val="left" w:pos="993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−</w:t>
      </w:r>
      <w:r>
        <w:rPr>
          <w:highlight w:val="white"/>
        </w:rPr>
        <w:tab/>
        <w:t xml:space="preserve">скачок мировой инфляции на фоне потрясений на рынке энергоносителей и формирование условий для мировой рецессии на фоне роста процентных ставок в большинстве стран.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Инфляция </w:t>
      </w:r>
      <w:r>
        <w:rPr>
          <w:highlight w:val="white"/>
        </w:rPr>
        <w:t xml:space="preserve">в России в апреле 2022 года превысила 17,8% (в годовом выражении). Для стабилизации ситуации Банк России перешел к жесткой процентной политике, резко увеличил ключевую ставку 28.02.2022 до уровня 20% годовых, ввел ряд ограничительных мер по операциям с вал</w:t>
      </w:r>
      <w:r>
        <w:rPr>
          <w:highlight w:val="white"/>
        </w:rPr>
        <w:t xml:space="preserve">ютой и на организованном фондовом рынке. Впоследствии, со стабилизацией ситуации на финансовом рынке, ключевая ставка оперативно снижалась, составив к концу сентября 7,5%, что ниже уровня 9,5% на начало года. Уровень инфляции по итогам года составил 11,9%.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ВВП России в 2022 году, по оценке Минэкономразвития России, снизился на 2,1% после роста на 4,7% в 2021 году. Основное влияние на динамику ВВП в 2022 году оказывает уменьшение объемов производства в отраслях добыв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ющей промышленности, на транспорте и в торговле. В то же время АПК оказался в меньшей степени подвержен воздействию негативных внешних факторов. Индекс прироста продукции АПК составил 10,2%, урожай зерновых достиг рекордного уровня в 158 млн. тонн. При это</w:t>
      </w:r>
      <w:r>
        <w:rPr>
          <w:highlight w:val="white"/>
        </w:rPr>
        <w:t xml:space="preserve">м экспорт продукции АПК сталкивается с логистическими ограничениями, дополненными санкциями в отношении фрахта судов, страховки грузов и разрешений на заходы в порты, в связи с чем возможно снижение объема экспорта продукции АПК по сравнению с 2021 годом.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Банковская система России столкнулась в 2022 году с серьезными вызовами по целому ряду направлений: отключение от SWIFT и введенные западные санкции в отношении крупнейших российских банков, рост рыночных процентных ставок, снижение котиров</w:t>
      </w:r>
      <w:r>
        <w:rPr>
          <w:highlight w:val="white"/>
        </w:rPr>
        <w:t xml:space="preserve">ок ценных бумаг, отток средств клиентов, повышенный спрос на наличную иностранную валюту. Банк России оперативно ввел ряд послаблений и ограничений, касающихся переоценки активов и формирования резервов, принял меры по защите внутреннего финансового рынка.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Динамика корпоративного кредитования начиная с августа 2022 г</w:t>
      </w:r>
      <w:r>
        <w:rPr>
          <w:highlight w:val="white"/>
        </w:rPr>
        <w:t xml:space="preserve">ода демонстрирует высокие темпы роста, что обеспечило прирост портфеля за год на уровне 14,3%. Динамика кредитования населения замедлилась – за 2022 год прирост розничного кредитного портфеля составил 9,5%, при этом в 2021 прирост портфеля составлял 25,1%.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итогам 2022 года темп роста вкладов составил 6,9% (в 2021 +5,7%). Отмечается снижение уровня валютизации вкладов с 19,9% на начало 2022 года до 11,2% на 01.01.23.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Прирост депозитов и средств организаций в 2022 году составил 20,6% против 18% по итогам 2021 года. Значительно вырос объем бюджетных средств в банковской системе, компенсировав относительно невысокий темп роста средств населения.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оценкам Банка России банковск</w:t>
      </w:r>
      <w:r>
        <w:rPr>
          <w:highlight w:val="white"/>
        </w:rPr>
        <w:t xml:space="preserve">ий сектор закончил 2022 год с прибылью в 203 млрд. рублей. Основным источником потерь стала реализация процентного риска в связи с переоценкой ценных бумаг и изменением курсов иностранных валют, а также необходимость создания резервов под возможные потери.</w:t>
      </w:r>
      <w:r>
        <w:rPr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202</w:t>
      </w:r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 год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highlight w:val="white"/>
        </w:rPr>
        <w:t xml:space="preserve">Экономика Российской Федерации активно восстанавливалась в 2023 году вопреки сохраняющейся геополитической напряженности и усилению санкционного давления, адаптируясь к действующим торговым и финансо</w:t>
      </w:r>
      <w:r>
        <w:rPr>
          <w:highlight w:val="white"/>
        </w:rPr>
        <w:t xml:space="preserve">вым ограничениям за счет перестройки производственных и логистических цепочек, переориентации экспортных поставок с европейского на азиатское направление, выстраивания системы платежей и расчетов, сети корреспондентских отношений с дружественными странами.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Внешний спрос оказывал сдерживающее влияние на рост экономики. Вследствие ухудшения конъюнктуры рынков сырьевых товаров российского экспорта, в том числе снижения цен на нефть марки Urals на 17,2% г/г – c 76,1 долл./барр. в 2022 году до 63 долл.</w:t>
      </w:r>
      <w:r>
        <w:rPr>
          <w:highlight w:val="white"/>
        </w:rPr>
        <w:t xml:space="preserve">/ барр. в 2023 г., марки Brent на 17% г/г – c 90,1 долл./барр. в 2022 году до 82,2 долл./барр. в 2023 г., введения эмбарго и ценового потолка на нефть стоимостной объем экспорта товаров снизился на 29% г/г. Слабому внешнему спросу также способствовало заме</w:t>
      </w:r>
      <w:r>
        <w:rPr>
          <w:highlight w:val="white"/>
        </w:rPr>
        <w:t xml:space="preserve">дление темпов роста мировой экономики – по оценке МВФ с 3,5% в 2022 году до 3,1% в 2023 году – по причине снижения темпов роста развитых стран с 2,6 до 1,6%, в том числе в результате ужесточения денежно-кредитной политики крупнейшими центральными банками.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Сжатие внешнего спроса было скомпенсировано активным ростом вн</w:t>
      </w:r>
      <w:r>
        <w:rPr>
          <w:highlight w:val="white"/>
        </w:rPr>
        <w:t xml:space="preserve">утреннего спроса: как частного потребительского, поддержанного ростом заработных плат и расширением розничного кредитования, так и инвестиционного, подпитываемого бюджетным стимулированием и государственными закупками. Рост экономики по итогам года состави</w:t>
      </w:r>
      <w:r>
        <w:rPr>
          <w:highlight w:val="white"/>
        </w:rPr>
        <w:t xml:space="preserve">л 3,6% после падения на 1,2% в 2022 году и уже во второй половине года ВВП превысил предкризисный уровень. Уровень безработицы снизился до минимальных значений (3,0% в конце 2023 г.). Дефицит на рынке труда поддержал рост заработных плат на высоком уровне.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Расширени</w:t>
      </w:r>
      <w:r>
        <w:rPr>
          <w:highlight w:val="white"/>
        </w:rPr>
        <w:t xml:space="preserve">е внутреннего спроса способствовало увеличению объемов импорта товаров (+9,9% г/г в долларовом выражении), что в условиях сокращения экспорта привело к ослаблению рубля – с 70,3 руб./долл. на конец декабря 2022 года до 101,4 руб./долл. на пике в октябре 20</w:t>
      </w:r>
      <w:r>
        <w:rPr>
          <w:highlight w:val="white"/>
        </w:rPr>
        <w:t xml:space="preserve">23 года. В целях стабилизации курса Правительством Российской Федерации в октябре был введен указ об обязательной продаже валютной выручки, что привело к постепенному укреплению рубля и снижению курса доллара до 89,7 руб./долл. на конец декабря 2023 года.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Ослабление рубля и быстрое восстановление внутреннего спроса, опережающее возможности по расширению производства, привели к ускорению роста цен. Уж</w:t>
      </w:r>
      <w:r>
        <w:rPr>
          <w:highlight w:val="white"/>
        </w:rPr>
        <w:t xml:space="preserve">е в мае инфляция вновь превзошла траекторию, соответствующую целевым 4%, в том числе в части устойчивых компонент. Инфляция по итогам года с одной стороны замедлилась до 7,4% по сравнению с показателем 2022 г., однако ускорилась относительно показателя на </w:t>
      </w:r>
      <w:r>
        <w:rPr>
          <w:highlight w:val="white"/>
        </w:rPr>
        <w:t xml:space="preserve">конец апреля (2,3% г/г). В целях ограничения рисков для ценовой стабильности Банк России в июле начал цикл повышения ключевой ставки с уровня 7,5%, на котором она находилась в течение первого полугодия. Во втором полугодии 2023 года ключевая ставка была по</w:t>
      </w:r>
      <w:r>
        <w:rPr>
          <w:highlight w:val="white"/>
        </w:rPr>
        <w:t xml:space="preserve">вышена до 16% на фоне преобладания проинфляционных факторов, к числу которых можно отнести сохранение инфляционных ожиданий на повышенном уровне, рост расходов бюджета и активный рост кредитования, рост доходов населения на фоне дефицита трудовых ресурсов.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Расходы федерального бюджета в условиях значительного бюджетного стимул</w:t>
      </w:r>
      <w:r>
        <w:rPr>
          <w:highlight w:val="white"/>
        </w:rPr>
        <w:t xml:space="preserve">ирования превысили запланированный в начале года уровень на 11,5% (+4% к уровню 2022 года), составив 32,4 трлн руб. по итогам года. Поддержку бюджету оказали ненефтегазовые поступления, рост которых складывался выше ожиданий, достигнув 25% к уровню 2022 го</w:t>
      </w:r>
      <w:r>
        <w:rPr>
          <w:highlight w:val="white"/>
        </w:rPr>
        <w:t xml:space="preserve">да (+18,1% к изначальным плановым значениям), что сгладило сокращение нефтегазовой компоненты доходов на 23,9% к уровню 2022 года. В результате дефицит бюджета превысил плановый показатель незначительно, составив 3,2 трлн руб. против плана в 2,9 трлн руб. </w:t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АПК в 2023 году продолжил свое устойчивое развитие. Прирост продукции АПК составил 2%. Урожай зерновых достиг второго рекордного уровня в 147 млн. тонн с учетом новых территорий (рекордный урожай в объеме 158 млн. тонн был зафиксирован годом ранее). К</w:t>
      </w:r>
      <w:r>
        <w:rPr>
          <w:rFonts w:eastAsia="Calibri"/>
          <w:highlight w:val="white"/>
        </w:rPr>
        <w:t xml:space="preserve">оррекцию в урожае зерновых компенсировал прирост пищевого производства и других видов сельскохозяйственных перерабатывающих производств, а также рост в животноводстве. Экспорт продукции АПК увеличился более чем на 11%, опережая динамику внутреннего рынка. 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На фоне увеличения урожая и объемов производства продовольственного экспорта в мировой экономике продолжился значительный спад цен на продовольствие. Падени</w:t>
      </w:r>
      <w:r>
        <w:rPr>
          <w:rFonts w:eastAsia="Calibri"/>
          <w:highlight w:val="white"/>
        </w:rPr>
        <w:t xml:space="preserve">е мировых цен привело к снижению уровня рентабельности в основном в отрасли растениеводства, при этом перерабатывающая промышленность и отрасль животноводства отыграли падение к уровню 2022 года за счет роста цен на внутреннем рынке в 4 квартале 2023 года.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Банковский сектор в 2023 году смог получить рекордную прибыль – после существенного ее падения в 2022 г. – благодаря росту экономической активности </w:t>
      </w:r>
      <w:r>
        <w:rPr>
          <w:highlight w:val="white"/>
        </w:rPr>
        <w:br/>
        <w:t xml:space="preserve">и сохранению значительного наклона кривой процентных ставок на протяжении первой половины года. Прибыль банковского сектора составила 3,3</w:t>
      </w:r>
      <w:r>
        <w:rPr>
          <w:highlight w:val="white"/>
          <w:vertAlign w:val="superscript"/>
        </w:rPr>
        <w:footnoteReference w:id="3"/>
      </w:r>
      <w:r>
        <w:rPr>
          <w:highlight w:val="white"/>
        </w:rPr>
        <w:t xml:space="preserve"> трлн руб. </w:t>
      </w:r>
      <w:r>
        <w:rPr>
          <w:highlight w:val="white"/>
        </w:rPr>
        <w:br/>
        <w:t xml:space="preserve">по сравнению с 0,2 трлн. руб. в 2022 го</w:t>
      </w:r>
      <w:r>
        <w:rPr>
          <w:highlight w:val="white"/>
        </w:rPr>
        <w:t xml:space="preserve">ду. Столь значительное изменение прибыли – результат увеличения чистого процентного дохода банков (на 1,8 трлн руб.) и валютной переоценки длинной открытой валютной позиции банков: по итогам 2023 года составила +0,5 трлн руб. по сравнению с убытком в разме</w:t>
      </w:r>
      <w:r>
        <w:rPr>
          <w:highlight w:val="white"/>
        </w:rPr>
        <w:t xml:space="preserve">ре 1 трлн руб. по итогам 2022 года. Рост чистых комиссионных доходов и снижение расходов на досоздание резервов были скомпенсированы дальнейшим ростом операционных затрат банков и ростом налога на прибыль, размер которого в 2023 году составил 0,8 трлн руб.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Динамика кредитования на протяжении всего 2023 года ускорялась. Рост корпоративного кредитования с 2023 г. составил 20,1%</w:t>
      </w:r>
      <w:r>
        <w:rPr>
          <w:highlight w:val="white"/>
          <w:vertAlign w:val="superscript"/>
        </w:rPr>
        <w:footnoteReference w:id="4"/>
      </w:r>
      <w:r>
        <w:rPr>
          <w:highlight w:val="white"/>
        </w:rPr>
        <w:t xml:space="preserve"> по сравнению с 14,3% в 2022 году, при этом после падения в 2022 г. возобновился рост валютных кредитов. Портфель кредитов отраслям АПК с 2023 г. незначительно (-2,2%</w:t>
      </w:r>
      <w:r>
        <w:rPr>
          <w:highlight w:val="white"/>
          <w:vertAlign w:val="superscript"/>
        </w:rPr>
        <w:footnoteReference w:id="5"/>
      </w:r>
      <w:r>
        <w:rPr>
          <w:highlight w:val="white"/>
        </w:rPr>
        <w:t xml:space="preserve">) снизился в результате реакции отрасли на рост ставок, а также уточнения объемов и механизма субсидирования отрасл</w:t>
      </w:r>
      <w:r>
        <w:rPr>
          <w:highlight w:val="white"/>
        </w:rPr>
        <w:t xml:space="preserve">и. Кредитование населения в 2023 г. выросло на 23% по сравнению с 9,5% в 2022 году, при этом рост ипотечного портфеля составил 29,4% (в 2022 году 17%), потребительских ссуд – 13,6% (в 2022 году 2,7%). Уровень и доля плохих долгов в течение года снижались.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 По итогам 2023 года темп роста вкладов населения составил 19,7% (в 2022 году +6,9%). Прирост депозитов и средств организаций без учета средств бюджета и эскроу в 2023 году составил 14,7%</w:t>
      </w:r>
      <w:r>
        <w:rPr>
          <w:highlight w:val="white"/>
          <w:vertAlign w:val="superscript"/>
        </w:rPr>
        <w:t xml:space="preserve"> </w:t>
      </w:r>
      <w:r>
        <w:rPr>
          <w:highlight w:val="white"/>
        </w:rPr>
        <w:t xml:space="preserve">против 20,6% по итогам 2022 года. Объем бюдже</w:t>
      </w:r>
      <w:r>
        <w:rPr>
          <w:highlight w:val="white"/>
        </w:rPr>
        <w:t xml:space="preserve">тных средств в банковской системе вырос на 24%. Средства в валюте в течение 2023 года прекратили падение и во втором полугодии стабилизировались, однако на фоне опережающего роста рублевых счетов и депозитов уровень валютизации вкладов продолжал снижаться.</w:t>
      </w:r>
      <w:r>
        <w:rPr>
          <w:highlight w:val="white"/>
        </w:rPr>
      </w:r>
    </w:p>
    <w:p>
      <w:pPr>
        <w:ind w:firstLine="709"/>
        <w:jc w:val="both"/>
        <w:rPr>
          <w:b/>
          <w:bCs w:val="0"/>
          <w:i w:val="0"/>
          <w:highlight w:val="white"/>
        </w:rPr>
      </w:pPr>
      <w:r>
        <w:rPr>
          <w:b/>
          <w:i w:val="0"/>
          <w:iCs w:val="0"/>
          <w:highlight w:val="white"/>
        </w:rPr>
      </w:r>
      <w:r>
        <w:rPr>
          <w:b/>
          <w:bCs w:val="0"/>
          <w:i w:val="0"/>
          <w:highlight w:val="white"/>
        </w:rPr>
      </w:r>
      <w:r>
        <w:rPr>
          <w:b/>
          <w:bCs w:val="0"/>
          <w:i w:val="0"/>
          <w:highlight w:val="white"/>
        </w:rPr>
      </w:r>
    </w:p>
    <w:p>
      <w:pPr>
        <w:ind w:firstLine="709"/>
        <w:jc w:val="both"/>
        <w:rPr>
          <w:b/>
          <w:bCs w:val="0"/>
          <w:i w:val="0"/>
          <w:highlight w:val="white"/>
        </w:rPr>
      </w:pPr>
      <w:r>
        <w:rPr>
          <w:b/>
          <w:i w:val="0"/>
          <w:iCs w:val="0"/>
          <w:highlight w:val="white"/>
        </w:rPr>
        <w:t xml:space="preserve">2024 год </w:t>
      </w:r>
      <w:r>
        <w:rPr>
          <w:b/>
          <w:bCs w:val="0"/>
          <w:i w:val="0"/>
          <w:highlight w:val="white"/>
        </w:rPr>
      </w:r>
      <w:r>
        <w:rPr>
          <w:b/>
          <w:bCs w:val="0"/>
          <w:i w:val="0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Экономика Российской Федерации в 2024 г. сохранила быстрые темпы роста на уровне предыдущего года (4,1%), вопреки сохраняющейся г</w:t>
      </w:r>
      <w:r>
        <w:rPr>
          <w:highlight w:val="white"/>
        </w:rPr>
        <w:t xml:space="preserve">еополитической напряженности и усилению санкционного давления, в том числе вторичных санкций. Рост экономики характеризовался дальнейшим увеличением государственных расходов, преимущественно в сфере обороны и безопасности, постепенным ужесточением денежно-</w:t>
      </w:r>
      <w:r>
        <w:rPr>
          <w:highlight w:val="white"/>
        </w:rPr>
        <w:t xml:space="preserve">кредитной политики вследствие ускорения роста потребительских цен, а также стабильной работой финансовых рынков, несмотря на ввод санкций в отношении Мосбиржи и прекращение биржевых торгов долларом США и евро.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Усиление санкционного давления в 2024 г. сбалансировалось положительными эффектами оживления на мировых товарных рынках: по данным Международного валютного фонда  рост мирового ВВП и международной торговли составил 3%, цены на нефть марки </w:t>
      </w:r>
      <w:r>
        <w:rPr>
          <w:highlight w:val="white"/>
          <w:lang w:val="en-US"/>
        </w:rPr>
        <w:t xml:space="preserve">Urals</w:t>
      </w:r>
      <w:r>
        <w:rPr>
          <w:highlight w:val="white"/>
        </w:rPr>
        <w:t xml:space="preserve"> выросли с 60 долл/барр. в среднем за 2023 г. до 67,4 долл./</w:t>
      </w:r>
      <w:r>
        <w:rPr>
          <w:highlight w:val="white"/>
        </w:rPr>
        <w:t xml:space="preserve">ба</w:t>
      </w:r>
      <w:r>
        <w:rPr>
          <w:highlight w:val="white"/>
        </w:rPr>
        <w:t xml:space="preserve">ррель в 2024 г., выросли мировые цен на металлы и сельхозпродукцию (за исключением зерновых и сахара). Российский экспорт и импорт товаров и услуг по итогам 2024 г. сохранился на уровне предыдущего года, что обеспечило относительную стабильность национальн</w:t>
      </w:r>
      <w:r>
        <w:rPr>
          <w:highlight w:val="white"/>
        </w:rPr>
        <w:t xml:space="preserve">ой валюты в течение большей части 2024 г. Лишь к концу года санкции на банки и российский флот танкеров вызвали заметное временное ослабление рубля: в результате курс доллара к рублю в течение года вырос на 13,4%, курс евро − на 6,9%, курс юаня − на 6,8%.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Ослабление рубля, рост мировых продовольственных цен и высокие темпы внутреннего спроса стали основными причинами ускорения роста потребительских цен </w:t>
      </w:r>
      <w:r>
        <w:rPr>
          <w:highlight w:val="white"/>
        </w:rPr>
        <w:br/>
        <w:t xml:space="preserve">в России. По итогам</w:t>
      </w:r>
      <w:r>
        <w:rPr>
          <w:highlight w:val="white"/>
        </w:rPr>
        <w:t xml:space="preserve"> 2024 года инфляция составила 9,5% по сравнению с 7,4% в 2023 году. Другими факторами ускорения роста цен стали события структурного (рост цен на услуги туризма и авиабилеты) и единовременного характера (рост утилизационного сбора при покупке автомобиля).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ответ на ускорение роста цен и рост инфляционных ожиданий населения и бизнеса, Банк России в </w:t>
      </w:r>
      <w:r>
        <w:rPr>
          <w:highlight w:val="white"/>
          <w:lang w:val="en-US"/>
        </w:rPr>
        <w:t xml:space="preserve">II</w:t>
      </w:r>
      <w:r>
        <w:rPr>
          <w:highlight w:val="white"/>
        </w:rPr>
        <w:t xml:space="preserve"> полугодии возобновил ужесточение денежно-кредитной политики </w:t>
      </w:r>
      <w:r>
        <w:rPr>
          <w:highlight w:val="white"/>
        </w:rPr>
        <w:br/>
        <w:t xml:space="preserve">и банковского регулирования: с 16% до 21% была пов</w:t>
      </w:r>
      <w:r>
        <w:rPr>
          <w:highlight w:val="white"/>
        </w:rPr>
        <w:t xml:space="preserve">ышена ключевая ставка, были ужесточены макропруденциальные нормативы, анонсировано повышение в 2025 г. антициклической надбавки при расчете нормативов достаточности капитала и ужесточение нормативов риска на одного заемщика или группу связанных заемщиков.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 фоне ужесточения денежно-кредитной политики и регулирования, драйвером роста экономики стал высокий спрос со стороны государства. По итогам 2024 г. бюджет был исполнен со значительным превышением первоначального плана (24,2% при плане 13%) по причине</w:t>
      </w:r>
      <w:r>
        <w:rPr>
          <w:highlight w:val="white"/>
        </w:rPr>
        <w:t xml:space="preserve"> сверхпланового роста ненефтегазовых доходов (в размере 26,2% при плане 16%) и сохранения структурного дефицита федерального бюджета на уровне 2023 г. (1,7% ВВП, в плане было запланировано сокращение до 0%).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Рост экономики сопровождался высокой инвестиционной и потребительской активностью. Так, по итогам года рост инвестиций в основной капитал в реальном выражении составил 7,4%, суммарный оборот розничной торговли, платных усл</w:t>
      </w:r>
      <w:r>
        <w:rPr>
          <w:highlight w:val="white"/>
        </w:rPr>
        <w:t xml:space="preserve">уг населению и общественного питания вырос на 6,4%. Рост потребления и сбережений обеспечивался сохраняющимся стремительным ростом доходов населения: средний размер заработных плат в 2024 году увеличился на 18,3% в номинальном и 9,1% в реальном выражении.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Дополнительному спросу на отечественные товары по сравнению с импортными способствовали сложности с логистикой и международными расчетами: </w:t>
      </w:r>
      <w:r>
        <w:rPr>
          <w:highlight w:val="white"/>
        </w:rPr>
        <w:br/>
        <w:t xml:space="preserve">в структуре ВВП по итогам 2024 г. доля импорта сократилась до 17,4% </w:t>
      </w:r>
      <w:r>
        <w:rPr>
          <w:highlight w:val="white"/>
        </w:rPr>
        <w:br/>
        <w:t xml:space="preserve">по сравнению с 18,4% в 2023 году и 20,7% в среднем за 2011-2022 годы. 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highlight w:val="white"/>
        </w:rPr>
      </w:pPr>
      <w:r>
        <w:rPr>
          <w:highlight w:val="white"/>
        </w:rPr>
        <w:t xml:space="preserve">Агропромышленный комплекс (далее - АПК) в 2024 году продолжил свое устойчивое развитие. В производстве </w:t>
      </w:r>
      <w:r>
        <w:rPr>
          <w:highlight w:val="white"/>
        </w:rPr>
        <w:t xml:space="preserve">пищевой и перерабатывающей промышленности прирост составил 3,5% (15,5% в денежном эквиваленте). Объем производства в сельском хозяйстве сократился на 3,2% по причине снижения выпуска продукции растениеводства </w:t>
      </w:r>
      <w:r>
        <w:rPr>
          <w:highlight w:val="white"/>
        </w:rPr>
        <w:t xml:space="preserve">на 6,5%. К снижению урожая зерновых привел рост числа неблагоприятных природных явлений. Валовый сбор с учетом новых территорий достиг 128,5 млн тонн в чистом весе, что с избытком покрывает внутренний спрос, но несколько ниже значения 2023 г. </w:t>
      </w:r>
      <w:r>
        <w:rPr>
          <w:highlight w:val="white"/>
        </w:rPr>
        <w:t xml:space="preserve">в размере 142,6 млн тонн и рекордного урожая в объеме 158 млн тонн в 2022 году. В животноводстве наблюдался рост на 0,9%. Экспорт продукции АПК в натуральном выражении сохранился на уровне прошлого года, что подтверждает устойчивый спрос на внешних рынках.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highlight w:val="white"/>
        </w:rPr>
      </w:pPr>
      <w:r>
        <w:rPr>
          <w:highlight w:val="white"/>
        </w:rPr>
        <w:t xml:space="preserve">В банковской системе России в 2024 году сохранялась повышенная активность </w:t>
      </w:r>
      <w:r>
        <w:rPr>
          <w:highlight w:val="white"/>
        </w:rPr>
        <w:br/>
        <w:t xml:space="preserve">в кредитовании физических и юридических лиц. Объем нетто-активов</w:t>
      </w:r>
      <w:r>
        <w:rPr>
          <w:highlight w:val="white"/>
          <w:vertAlign w:val="superscript"/>
        </w:rPr>
        <w:footnoteReference w:id="6"/>
      </w:r>
      <w:r>
        <w:rPr>
          <w:highlight w:val="white"/>
        </w:rPr>
        <w:t xml:space="preserve"> достиг 199 трлн рублей (100% ВВП), прирост за год несколько замедлился до 16,9%</w:t>
      </w:r>
      <w:r>
        <w:rPr>
          <w:highlight w:val="white"/>
          <w:vertAlign w:val="superscript"/>
        </w:rPr>
        <w:footnoteReference w:id="7"/>
      </w:r>
      <w:r>
        <w:rPr>
          <w:highlight w:val="white"/>
        </w:rPr>
        <w:t xml:space="preserve"> по сравнению с 20,1% в 2023 году. Рост активов и процентных ставок позволил банковскому сектору нарастить чистую прибыль (3,8 трлн руб.</w:t>
      </w:r>
      <w:r>
        <w:rPr>
          <w:highlight w:val="white"/>
          <w:vertAlign w:val="superscript"/>
        </w:rPr>
        <w:footnoteReference w:id="8"/>
      </w:r>
      <w:r>
        <w:rPr>
          <w:highlight w:val="white"/>
        </w:rPr>
        <w:t xml:space="preserve">) даже относительно рекордных показателей 2023 года (3,2 трлн руб.). Прирост прибыли был практически полностью обеспечен сохранением низких расходов на ре</w:t>
      </w:r>
      <w:r>
        <w:rPr>
          <w:highlight w:val="white"/>
        </w:rPr>
        <w:t xml:space="preserve">зервы, положительной переоценкой и прочими доходами. Увеличение чистого процентного (на 0,7 трлн руб.) и чистого комиссионного (на 0,2 трлн руб.) доходов практически полностью были компенсированы возросшими на 0,8 трлн руб. или 24% операционными расходами.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Высокая кредитная активность в первой половине 2024 года сменилась постепенным охла</w:t>
      </w:r>
      <w:r>
        <w:rPr>
          <w:highlight w:val="white"/>
        </w:rPr>
        <w:t xml:space="preserve">ждением во второй половине 2024 года в ответ на повышение Банком России ключевой ставки и ужесточение регулирования. Рост корпоративного кредитования в 2024 году составил 17,9% по сравнению с 20,5% в 2023 году. Кредитование отраслей АПК выросло на 7,9% по </w:t>
      </w:r>
      <w:r>
        <w:rPr>
          <w:highlight w:val="white"/>
        </w:rPr>
        <w:t xml:space="preserve">сравнению с сокращением портфеля на 4,3% в 2023 году. Доля просроченной задолженности в секторе АПК снизилась с 4,3% до 4,0%, доля просроченной задолженности по юридическим лицам в целом – с 2,9% до 2,6%.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Кредитование населения в 2024 году выросло на 14,2%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NOTEREF _Ref157079516 \h  \* MERGEFORMAT </w:instrText>
      </w:r>
      <w:r>
        <w:rPr>
          <w:highlight w:val="white"/>
        </w:rPr>
        <w:fldChar w:fldCharType="end"/>
      </w:r>
      <w:r>
        <w:rPr>
          <w:highlight w:val="white"/>
        </w:rPr>
        <w:t xml:space="preserve"> по сравнению с 26,5% </w:t>
      </w:r>
      <w:r>
        <w:rPr>
          <w:highlight w:val="white"/>
        </w:rPr>
        <w:br/>
        <w:t xml:space="preserve">в 2023 году, преимущественно за счет ипотечных и автокредитов, а также роста портфеля кредитных карт. Под влиянием ужесточения регулирования и роста ставок к концу года объемы выдач кредитов существенно снизились. Объем плохих долгов </w:t>
      </w:r>
      <w:r>
        <w:rPr>
          <w:highlight w:val="white"/>
        </w:rPr>
        <w:br/>
        <w:t xml:space="preserve">в течение года увеличился, но его доля держалась стабильной за счёт активного роста розничного портфеля.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Рост вкладов населения в 2024 г. составил 26,1%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NOTEREF _Ref157079516 \h  \* MERGEFORMAT </w:instrText>
      </w:r>
      <w:r>
        <w:rPr>
          <w:highlight w:val="white"/>
        </w:rPr>
        <w:fldChar w:fldCharType="end"/>
      </w:r>
      <w:r>
        <w:rPr>
          <w:highlight w:val="white"/>
        </w:rPr>
        <w:t xml:space="preserve"> г/г (в 2023 году - 19,7 %). Прирост средств и депозитов юридических лиц без учета средств бюджета и эскроу </w:t>
      </w:r>
      <w:r>
        <w:rPr>
          <w:highlight w:val="white"/>
        </w:rPr>
        <w:t xml:space="preserve">по итогу </w:t>
      </w:r>
      <w:r>
        <w:rPr>
          <w:highlight w:val="white"/>
        </w:rPr>
        <w:t xml:space="preserve">2024 года составил 1</w:t>
      </w:r>
      <w:r>
        <w:rPr>
          <w:highlight w:val="white"/>
        </w:rPr>
        <w:t xml:space="preserve">2</w:t>
      </w:r>
      <w:r>
        <w:rPr>
          <w:highlight w:val="white"/>
        </w:rPr>
        <w:t xml:space="preserve">,</w:t>
      </w:r>
      <w:r>
        <w:rPr>
          <w:highlight w:val="white"/>
        </w:rPr>
        <w:t xml:space="preserve">3</w:t>
      </w:r>
      <w:r>
        <w:rPr>
          <w:highlight w:val="white"/>
        </w:rPr>
        <w:t xml:space="preserve">% в связи со снижением валютных остатков. Объем средств бюджета </w:t>
      </w:r>
      <w:r>
        <w:rPr>
          <w:highlight w:val="white"/>
        </w:rPr>
        <w:t xml:space="preserve">в банковской системе вырос на 5,5% (в 2023 году - 24,4%). Рост средств на счетах эскроу замедлился до 9,7% (в 2023 году - 38,4%) вследствие увеличения объемов раскрытия и сокращения на 5,8% притока новых средств.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 w:val="0"/>
          <w:iCs w:val="0"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1 квартал 2025 года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Экономика России, в том числе агропромышленный комплекс (далее - АПК) и банковский сектор, в 1 квартале 2025 года развивались под воздействием следующих факторов:</w:t>
      </w:r>
      <w:r>
        <w:rPr>
          <w:highlight w:val="white"/>
        </w:rPr>
      </w:r>
    </w:p>
    <w:p>
      <w:pPr>
        <w:numPr>
          <w:numId w:val="60"/>
          <w:ilvl w:val="0"/>
        </w:numPr>
        <w:tabs>
          <w:tab w:val="left" w:pos="992" w:leader="none"/>
        </w:tabs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Сохраня</w:t>
      </w:r>
      <w:r>
        <w:rPr>
          <w:highlight w:val="white"/>
        </w:rPr>
        <w:t xml:space="preserve">лись внешние санкционные ограничения, со стороны США и ЕС, а также были введены новые торговые барьеры, что привело к снижению экспортной выручки и вынудило многие компании использовать собственные средства в качестве источника корпоративного фондирования.</w:t>
      </w:r>
      <w:r>
        <w:rPr>
          <w:highlight w:val="white"/>
        </w:rPr>
      </w:r>
    </w:p>
    <w:p>
      <w:pPr>
        <w:numPr>
          <w:numId w:val="60"/>
          <w:ilvl w:val="0"/>
        </w:numPr>
        <w:tabs>
          <w:tab w:val="left" w:pos="992" w:leader="none"/>
        </w:tabs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На финансовых рынках наблюдалось оживление активности, на фоне оптимистичных ожиданий снижения геополитической напряженности.</w:t>
      </w:r>
      <w:r>
        <w:rPr>
          <w:highlight w:val="white"/>
        </w:rPr>
      </w:r>
    </w:p>
    <w:p>
      <w:pPr>
        <w:numPr>
          <w:numId w:val="60"/>
          <w:ilvl w:val="0"/>
        </w:numPr>
        <w:tabs>
          <w:tab w:val="left" w:pos="992" w:leader="none"/>
        </w:tabs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Сохранилось влияние проинфляционных факторов в виде повышенных инфляционных ожиданий, а также высоких темпов роста расходов федерального бюджета. </w:t>
      </w:r>
      <w:r>
        <w:rPr>
          <w:highlight w:val="white"/>
        </w:rPr>
      </w:r>
    </w:p>
    <w:p>
      <w:pPr>
        <w:numPr>
          <w:numId w:val="60"/>
          <w:ilvl w:val="0"/>
        </w:numPr>
        <w:tabs>
          <w:tab w:val="left" w:pos="992" w:leader="none"/>
        </w:tabs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Сохранялись структурные ограничения на рынке труда - уровень безработицы оставался на историческом минимуме.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мировой экономике в 1 квартале 2025 года наблюдалось значительное усиление неопределенности, главным образом вследствие объявленных США торговых барьеров, и ответных действий со стороны Китая.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Эти ш</w:t>
      </w:r>
      <w:r>
        <w:rPr>
          <w:highlight w:val="white"/>
        </w:rPr>
        <w:t xml:space="preserve">аги сопровождались резким расширением торговых и финансовых ограничений, что привело к пересмотру глобальных прогнозов по темпам роста и структуре мирового спроса. МВФ понизил ожидания по росту мировой экономики до уровня 2,8% в 2025 году и 3% в 2026 году.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Рост административных барьеров и торговые </w:t>
      </w:r>
      <w:r>
        <w:rPr>
          <w:highlight w:val="white"/>
        </w:rPr>
        <w:t xml:space="preserve">тарифы привели увеличению спроса на защитные активы и ожиданиям рецессии в США и Китае. На фоне этого цены на нефть находились под давлением в течение всего квартала, и еще больше снизились после объявлений новых торговых пошлин США в начале апреля: нефть </w:t>
      </w:r>
      <w:r>
        <w:rPr>
          <w:highlight w:val="white"/>
          <w:lang w:val="en-US"/>
        </w:rPr>
        <w:t xml:space="preserve">Urals</w:t>
      </w:r>
      <w:r>
        <w:rPr>
          <w:highlight w:val="white"/>
        </w:rPr>
        <w:t xml:space="preserve"> снижалась до 55 </w:t>
      </w:r>
      <w:r>
        <w:rPr>
          <w:highlight w:val="white"/>
        </w:rPr>
        <w:t xml:space="preserve">долл</w:t>
      </w:r>
      <w:r>
        <w:rPr>
          <w:highlight w:val="white"/>
        </w:rPr>
        <w:t xml:space="preserve">/</w:t>
      </w:r>
      <w:r>
        <w:rPr>
          <w:highlight w:val="white"/>
        </w:rPr>
        <w:t xml:space="preserve">барр</w:t>
      </w:r>
      <w:r>
        <w:rPr>
          <w:highlight w:val="white"/>
        </w:rPr>
        <w:t xml:space="preserve">. Значительное снижение также показали промышленные металлы. В начале апреля доллар США ослаб по отношению к основным валютам более чем на 8%, по отношению к уровням начала 2025 года.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 этом фоне годовая инфляция в России в марте, по итогу 1 квартала составила 10,3% против 9,5% на конец 2024 года. Месячные темпы роста цен в то же время продолжили снижаться – в марте показатель замедлился до 0,65%. </w:t>
      </w:r>
      <w:r>
        <w:rPr>
          <w:highlight w:val="white"/>
        </w:rPr>
        <w:t xml:space="preserve">Дезинфляционное</w:t>
      </w:r>
      <w:r>
        <w:rPr>
          <w:highlight w:val="white"/>
        </w:rPr>
        <w:t xml:space="preserve"> влияние оказало укрепление рубля, охлаждение темпов роста розничной торговли, особенно в сегменте непродовольственных товаров. В то же время ускоренный рост </w:t>
      </w:r>
      <w:r>
        <w:rPr>
          <w:highlight w:val="white"/>
        </w:rPr>
        <w:t xml:space="preserve">сохранялся в сегменте продовольствия, где эффект от крепкой валюты ограничен. Инфляционные ожидания населения сохранялись на повышенном уровне (12,9% в марте).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Бюджетная политика Минфина характеризовалась сохранением высоких расходов на фоне снижения нефтегазовых доходов и роста внешних ограничений. По и</w:t>
      </w:r>
      <w:r>
        <w:rPr>
          <w:highlight w:val="white"/>
        </w:rPr>
        <w:t xml:space="preserve">тогам января–апреля дефицит федерального бюджета достиг 3,2 трлн рублей (1,5% ВВП), что существенно превышает уровень прошлого года. </w:t>
      </w:r>
      <w:r>
        <w:rPr>
          <w:highlight w:val="white"/>
        </w:rPr>
        <w:t xml:space="preserve">Минфин сохранил высокий объем заимствований: были размещены ОФЗ на сумму 1,4 трлн рублей, </w:t>
      </w:r>
      <w:r>
        <w:rPr>
          <w:highlight w:val="white"/>
        </w:rPr>
        <w:t xml:space="preserve">что позволило перевыполнить квартальный план, несмотря на высокие процентные ставки. На фоне планируемого возврата к бюджетному правилу во второй половине года сохраняется приоритет финансирования текущих обязательств за счет внутреннего долга и резервов.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Рост экономики России в первом квартале замедлился з</w:t>
      </w:r>
      <w:r>
        <w:rPr>
          <w:highlight w:val="white"/>
        </w:rPr>
        <w:t xml:space="preserve">а счет ужесточения монетарной и фискальной политики.  Прирост ВВП составил 2,3% или 1,8% с исключением календарного фактора високосного года в 2024 году. Ожидается, что ВПП продолжит расти, но более низкими темпами за счет высокой базы конца прошлого года.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Реальные доходы населе</w:t>
      </w:r>
      <w:r>
        <w:rPr>
          <w:highlight w:val="white"/>
        </w:rPr>
        <w:t xml:space="preserve">ния сохраняли положительную динамику, поддерживая рост розничной торговли и услуг, несмотря на охлаждение потребительского спроса. Безработица стабилизировалась на исторически низком уровне (2,3%), однако на рекрутинговых порталах отмечается активный рост </w:t>
      </w:r>
      <w:r>
        <w:rPr>
          <w:highlight w:val="white"/>
        </w:rPr>
        <w:t xml:space="preserve">количества резюме соискателей.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агропромышленном комплексе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первом квартале </w:t>
      </w:r>
      <w:r>
        <w:rPr>
          <w:highlight w:val="white"/>
        </w:rPr>
        <w:t xml:space="preserve">сохранилась высокая нагрузка </w:t>
      </w:r>
      <w:r>
        <w:rPr>
          <w:highlight w:val="white"/>
        </w:rPr>
        <w:t xml:space="preserve">на обслуживание кредитов, на </w:t>
      </w:r>
      <w:r>
        <w:rPr>
          <w:highlight w:val="white"/>
        </w:rPr>
        <w:t xml:space="preserve">фоне низких значений (уровня 2017-2019 года) мировых товарных цен </w:t>
      </w:r>
      <w:r>
        <w:rPr>
          <w:highlight w:val="white"/>
        </w:rPr>
        <w:t xml:space="preserve">продовольственного сегмента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Доля просроченной задолженности</w:t>
      </w:r>
      <w:r>
        <w:rPr>
          <w:highlight w:val="white"/>
        </w:rPr>
        <w:t xml:space="preserve"> в портфеле АПК замедлила снижение и стабилизировалась на уровне </w:t>
      </w:r>
      <w:r>
        <w:rPr>
          <w:highlight w:val="white"/>
        </w:rPr>
        <w:t xml:space="preserve">4,0%.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Объем нетто-активов банковской системы в 1 квартале 2025 г. снизился с 199 до 192 трлн рублей (-3,5%) преимущественно под влиянием укрепления рубля и отри</w:t>
      </w:r>
      <w:r>
        <w:rPr>
          <w:highlight w:val="white"/>
        </w:rPr>
        <w:t xml:space="preserve">цательной валютной переоценки валютных активов. Без учета переоценки сокращение активов составило 1,2%:</w:t>
      </w:r>
      <w:r>
        <w:rPr>
          <w:highlight w:val="white"/>
        </w:rPr>
        <w:t xml:space="preserve"> </w:t>
      </w:r>
      <w:r>
        <w:rPr>
          <w:highlight w:val="white"/>
        </w:rPr>
        <w:t xml:space="preserve">жесткая денежно-кредитная политика Банка России</w:t>
      </w:r>
      <w:r>
        <w:rPr>
          <w:highlight w:val="white"/>
        </w:rPr>
        <w:t xml:space="preserve"> и </w:t>
      </w:r>
      <w:r>
        <w:rPr>
          <w:highlight w:val="white"/>
        </w:rPr>
        <w:t xml:space="preserve">повышен</w:t>
      </w:r>
      <w:r>
        <w:rPr>
          <w:highlight w:val="white"/>
        </w:rPr>
        <w:t xml:space="preserve">ие </w:t>
      </w:r>
      <w:r>
        <w:rPr>
          <w:highlight w:val="white"/>
        </w:rPr>
        <w:t xml:space="preserve">нормативов достаточности капитала </w:t>
      </w:r>
      <w:r>
        <w:rPr>
          <w:highlight w:val="white"/>
        </w:rPr>
        <w:t xml:space="preserve">ограничи</w:t>
      </w:r>
      <w:r>
        <w:rPr>
          <w:highlight w:val="white"/>
        </w:rPr>
        <w:t xml:space="preserve">ло кредитную активность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 Прибыль банковского сектора составила 0,74 трлн рублей </w:t>
      </w:r>
      <w:r>
        <w:rPr>
          <w:highlight w:val="white"/>
        </w:rPr>
        <w:t xml:space="preserve">по сравнению с 0,9 трлн руб. в 1 квартале  2024 г. и </w:t>
      </w:r>
      <w:r>
        <w:rPr>
          <w:highlight w:val="white"/>
        </w:rPr>
        <w:t xml:space="preserve">1</w:t>
      </w:r>
      <w:r>
        <w:rPr>
          <w:highlight w:val="white"/>
        </w:rPr>
        <w:t xml:space="preserve">,1</w:t>
      </w:r>
      <w:r>
        <w:rPr>
          <w:highlight w:val="white"/>
        </w:rPr>
        <w:t xml:space="preserve"> трлн рублей в 4 квартале 2024 года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Корпоративное кредитование </w:t>
      </w:r>
      <w:r>
        <w:rPr>
          <w:highlight w:val="white"/>
        </w:rPr>
        <w:t xml:space="preserve">по итогам 1 квартала 2025 года </w:t>
      </w:r>
      <w:r>
        <w:rPr>
          <w:highlight w:val="white"/>
        </w:rPr>
        <w:t xml:space="preserve">показало околонулев</w:t>
      </w:r>
      <w:r>
        <w:rPr>
          <w:highlight w:val="white"/>
        </w:rPr>
        <w:t xml:space="preserve">ую динамику (-0,1%)</w:t>
      </w:r>
      <w:r>
        <w:rPr>
          <w:highlight w:val="white"/>
        </w:rPr>
        <w:t xml:space="preserve">, </w:t>
      </w:r>
      <w:r>
        <w:rPr>
          <w:highlight w:val="white"/>
        </w:rPr>
        <w:t xml:space="preserve">при этом рост </w:t>
      </w:r>
      <w:r>
        <w:rPr>
          <w:highlight w:val="white"/>
        </w:rPr>
        <w:t xml:space="preserve">кредитного </w:t>
      </w:r>
      <w:r>
        <w:rPr>
          <w:highlight w:val="white"/>
        </w:rPr>
        <w:t xml:space="preserve">портфеля в секторе АПК составил 2,5%</w:t>
      </w:r>
      <w:r>
        <w:rPr>
          <w:highlight w:val="white"/>
        </w:rPr>
        <w:t xml:space="preserve">. </w:t>
      </w:r>
      <w:r>
        <w:rPr>
          <w:highlight w:val="white"/>
        </w:rPr>
        <w:t xml:space="preserve">Доля просроченной задолженности </w:t>
      </w:r>
      <w:r>
        <w:rPr>
          <w:highlight w:val="white"/>
        </w:rPr>
        <w:t xml:space="preserve">по всем отраслям в течение квартала </w:t>
      </w:r>
      <w:r>
        <w:rPr>
          <w:highlight w:val="white"/>
        </w:rPr>
        <w:t xml:space="preserve">росла в рамках тренда</w:t>
      </w:r>
      <w:r>
        <w:rPr>
          <w:highlight w:val="white"/>
        </w:rPr>
        <w:t xml:space="preserve">, и составила 2,8% в конце марта </w:t>
      </w:r>
      <w:r>
        <w:rPr>
          <w:highlight w:val="white"/>
        </w:rPr>
        <w:t xml:space="preserve">по сравнению с </w:t>
      </w:r>
      <w:r>
        <w:rPr>
          <w:highlight w:val="white"/>
        </w:rPr>
        <w:t xml:space="preserve">2,6%</w:t>
      </w:r>
      <w:r>
        <w:rPr>
          <w:highlight w:val="white"/>
        </w:rPr>
        <w:t xml:space="preserve"> в начале года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Розничное кредитование </w:t>
      </w:r>
      <w:r>
        <w:rPr>
          <w:highlight w:val="white"/>
        </w:rPr>
        <w:t xml:space="preserve">в течение 1 квартала </w:t>
      </w:r>
      <w:r>
        <w:rPr>
          <w:highlight w:val="white"/>
        </w:rPr>
        <w:t xml:space="preserve">также не </w:t>
      </w:r>
      <w:r>
        <w:rPr>
          <w:highlight w:val="white"/>
        </w:rPr>
        <w:t xml:space="preserve">вы</w:t>
      </w:r>
      <w:r>
        <w:rPr>
          <w:highlight w:val="white"/>
        </w:rPr>
        <w:t xml:space="preserve">росло</w:t>
      </w:r>
      <w:r>
        <w:rPr>
          <w:rStyle w:val="1264"/>
          <w:highlight w:val="white"/>
        </w:rPr>
        <w:footnoteReference w:id="9"/>
      </w:r>
      <w:r>
        <w:rPr>
          <w:highlight w:val="white"/>
        </w:rPr>
        <w:t xml:space="preserve">: заметное </w:t>
      </w:r>
      <w:r>
        <w:rPr>
          <w:highlight w:val="white"/>
        </w:rPr>
        <w:t xml:space="preserve">снижение авто и потребительск</w:t>
      </w:r>
      <w:r>
        <w:rPr>
          <w:highlight w:val="white"/>
        </w:rPr>
        <w:t xml:space="preserve">о</w:t>
      </w:r>
      <w:r>
        <w:rPr>
          <w:highlight w:val="white"/>
        </w:rPr>
        <w:t xml:space="preserve">го кредитования на </w:t>
      </w:r>
      <w:r>
        <w:rPr>
          <w:highlight w:val="white"/>
        </w:rPr>
        <w:t xml:space="preserve">1,2-1,4% было компенсировано продолжающимся ростом ипотечного портфеля (+0,4%). </w:t>
      </w:r>
      <w:r>
        <w:rPr>
          <w:highlight w:val="white"/>
        </w:rPr>
        <w:t xml:space="preserve">Доля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росроченн</w:t>
      </w:r>
      <w:r>
        <w:rPr>
          <w:highlight w:val="white"/>
        </w:rPr>
        <w:t xml:space="preserve">ой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задолженность </w:t>
      </w:r>
      <w:r>
        <w:rPr>
          <w:highlight w:val="white"/>
        </w:rPr>
        <w:t xml:space="preserve">продолжается </w:t>
      </w:r>
      <w:r>
        <w:rPr>
          <w:highlight w:val="white"/>
        </w:rPr>
        <w:t xml:space="preserve">активно </w:t>
      </w:r>
      <w:r>
        <w:rPr>
          <w:highlight w:val="white"/>
        </w:rPr>
        <w:t xml:space="preserve">расти </w:t>
      </w:r>
      <w:r>
        <w:rPr>
          <w:highlight w:val="white"/>
        </w:rPr>
        <w:t xml:space="preserve">и достигла 0,6% в ипотечном и 8%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неипотечном</w:t>
      </w:r>
      <w:r>
        <w:rPr>
          <w:highlight w:val="white"/>
        </w:rPr>
        <w:t xml:space="preserve"> сегментах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Средства юридических лиц </w:t>
      </w:r>
      <w:r>
        <w:rPr>
          <w:highlight w:val="white"/>
        </w:rPr>
        <w:t xml:space="preserve">с учетом госсредств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1 </w:t>
      </w:r>
      <w:r>
        <w:rPr>
          <w:highlight w:val="white"/>
        </w:rPr>
        <w:t xml:space="preserve">квартале снизились на </w:t>
      </w:r>
      <w:r>
        <w:rPr>
          <w:highlight w:val="white"/>
        </w:rPr>
        <w:t xml:space="preserve">0,9</w:t>
      </w:r>
      <w:r>
        <w:rPr>
          <w:highlight w:val="white"/>
        </w:rPr>
        <w:t xml:space="preserve">% на фоне значительных налоговых платежей</w:t>
      </w:r>
      <w:r>
        <w:rPr>
          <w:highlight w:val="white"/>
        </w:rPr>
        <w:t xml:space="preserve"> и</w:t>
      </w:r>
      <w:r>
        <w:rPr>
          <w:highlight w:val="white"/>
        </w:rPr>
        <w:t xml:space="preserve"> снижения экспортной выручки</w:t>
      </w:r>
      <w:r>
        <w:rPr>
          <w:highlight w:val="white"/>
        </w:rPr>
        <w:t xml:space="preserve">. Снижение в первую очередь затронуло рублевые депозиты</w:t>
      </w:r>
      <w:r>
        <w:rPr>
          <w:highlight w:val="white"/>
        </w:rPr>
        <w:t xml:space="preserve"> юрлиц</w:t>
      </w:r>
      <w:r>
        <w:rPr>
          <w:highlight w:val="white"/>
        </w:rPr>
        <w:t xml:space="preserve"> </w:t>
      </w:r>
      <w:r>
        <w:rPr>
          <w:highlight w:val="white"/>
        </w:rPr>
        <w:t xml:space="preserve">(-8,7%)</w:t>
      </w:r>
      <w:r>
        <w:rPr>
          <w:highlight w:val="white"/>
        </w:rPr>
        <w:t xml:space="preserve">, текущие счета выросли на 3,8%</w:t>
      </w:r>
      <w:r>
        <w:rPr>
          <w:highlight w:val="white"/>
        </w:rPr>
        <w:t xml:space="preserve">. Валютные средства показатели небольшой рост (+6%)</w:t>
      </w:r>
      <w:r>
        <w:rPr>
          <w:highlight w:val="white"/>
        </w:rPr>
        <w:t xml:space="preserve">, как и </w:t>
      </w:r>
      <w:r>
        <w:rPr>
          <w:highlight w:val="white"/>
        </w:rPr>
        <w:t xml:space="preserve">с</w:t>
      </w:r>
      <w:r>
        <w:rPr>
          <w:highlight w:val="white"/>
        </w:rPr>
        <w:t xml:space="preserve">редства на счетах эскроу </w:t>
      </w:r>
      <w:r>
        <w:rPr>
          <w:highlight w:val="white"/>
        </w:rPr>
        <w:t xml:space="preserve">(+2,6</w:t>
      </w:r>
      <w:r>
        <w:rPr>
          <w:highlight w:val="white"/>
        </w:rPr>
        <w:t xml:space="preserve">%)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Средства населения выросли на 1,</w:t>
      </w:r>
      <w:r>
        <w:rPr>
          <w:highlight w:val="white"/>
        </w:rPr>
        <w:t xml:space="preserve">8</w:t>
      </w:r>
      <w:r>
        <w:rPr>
          <w:highlight w:val="white"/>
        </w:rPr>
        <w:t xml:space="preserve">% за 1 квартал 2025 года</w:t>
      </w:r>
      <w:r>
        <w:rPr>
          <w:highlight w:val="white"/>
        </w:rPr>
        <w:t xml:space="preserve">. </w:t>
      </w:r>
      <w:r>
        <w:rPr>
          <w:highlight w:val="white"/>
        </w:rPr>
        <w:t xml:space="preserve">Более низкий рост по сравнению с 1 кварталом 2024 г. (</w:t>
      </w:r>
      <w:r>
        <w:rPr>
          <w:highlight w:val="white"/>
        </w:rPr>
        <w:t xml:space="preserve">4</w:t>
      </w:r>
      <w:r>
        <w:rPr>
          <w:highlight w:val="white"/>
        </w:rPr>
        <w:t xml:space="preserve">,</w:t>
      </w:r>
      <w:r>
        <w:rPr>
          <w:highlight w:val="white"/>
        </w:rPr>
        <w:t xml:space="preserve">4</w:t>
      </w:r>
      <w:r>
        <w:rPr>
          <w:highlight w:val="white"/>
        </w:rPr>
        <w:t xml:space="preserve">%) в значительной степени был обусловлен переносом части премиальных вы</w:t>
      </w:r>
      <w:r>
        <w:rPr>
          <w:highlight w:val="white"/>
        </w:rPr>
        <w:t xml:space="preserve">плат по итогам года с 1 квартала 2025 г. на декабрь 2024 г. в связи с повышением НДФЛ.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Общая оценка результатов деятельности эмитента (гр</w:t>
      </w:r>
      <w:r>
        <w:rPr>
          <w:b/>
          <w:i/>
          <w:highlight w:val="white"/>
        </w:rPr>
        <w:t xml:space="preserve">уппы эмитента) в д</w:t>
      </w:r>
      <w:r>
        <w:rPr>
          <w:b/>
          <w:i/>
          <w:highlight w:val="white"/>
        </w:rPr>
        <w:t xml:space="preserve">анной отрасли.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Доля на рынке кредитов юридических лиц</w:t>
      </w:r>
      <w:r>
        <w:rPr>
          <w:highlight w:val="white"/>
        </w:rPr>
        <w:t xml:space="preserve"> </w:t>
      </w:r>
      <w:r>
        <w:rPr>
          <w:highlight w:val="white"/>
        </w:rPr>
        <w:t xml:space="preserve">Банка </w:t>
      </w:r>
      <w:r>
        <w:rPr>
          <w:highlight w:val="white"/>
        </w:rPr>
        <w:t xml:space="preserve">по итогам 1 кв. 2025 года</w:t>
      </w:r>
      <w:r>
        <w:rPr>
          <w:highlight w:val="white"/>
        </w:rPr>
        <w:t xml:space="preserve"> составляет 4,2% (0,1 п.п. с начала года)</w:t>
      </w:r>
      <w:r>
        <w:rPr>
          <w:highlight w:val="white"/>
        </w:rPr>
        <w:t xml:space="preserve">. Доля Банка на рынке розничных кредитов </w:t>
      </w:r>
      <w:r>
        <w:rPr>
          <w:highlight w:val="white"/>
        </w:rPr>
        <w:t xml:space="preserve">составила 1,5% (-0,05 </w:t>
      </w:r>
      <w:r>
        <w:rPr>
          <w:highlight w:val="white"/>
        </w:rPr>
        <w:t xml:space="preserve">п</w:t>
      </w:r>
      <w:r>
        <w:rPr>
          <w:highlight w:val="white"/>
        </w:rPr>
        <w:t xml:space="preserve">.</w:t>
      </w:r>
      <w:r>
        <w:rPr>
          <w:highlight w:val="white"/>
        </w:rPr>
        <w:t xml:space="preserve">п.). </w:t>
      </w:r>
      <w:r>
        <w:rPr>
          <w:highlight w:val="white"/>
        </w:rPr>
        <w:t xml:space="preserve">Качество кредитного портфеля сохраняются существенно лучше рынка: </w:t>
      </w:r>
      <w:r>
        <w:rPr>
          <w:highlight w:val="white"/>
        </w:rPr>
        <w:t xml:space="preserve">доля </w:t>
      </w:r>
      <w:r>
        <w:rPr>
          <w:highlight w:val="white"/>
        </w:rPr>
        <w:t xml:space="preserve">просроченной задолженности </w:t>
      </w:r>
      <w:r>
        <w:rPr>
          <w:highlight w:val="white"/>
        </w:rPr>
        <w:t xml:space="preserve">в портфеле к</w:t>
      </w:r>
      <w:r>
        <w:rPr>
          <w:highlight w:val="white"/>
        </w:rPr>
        <w:t xml:space="preserve">редитов юридических лиц составил</w:t>
      </w:r>
      <w:r>
        <w:rPr>
          <w:highlight w:val="white"/>
        </w:rPr>
        <w:t xml:space="preserve">а</w:t>
      </w:r>
      <w:r>
        <w:rPr>
          <w:highlight w:val="white"/>
        </w:rPr>
        <w:t xml:space="preserve"> 2,1% (2,7% по рынку в целом), </w:t>
      </w:r>
      <w:r>
        <w:rPr>
          <w:highlight w:val="white"/>
        </w:rPr>
        <w:t xml:space="preserve">в кредит</w:t>
      </w:r>
      <w:r>
        <w:rPr>
          <w:highlight w:val="white"/>
        </w:rPr>
        <w:t xml:space="preserve">ах</w:t>
      </w:r>
      <w:r>
        <w:rPr>
          <w:highlight w:val="white"/>
        </w:rPr>
        <w:t xml:space="preserve"> </w:t>
      </w:r>
      <w:r>
        <w:rPr>
          <w:highlight w:val="white"/>
        </w:rPr>
        <w:t xml:space="preserve">физических лиц – 2,6%</w:t>
      </w:r>
      <w:r>
        <w:rPr>
          <w:highlight w:val="white"/>
        </w:rPr>
        <w:t xml:space="preserve"> </w:t>
      </w:r>
      <w:r>
        <w:rPr>
          <w:highlight w:val="white"/>
        </w:rPr>
        <w:t xml:space="preserve">(</w:t>
      </w:r>
      <w:r>
        <w:rPr>
          <w:highlight w:val="white"/>
        </w:rPr>
        <w:t xml:space="preserve">4,1% в целом по рынку)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По </w:t>
      </w:r>
      <w:r>
        <w:rPr>
          <w:color w:val="000000" w:themeColor="text1"/>
          <w:highlight w:val="white"/>
        </w:rPr>
        <w:t xml:space="preserve">последнему </w:t>
      </w:r>
      <w:r>
        <w:rPr>
          <w:color w:val="000000" w:themeColor="text1"/>
          <w:highlight w:val="white"/>
        </w:rPr>
        <w:t xml:space="preserve">показателю Банк входит в тройку лидеров среди крупнейших кредитных организаций.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портфеле средств юридических лиц, включая эскроу и средства бюджета, доля Банка на рынке по итогам 2024 года и за 1 кв. 2025 года составила 2,7%</w:t>
      </w:r>
      <w:r>
        <w:rPr>
          <w:highlight w:val="white"/>
        </w:rPr>
        <w:t xml:space="preserve"> (на уровне начала года)</w:t>
      </w:r>
      <w:r>
        <w:rPr>
          <w:highlight w:val="white"/>
        </w:rPr>
        <w:t xml:space="preserve">, при этом значительно улучшилась структура портфеля за счет увеличения средств до востребования и эскроу. Рыночная доля Банка на рынке средств физических лиц </w:t>
      </w:r>
      <w:r>
        <w:rPr>
          <w:highlight w:val="white"/>
        </w:rPr>
        <w:t xml:space="preserve">составила 3,3% (+0,05 пп.)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Доля Банка на рынке кредитования АПК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Style w:val="1208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</w:tblGrid>
      <w:tr>
        <w:trPr/>
        <w:tblPrEx/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Вид деятельности Банка на рынке кредитования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Рыночная доля Банка 31.12.2022, </w:t>
            </w:r>
            <w:r>
              <w:rPr>
                <w:b/>
                <w:color w:val="000000"/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Рыночная доля Банка 31.12.2023, </w:t>
            </w:r>
            <w:r>
              <w:rPr>
                <w:b/>
                <w:color w:val="000000"/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Рыночная доля Банка 31.12.2024, </w:t>
            </w:r>
            <w:r>
              <w:rPr>
                <w:b/>
                <w:color w:val="000000"/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Рыночная доля Банка </w:t>
            </w:r>
            <w:r>
              <w:rPr>
                <w:b/>
                <w:color w:val="000000"/>
                <w:highlight w:val="white"/>
              </w:rPr>
              <w:t xml:space="preserve">01</w:t>
            </w:r>
            <w:r>
              <w:rPr>
                <w:b/>
                <w:color w:val="000000"/>
                <w:highlight w:val="white"/>
              </w:rPr>
              <w:t xml:space="preserve">.</w:t>
            </w:r>
            <w:r>
              <w:rPr>
                <w:b/>
                <w:color w:val="000000"/>
                <w:highlight w:val="white"/>
              </w:rPr>
              <w:t xml:space="preserve">04</w:t>
            </w:r>
            <w:r>
              <w:rPr>
                <w:b/>
                <w:color w:val="000000"/>
                <w:highlight w:val="white"/>
              </w:rPr>
              <w:t xml:space="preserve">.202</w:t>
            </w:r>
            <w:r>
              <w:rPr>
                <w:b/>
                <w:color w:val="000000"/>
                <w:highlight w:val="white"/>
              </w:rPr>
              <w:t xml:space="preserve">5</w:t>
            </w:r>
            <w:r>
              <w:rPr>
                <w:b/>
                <w:color w:val="000000"/>
                <w:highlight w:val="white"/>
              </w:rPr>
              <w:t xml:space="preserve">, %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Кредитование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33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/>
              </w:rPr>
              <w:t xml:space="preserve">34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Финансирование сезонных работ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75,8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rPr/>
        <w:tblPrEx/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Льготное кредитование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noWrap w:val="false"/>
            <w:textDirection w:val="lrTb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37,4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дополнение к классическому банковскому бизнесу, Банк в рамках Группы развивает финансовые сервисы, включая услуги лизинга, факторинга, страхования и управления активами. В этих секторах по состоянию на 01.04.2025 Группа занимает:</w:t>
      </w:r>
      <w:r>
        <w:rPr>
          <w:highlight w:val="white"/>
        </w:rPr>
      </w:r>
      <w:r>
        <w:rPr>
          <w:highlight w:val="white"/>
        </w:rPr>
      </w:r>
    </w:p>
    <w:p>
      <w:pPr>
        <w:pStyle w:val="1200"/>
        <w:numPr>
          <w:numId w:val="66"/>
          <w:ilvl w:val="0"/>
        </w:numPr>
        <w:tabs>
          <w:tab w:val="left" w:pos="993" w:leader="none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место по сельскохозяйственному страхованию;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6"/>
          <w:ilvl w:val="0"/>
        </w:numPr>
        <w:tabs>
          <w:tab w:val="left" w:pos="993" w:leader="none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место по факторинговому портфелю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Фактические показатели, характеризующие положение эмитента (группы эмит</w:t>
      </w:r>
      <w:r>
        <w:rPr>
          <w:b/>
          <w:i/>
          <w:highlight w:val="white"/>
        </w:rPr>
        <w:t xml:space="preserve">ента) в банковском секторе экономики в целом. Оценка соответствия результатов деятельности эмитента (группы эмитента) тенденциям развития банковского сектора экономики и причины, обосновывающие полученные результаты деятельности эмитента (группы эмитента):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Суммарный кредитный портфель</w:t>
      </w:r>
      <w:r>
        <w:rPr>
          <w:highlight w:val="white"/>
          <w:vertAlign w:val="superscript"/>
        </w:rPr>
        <w:footnoteReference w:id="10"/>
      </w:r>
      <w:r>
        <w:rPr>
          <w:highlight w:val="white"/>
        </w:rPr>
        <w:t xml:space="preserve"> Банка в 2024 году </w:t>
      </w:r>
      <w:r>
        <w:rPr>
          <w:highlight w:val="white"/>
        </w:rPr>
        <w:t xml:space="preserve">без учета валютной переоценки </w:t>
      </w:r>
      <w:r>
        <w:rPr>
          <w:highlight w:val="white"/>
        </w:rPr>
        <w:t xml:space="preserve">увеличился на 12,6%</w:t>
      </w:r>
      <w:r>
        <w:rPr>
          <w:highlight w:val="white"/>
        </w:rPr>
        <w:t xml:space="preserve">. В 1 квартале 2025 года портфель вырос на 1,</w:t>
      </w:r>
      <w:r>
        <w:rPr>
          <w:highlight w:val="white"/>
        </w:rPr>
        <w:t xml:space="preserve">2</w:t>
      </w:r>
      <w:r>
        <w:rPr>
          <w:highlight w:val="white"/>
        </w:rPr>
        <w:t xml:space="preserve">%</w:t>
      </w:r>
      <w:r>
        <w:rPr>
          <w:highlight w:val="white"/>
        </w:rPr>
        <w:t xml:space="preserve">, и составил 4,13 трлн руб.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Объем корпоративного кредитного портфеля Банка в 2024 году вырос на 14,4%</w:t>
      </w:r>
      <w:r>
        <w:rPr>
          <w:highlight w:val="white"/>
        </w:rPr>
        <w:t xml:space="preserve"> (</w:t>
      </w:r>
      <w:r>
        <w:rPr>
          <w:highlight w:val="white"/>
        </w:rPr>
        <w:t xml:space="preserve">17,9%</w:t>
      </w:r>
      <w:r>
        <w:rPr>
          <w:highlight w:val="white"/>
        </w:rPr>
        <w:t xml:space="preserve"> по рынку в целом)</w:t>
      </w:r>
      <w:r>
        <w:rPr>
          <w:highlight w:val="white"/>
        </w:rPr>
        <w:t xml:space="preserve">. </w:t>
      </w:r>
      <w:r>
        <w:rPr>
          <w:highlight w:val="white"/>
        </w:rPr>
        <w:t xml:space="preserve">При этом </w:t>
      </w:r>
      <w:r>
        <w:rPr>
          <w:highlight w:val="white"/>
        </w:rPr>
        <w:t xml:space="preserve">кредитный </w:t>
      </w:r>
      <w:r>
        <w:rPr>
          <w:highlight w:val="white"/>
        </w:rPr>
        <w:t xml:space="preserve">портфель Банка сектора АПК был увеличен на 13% – почти с двухкратным опережением рынка</w:t>
      </w:r>
      <w:r>
        <w:rPr>
          <w:highlight w:val="white"/>
        </w:rPr>
        <w:t xml:space="preserve"> (</w:t>
      </w:r>
      <w:r>
        <w:rPr>
          <w:highlight w:val="white"/>
        </w:rPr>
        <w:t xml:space="preserve">8</w:t>
      </w:r>
      <w:r>
        <w:rPr>
          <w:highlight w:val="white"/>
        </w:rPr>
        <w:t xml:space="preserve">,</w:t>
      </w:r>
      <w:r>
        <w:rPr>
          <w:highlight w:val="white"/>
        </w:rPr>
        <w:t xml:space="preserve">1</w:t>
      </w:r>
      <w:r>
        <w:rPr>
          <w:highlight w:val="white"/>
        </w:rPr>
        <w:t xml:space="preserve">%)</w:t>
      </w:r>
      <w:r>
        <w:rPr>
          <w:highlight w:val="white"/>
        </w:rPr>
        <w:t xml:space="preserve">. </w:t>
      </w:r>
      <w:r>
        <w:rPr>
          <w:color w:val="000000" w:themeColor="text1"/>
          <w:highlight w:val="white"/>
        </w:rPr>
        <w:t xml:space="preserve">За 1 кв</w:t>
      </w:r>
      <w:r>
        <w:rPr>
          <w:color w:val="000000" w:themeColor="text1"/>
          <w:highlight w:val="white"/>
        </w:rPr>
        <w:t xml:space="preserve">артал</w:t>
      </w:r>
      <w:r>
        <w:rPr>
          <w:color w:val="000000" w:themeColor="text1"/>
          <w:highlight w:val="white"/>
        </w:rPr>
        <w:t xml:space="preserve"> 2025 года Банк увеличил корпоративный портфель на 2,1%, что выше рынка (-0,1%). </w:t>
      </w:r>
      <w:r>
        <w:rPr>
          <w:color w:val="000000" w:themeColor="text1"/>
          <w:highlight w:val="white"/>
        </w:rPr>
        <w:t xml:space="preserve">Портфель кредитования Банка в сегменте АПК увеличился на 3,</w:t>
      </w:r>
      <w:r>
        <w:rPr>
          <w:color w:val="000000" w:themeColor="text1"/>
          <w:highlight w:val="white"/>
        </w:rPr>
        <w:t xml:space="preserve">7</w:t>
      </w:r>
      <w:r>
        <w:rPr>
          <w:color w:val="000000" w:themeColor="text1"/>
          <w:highlight w:val="white"/>
        </w:rPr>
        <w:t xml:space="preserve">%, что выше рыночного прироста в 2,</w:t>
      </w:r>
      <w:r>
        <w:rPr>
          <w:color w:val="000000" w:themeColor="text1"/>
          <w:highlight w:val="white"/>
        </w:rPr>
        <w:t xml:space="preserve">4</w:t>
      </w:r>
      <w:r>
        <w:rPr>
          <w:color w:val="000000" w:themeColor="text1"/>
          <w:highlight w:val="white"/>
        </w:rPr>
        <w:t xml:space="preserve">%.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Портфель розничных кредитов в 2024 году вырос на 2,6%</w:t>
      </w:r>
      <w:r>
        <w:rPr>
          <w:highlight w:val="white"/>
        </w:rPr>
        <w:t xml:space="preserve"> (</w:t>
      </w:r>
      <w:r>
        <w:rPr>
          <w:highlight w:val="white"/>
        </w:rPr>
        <w:t xml:space="preserve">12,3%</w:t>
      </w:r>
      <w:r>
        <w:rPr>
          <w:highlight w:val="white"/>
        </w:rPr>
        <w:t xml:space="preserve"> по рынку в ц</w:t>
      </w:r>
      <w:r>
        <w:rPr>
          <w:highlight w:val="white"/>
        </w:rPr>
        <w:t xml:space="preserve">е</w:t>
      </w:r>
      <w:r>
        <w:rPr>
          <w:highlight w:val="white"/>
        </w:rPr>
        <w:t xml:space="preserve">лом</w:t>
      </w:r>
      <w:r>
        <w:rPr>
          <w:highlight w:val="white"/>
        </w:rPr>
        <w:t xml:space="preserve"> с поправкой на секьюритизацию и выкуп специализированными финансовыми обществами части портфеля</w:t>
      </w:r>
      <w:r>
        <w:rPr>
          <w:highlight w:val="white"/>
        </w:rPr>
        <w:t xml:space="preserve">)</w:t>
      </w:r>
      <w:r>
        <w:rPr>
          <w:highlight w:val="white"/>
        </w:rPr>
        <w:t xml:space="preserve">. В структуре розничного кредитного портфеля </w:t>
      </w:r>
      <w:r>
        <w:rPr>
          <w:highlight w:val="white"/>
        </w:rPr>
        <w:t xml:space="preserve">преобладает ипотечный портфель (</w:t>
      </w:r>
      <w:r>
        <w:rPr>
          <w:highlight w:val="white"/>
        </w:rPr>
        <w:t xml:space="preserve">8</w:t>
      </w:r>
      <w:r>
        <w:rPr>
          <w:highlight w:val="white"/>
        </w:rPr>
        <w:t xml:space="preserve">2</w:t>
      </w:r>
      <w:r>
        <w:rPr>
          <w:highlight w:val="white"/>
        </w:rPr>
        <w:t xml:space="preserve">%</w:t>
      </w:r>
      <w:r>
        <w:rPr>
          <w:highlight w:val="white"/>
        </w:rPr>
        <w:t xml:space="preserve">): его рост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2024 год </w:t>
      </w:r>
      <w:r>
        <w:rPr>
          <w:highlight w:val="white"/>
        </w:rPr>
        <w:t xml:space="preserve">составил </w:t>
      </w:r>
      <w:r>
        <w:rPr>
          <w:highlight w:val="white"/>
        </w:rPr>
        <w:t xml:space="preserve">12%, что выше рыночного темпа (10,</w:t>
      </w:r>
      <w:r>
        <w:rPr>
          <w:highlight w:val="white"/>
        </w:rPr>
        <w:t xml:space="preserve">9</w:t>
      </w:r>
      <w:r>
        <w:rPr>
          <w:highlight w:val="white"/>
        </w:rPr>
        <w:t xml:space="preserve">%).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1</w:t>
      </w:r>
      <w:r>
        <w:rPr>
          <w:highlight w:val="white"/>
        </w:rPr>
        <w:t xml:space="preserve"> </w:t>
      </w:r>
      <w:r>
        <w:rPr>
          <w:highlight w:val="white"/>
        </w:rPr>
        <w:t xml:space="preserve">кв</w:t>
      </w:r>
      <w:r>
        <w:rPr>
          <w:highlight w:val="white"/>
        </w:rPr>
        <w:t xml:space="preserve">артале</w:t>
      </w:r>
      <w:r>
        <w:rPr>
          <w:highlight w:val="white"/>
        </w:rPr>
        <w:t xml:space="preserve"> 2025 года </w:t>
      </w:r>
      <w:r>
        <w:rPr>
          <w:highlight w:val="white"/>
        </w:rPr>
        <w:t xml:space="preserve">Банк </w:t>
      </w:r>
      <w:r>
        <w:rPr>
          <w:highlight w:val="white"/>
        </w:rPr>
        <w:t xml:space="preserve">сократил портфель на 3,7% </w:t>
      </w:r>
      <w:r>
        <w:rPr>
          <w:highlight w:val="white"/>
        </w:rPr>
        <w:t xml:space="preserve">примерно в равной степени за счет кредитов наличными и ипотеки</w:t>
      </w:r>
      <w:r>
        <w:rPr>
          <w:highlight w:val="white"/>
        </w:rPr>
        <w:t xml:space="preserve">. В целом по ры</w:t>
      </w:r>
      <w:r>
        <w:rPr>
          <w:highlight w:val="white"/>
        </w:rPr>
        <w:t xml:space="preserve">нку портфель сократился на 1%</w:t>
      </w:r>
      <w:r>
        <w:rPr>
          <w:highlight w:val="white"/>
        </w:rPr>
        <w:t xml:space="preserve">, при этом </w:t>
      </w:r>
      <w:r>
        <w:rPr>
          <w:highlight w:val="white"/>
        </w:rPr>
        <w:t xml:space="preserve">задолженность населе</w:t>
      </w:r>
      <w:r>
        <w:rPr>
          <w:highlight w:val="white"/>
        </w:rPr>
        <w:t xml:space="preserve">ния по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ипо</w:t>
      </w:r>
      <w:r>
        <w:rPr>
          <w:highlight w:val="white"/>
        </w:rPr>
        <w:t xml:space="preserve">те</w:t>
      </w:r>
      <w:r>
        <w:rPr>
          <w:highlight w:val="white"/>
        </w:rPr>
        <w:t xml:space="preserve">ке </w:t>
      </w:r>
      <w:r>
        <w:rPr>
          <w:highlight w:val="white"/>
        </w:rPr>
        <w:t xml:space="preserve">не изменилась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color w:val="000000" w:themeColor="text1"/>
          <w:highlight w:val="white"/>
        </w:rPr>
      </w:pPr>
      <w:r>
        <w:rPr>
          <w:highlight w:val="white"/>
        </w:rPr>
        <w:t xml:space="preserve">Клиентские </w:t>
      </w:r>
      <w:r>
        <w:rPr>
          <w:highlight w:val="white"/>
        </w:rPr>
        <w:t xml:space="preserve">средств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 юридических лиц, включая эскроу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средства бюджета</w:t>
      </w:r>
      <w:r>
        <w:rPr>
          <w:highlight w:val="white"/>
        </w:rPr>
        <w:t xml:space="preserve">, средства в расчетах и на брокерских счетах</w:t>
      </w:r>
      <w:r>
        <w:rPr>
          <w:highlight w:val="white"/>
        </w:rPr>
        <w:t xml:space="preserve"> в 2024 году вырос</w:t>
      </w:r>
      <w:r>
        <w:rPr>
          <w:highlight w:val="white"/>
        </w:rPr>
        <w:t xml:space="preserve">ли на</w:t>
      </w:r>
      <w:r>
        <w:rPr>
          <w:highlight w:val="white"/>
        </w:rPr>
        <w:t xml:space="preserve"> 9,6%</w:t>
      </w:r>
      <w:r>
        <w:rPr>
          <w:highlight w:val="white"/>
        </w:rPr>
        <w:t xml:space="preserve"> (</w:t>
      </w:r>
      <w:r>
        <w:rPr>
          <w:highlight w:val="white"/>
        </w:rPr>
        <w:t xml:space="preserve">9,8</w:t>
      </w:r>
      <w:r>
        <w:rPr>
          <w:highlight w:val="white"/>
        </w:rPr>
        <w:t xml:space="preserve">%</w:t>
      </w:r>
      <w:r>
        <w:rPr>
          <w:highlight w:val="white"/>
        </w:rPr>
        <w:t xml:space="preserve"> в целом по рынку)</w:t>
      </w:r>
      <w:r>
        <w:rPr>
          <w:highlight w:val="white"/>
        </w:rPr>
        <w:t xml:space="preserve">. </w:t>
      </w:r>
      <w:r>
        <w:rPr>
          <w:highlight w:val="white"/>
        </w:rPr>
        <w:t xml:space="preserve"> За 1 квартал 2025 года </w:t>
      </w:r>
      <w:r>
        <w:rPr>
          <w:highlight w:val="white"/>
        </w:rPr>
        <w:t xml:space="preserve">объем</w:t>
      </w:r>
      <w:r>
        <w:rPr>
          <w:highlight w:val="white"/>
        </w:rPr>
        <w:t xml:space="preserve"> </w:t>
      </w:r>
      <w:r>
        <w:rPr>
          <w:highlight w:val="white"/>
        </w:rPr>
        <w:t xml:space="preserve">средств </w:t>
      </w:r>
      <w:r>
        <w:rPr>
          <w:highlight w:val="white"/>
        </w:rPr>
        <w:t xml:space="preserve">юридических лиц, </w:t>
      </w:r>
      <w:r>
        <w:rPr>
          <w:highlight w:val="white"/>
        </w:rPr>
        <w:t xml:space="preserve">привлеченных</w:t>
      </w:r>
      <w:r>
        <w:rPr>
          <w:highlight w:val="white"/>
        </w:rPr>
        <w:t xml:space="preserve"> </w:t>
      </w:r>
      <w:r>
        <w:rPr>
          <w:highlight w:val="white"/>
        </w:rPr>
        <w:t xml:space="preserve">Банк</w:t>
      </w:r>
      <w:r>
        <w:rPr>
          <w:highlight w:val="white"/>
        </w:rPr>
        <w:t xml:space="preserve">ом</w:t>
      </w:r>
      <w:r>
        <w:rPr>
          <w:highlight w:val="white"/>
        </w:rPr>
        <w:t xml:space="preserve"> сократился </w:t>
      </w:r>
      <w:r>
        <w:rPr>
          <w:highlight w:val="white"/>
        </w:rPr>
        <w:t xml:space="preserve">на </w:t>
      </w:r>
      <w:r>
        <w:rPr>
          <w:highlight w:val="white"/>
        </w:rPr>
        <w:t xml:space="preserve">0,8%</w:t>
      </w:r>
      <w:r>
        <w:rPr>
          <w:highlight w:val="white"/>
        </w:rPr>
        <w:t xml:space="preserve"> </w:t>
      </w:r>
      <w:r>
        <w:rPr>
          <w:highlight w:val="white"/>
        </w:rPr>
        <w:t xml:space="preserve">(</w:t>
      </w:r>
      <w:r>
        <w:rPr>
          <w:highlight w:val="white"/>
        </w:rPr>
        <w:t xml:space="preserve">-</w:t>
      </w:r>
      <w:r>
        <w:rPr>
          <w:color w:val="000000" w:themeColor="text1"/>
          <w:highlight w:val="white"/>
        </w:rPr>
        <w:t xml:space="preserve">0,9%</w:t>
      </w:r>
      <w:r>
        <w:rPr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в целом по рынку</w:t>
      </w:r>
      <w:r>
        <w:rPr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Прирост привлеченных Банком средств физических лиц в 2024 году составил 9,6% (по рынку рост </w:t>
      </w:r>
      <w:r>
        <w:rPr>
          <w:highlight w:val="white"/>
        </w:rPr>
        <w:t xml:space="preserve">составил</w:t>
      </w:r>
      <w:r>
        <w:rPr>
          <w:highlight w:val="white"/>
        </w:rPr>
        <w:t xml:space="preserve"> 2</w:t>
      </w:r>
      <w:r>
        <w:rPr>
          <w:highlight w:val="white"/>
        </w:rPr>
        <w:t xml:space="preserve">6,1</w:t>
      </w:r>
      <w:r>
        <w:rPr>
          <w:highlight w:val="white"/>
        </w:rPr>
        <w:t xml:space="preserve">%) и соответствовал динамике расширения кредитного портфеля Банка. 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1 квартал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 2025 года </w:t>
      </w:r>
      <w:r>
        <w:rPr>
          <w:highlight w:val="white"/>
        </w:rPr>
        <w:t xml:space="preserve">прирост составил 3,2% (1,8% </w:t>
      </w:r>
      <w:r>
        <w:rPr>
          <w:highlight w:val="white"/>
        </w:rPr>
        <w:t xml:space="preserve">по рынку в целом).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color w:val="000000" w:themeColor="text1"/>
          <w:highlight w:val="white"/>
        </w:rPr>
      </w:pPr>
      <w:r>
        <w:rPr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 состоянию на 01.04.2025 Банк входит в ТОП крупнейших кредитных организаций Российской Федерации, занимая: </w:t>
      </w:r>
      <w:r>
        <w:rPr>
          <w:highlight w:val="white"/>
        </w:rPr>
      </w:r>
    </w:p>
    <w:p>
      <w:pPr>
        <w:pStyle w:val="1200"/>
        <w:numPr>
          <w:numId w:val="62"/>
          <w:ilvl w:val="0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 1 место по финансированию сезонных работ АПК; </w:t>
      </w:r>
      <w:r>
        <w:rPr>
          <w:rFonts w:ascii="Times New Roman" w:hAnsi="Times New Roman" w:cs="Times New Roman"/>
          <w:sz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200"/>
        <w:numPr>
          <w:numId w:val="62"/>
          <w:ilvl w:val="0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 3 место по размеру филиальной сети.</w:t>
      </w:r>
      <w:r>
        <w:rPr>
          <w:rFonts w:ascii="Times New Roman" w:hAnsi="Times New Roman" w:cs="Times New Roman"/>
          <w:sz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suppressLineNumbers w:val="0"/>
        <w:ind w:firstLine="709"/>
        <w:jc w:val="both"/>
        <w:rPr>
          <w:highlight w:val="white"/>
        </w:rPr>
      </w:pPr>
      <w:r>
        <w:rPr>
          <w:highlight w:val="white"/>
        </w:rPr>
        <w:t xml:space="preserve">По состоянию на 01.04.2025 года Банк занимал ведущие позиции на рынках кредитования (по кредитному портфелю) ключевых </w:t>
      </w:r>
      <w:r>
        <w:rPr>
          <w:highlight w:val="white"/>
        </w:rPr>
        <w:t xml:space="preserve">подотраслей</w:t>
      </w:r>
      <w:r>
        <w:rPr>
          <w:highlight w:val="white"/>
        </w:rPr>
        <w:t xml:space="preserve"> АПК. В частности, рыночная доля Банка составила: </w:t>
      </w:r>
      <w:r>
        <w:rPr>
          <w:highlight w:val="white"/>
        </w:rPr>
      </w:r>
    </w:p>
    <w:p>
      <w:pPr>
        <w:pStyle w:val="1200"/>
        <w:numPr>
          <w:numId w:val="62"/>
          <w:ilvl w:val="0"/>
        </w:numPr>
        <w:tabs>
          <w:tab w:val="left" w:pos="851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 по отрасли «Сельское хозяйство, охота и предоставление услуг в этих областях» – 4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,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%; </w:t>
      </w:r>
      <w:r>
        <w:rPr>
          <w:rFonts w:ascii="Times New Roman" w:hAnsi="Times New Roman" w:cs="Times New Roman"/>
          <w:sz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200"/>
        <w:numPr>
          <w:numId w:val="62"/>
          <w:ilvl w:val="0"/>
        </w:numPr>
        <w:tabs>
          <w:tab w:val="left" w:pos="851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 по отрасли «Производство пищевых продуктов, включая напитки, и табака» – 2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1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,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%;</w:t>
      </w:r>
      <w:r>
        <w:rPr>
          <w:rFonts w:ascii="Times New Roman" w:hAnsi="Times New Roman" w:cs="Times New Roman"/>
          <w:sz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200"/>
        <w:numPr>
          <w:numId w:val="62"/>
          <w:ilvl w:val="0"/>
        </w:numPr>
        <w:tabs>
          <w:tab w:val="left" w:pos="851" w:leader="none"/>
          <w:tab w:val="left" w:pos="993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 Банк занимает лидирующие позиции на рынке кредитования сезонных работ, на 01.04.2025 года рыночная доля Банка (по выдачам) составила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75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,8%.</w:t>
      </w:r>
      <w:r>
        <w:rPr>
          <w:rFonts w:ascii="Times New Roman" w:hAnsi="Times New Roman" w:cs="Times New Roman"/>
          <w:sz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об основных конкурентах эмитента (группы эмитента), сопоставление сильных и слабых сторон эмитента (группы эмитента) в сравнении с ними.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Основными конкурентами Банка на рынке корпоративного и розничного кредитования являются Банк ВТБ (ПАО), АО «ДОМ.РФ», Банк ГПБ (АО) и ПАО Промсвязьбанк.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Основным конкурентом Банка на рынке кредитования АПК является ПАО Сбербанк.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rPr>
          <w:b/>
          <w:highlight w:val="white"/>
        </w:rPr>
      </w:pPr>
      <w:r>
        <w:rPr>
          <w:b/>
          <w:highlight w:val="white"/>
        </w:rPr>
        <w:t xml:space="preserve">Сильные стороны Банка: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Системная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поддержка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акционера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Статус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Лидерство в кредитовании АПК, в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 малых форм хозяйствования, в финансировании сезонных работ;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Уникальная отраслевая экспертиза в АПК;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Широкая продуктовая линейка универсального банка, адаптированная к потребностям клиентов АПК, в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 малых форм хозяйствования;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Широкая филиальная сеть, присутствие в малых городах и сельской местности;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3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Банка в приоритетных национальных проектах, активное взаимодействие с органами государственной власти, ключевыми отраслевыми союзами АПК.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rPr>
          <w:b/>
          <w:highlight w:val="white"/>
        </w:rPr>
      </w:pPr>
      <w:r>
        <w:rPr>
          <w:b/>
          <w:highlight w:val="white"/>
        </w:rPr>
        <w:t xml:space="preserve">Слабые стороны Банка: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200"/>
        <w:numPr>
          <w:numId w:val="64"/>
          <w:ilvl w:val="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Невысокая доля остатков до востребования на текущих и расчетных счетах;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4"/>
          <w:ilvl w:val="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Доля комиссионных доходов в структуре доходов Банка несколько ниже среднего значения по банковской системе в целом;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4"/>
          <w:ilvl w:val="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Доля продаж в дистанционных каналах отстает от среднего показателя по банковской системе в целом.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Отдельное (несовпадающее) мнение каждого из органов управления эмитента относительно представленной информации и аргументация, объясняющая их позицию.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highlight w:val="white"/>
        </w:rPr>
        <w:t xml:space="preserve">Отдельные (несовпадающие) мнения органов управления Эмитента относительно представленных данных отсутствуют.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Особые мнения членов совета директоров (наблюдательного совета) эмитента или членов коллегиального исполнительного органа эмитента (настаивающих на отражении в отчете эмитента таких мнений) относительно представленной информации, отраженны</w:t>
      </w:r>
      <w:r>
        <w:rPr>
          <w:b/>
          <w:i/>
          <w:highlight w:val="white"/>
        </w:rPr>
        <w:t xml:space="preserve">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аргументация членов органов управления эмитента, объясняющая их позиции: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Особые мнения членов наблюдательного совета или членов коллегиального исполнительного органа Эмитента относительно представленной информации отсутствуют.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2.7</w:t>
      </w:r>
      <w:r>
        <w:rPr>
          <w:b/>
          <w:highlight w:val="white"/>
        </w:rPr>
        <w:t xml:space="preserve">. Сведения о перспективах развития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Стратегия дальнейшего развития эмитента (группы эмитента) не менее чем на год: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Наблюдательный совет АО «Россельхозбанк» 15 октября 2020 года утвердил Стратегию развития Банка до 2025 года. Реализация Стратегии позволит </w:t>
      </w:r>
      <w:r>
        <w:rPr>
          <w:highlight w:val="white"/>
        </w:rPr>
        <w:t xml:space="preserve">                                              </w:t>
      </w:r>
      <w:r>
        <w:rPr>
          <w:highlight w:val="white"/>
        </w:rPr>
        <w:t xml:space="preserve">АО «Россельхозбанк» и дальше эффективно решать государственные задачи в сфере АПК и </w:t>
      </w:r>
      <w:r>
        <w:rPr>
          <w:highlight w:val="white"/>
        </w:rPr>
        <w:t xml:space="preserve">развития сельских территорий</w:t>
      </w:r>
      <w:r>
        <w:rPr>
          <w:highlight w:val="white"/>
        </w:rPr>
        <w:t xml:space="preserve">, обеспечивать устойчивое развитие и конкурентоспособность Банка, соблюдать нормативные требования регулятора, а также достигать целевых уровней рентабельности.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Целевой облик Банка к 2025 году определяется двумя стратегическими целями.</w:t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b/>
          <w:highlight w:val="white"/>
        </w:rPr>
        <w:t xml:space="preserve">1. «Опорный банк для АПК и сельских территорий».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рамках достижения данной стратегической цели Банк сохранит ведущие позиции в кредитовании АПК и статус проводника мер государственной поддержки АПК, обеспечивая </w:t>
      </w:r>
      <w:r>
        <w:rPr>
          <w:highlight w:val="white"/>
        </w:rPr>
        <w:t xml:space="preserve">комплексный мультипликативный эффект для АПК и смежных отраслей экономики и способствуя достижению национальных приоритетов, определенных Президентом Российской Федерации, задач Доктрины продовольственной безопасности Российской Федерации, Стратегии развит</w:t>
      </w:r>
      <w:r>
        <w:rPr>
          <w:highlight w:val="white"/>
        </w:rPr>
        <w:t xml:space="preserve">ия агропромышленного и рыбохозяйственного комплексов Российской Федерации на период до 2030 года (далее – Стратегия АПК), Государственной программы развития сельского хозяйства, профильных для развития АПК национальных проектов и государственных программ.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будет содействовать выполнению задач Стратегии АПК, направленных на повышение уровня инвестиций </w:t>
      </w:r>
      <w:r>
        <w:rPr>
          <w:highlight w:val="white"/>
        </w:rPr>
        <w:t xml:space="preserve">в основной капитал, рост конкурентоспособности продукции АПК, а также уровня технологического развития и цифровизации отрасли, поддержку предпринимательства в сельской местности, а также сельского населения, увеличение предложения и качества жилья на селе.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закрепит за собой статус банка первого выбора для сложных сделок в АПК (выход на долговые рынки, M&amp;A) и будет принимать активное участие в дальнейшей консолидации отрасли и поддержке корпоративного бизнеса.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упростит доступ аграриев, включая фермеров, к передовым агротехнологическим решениям. Банк будет обеспечивать не менее 30% потребностей АПК </w:t>
      </w:r>
      <w:r>
        <w:rPr>
          <w:highlight w:val="white"/>
        </w:rPr>
        <w:t xml:space="preserve">в финансовых ресурсах, в том числе не менее 30% в льготном кредитовании, и не менее 70% потребностей в финансировании сезонных работ.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Банк продолжит расширять льготное кредитование жител</w:t>
      </w:r>
      <w:r>
        <w:rPr>
          <w:highlight w:val="white"/>
        </w:rPr>
        <w:t xml:space="preserve">ей сельской местности, что позволит повысить уровень и качество жизни на селе. Рост доступности финансовых услуг будет обеспечен с помощью удобных для клиентов и экономически эффективных форматов обслуживания, все целевые продукты будут доступны субъектам </w:t>
      </w:r>
      <w:r>
        <w:rPr>
          <w:rFonts w:eastAsia="Calibri"/>
          <w:color w:val="000000"/>
          <w:highlight w:val="white"/>
          <w:lang w:eastAsia="en-US"/>
        </w:rPr>
        <w:t xml:space="preserve">малого и среднего предпринимательства (далее – </w:t>
      </w:r>
      <w:r>
        <w:rPr>
          <w:highlight w:val="white"/>
        </w:rPr>
        <w:t xml:space="preserve">МСП) и населению, в том числе в современных цифровых каналах.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color w:val="000000"/>
          <w:highlight w:val="white"/>
          <w:lang w:eastAsia="en-US"/>
        </w:rPr>
        <w:t xml:space="preserve">В дополнение к финансовой поддержке Банк </w:t>
      </w:r>
      <w:r>
        <w:rPr>
          <w:highlight w:val="white"/>
        </w:rPr>
        <w:t xml:space="preserve">развивает специализированные нефинансовые сервисы и направления деятельности, формирующие комфортную среду для приоритетных клиентских сегментов, </w:t>
      </w:r>
      <w:r>
        <w:rPr>
          <w:rFonts w:eastAsia="Calibri"/>
          <w:color w:val="000000"/>
          <w:highlight w:val="white"/>
          <w:lang w:eastAsia="en-US"/>
        </w:rPr>
        <w:t xml:space="preserve">включая компании МСБ в АПК, фермеров, экспортеров продукции АПК, жителей сельских территорий и студентов аграрных вузов</w:t>
      </w:r>
      <w:r>
        <w:rPr>
          <w:highlight w:val="white"/>
        </w:rPr>
        <w:t xml:space="preserve">. Для реализации проектов в данном направлении разработана и внедряется стратегическая кон</w:t>
      </w:r>
      <w:r>
        <w:rPr>
          <w:highlight w:val="white"/>
        </w:rPr>
        <w:t xml:space="preserve">цепция «Больше, чем Банк».  АО «Россельхозбанк» считает своей ключевой целью быть банком первого выбора для клиентов АПК, содействуя исполнению Стратегии АПК, программы «Комплексное развитие сельских территорий» и реализуя социальную ответственность Банка.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2. «Эффективный конкурентный</w:t>
      </w:r>
      <w:r>
        <w:rPr>
          <w:b/>
          <w:bCs/>
          <w:highlight w:val="white"/>
        </w:rPr>
        <w:t xml:space="preserve"> высокотехнологичный финансовый </w:t>
      </w:r>
      <w:r>
        <w:rPr>
          <w:b/>
          <w:bCs/>
          <w:highlight w:val="white"/>
        </w:rPr>
        <w:t xml:space="preserve">институт».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результате достижения данной стратегической цели Банк повысит финансовую устойчивость и доходность за счет диверсифицированных источников фондирования, качественного кредитного портфеля и операционной эффективности, что обеспечит ст</w:t>
      </w:r>
      <w:r>
        <w:rPr>
          <w:highlight w:val="white"/>
        </w:rPr>
        <w:t xml:space="preserve">абильную ежегодную ген</w:t>
      </w:r>
      <w:r>
        <w:rPr>
          <w:highlight w:val="white"/>
        </w:rPr>
        <w:t xml:space="preserve">ерацию капитала за счет прибыли.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Ускоренная системн</w:t>
      </w:r>
      <w:r>
        <w:rPr>
          <w:highlight w:val="white"/>
        </w:rPr>
        <w:t xml:space="preserve">ая цифровая трансформация будет способствовать развитию Банка как высокотехнологичного цифрового банка благодаря использованию передовых инструментов цифровизации процессов взаимодействия с клиентами и поддерживающих процессов.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Ди</w:t>
      </w:r>
      <w:r>
        <w:rPr>
          <w:highlight w:val="white"/>
        </w:rPr>
        <w:t xml:space="preserve">версификация бизнеса Банка будет осуществляться за счет расширения продуктовой линейки, развития системы кросс-продаж, в том числе при участии дочерних организаций Банка, отвечающих за отдельные бизнес-направления (страхование, управление активами, фактори</w:t>
      </w:r>
      <w:r>
        <w:rPr>
          <w:highlight w:val="white"/>
        </w:rPr>
        <w:t xml:space="preserve">нг, лизинг и др.). В условиях продолжающегося снижения процентной маржи на банковском рынке Банк будет активно продвигать транзакционные продукты и сервисы и повышать долю непроцентных доходов в общей структуре доходов в разрезе всех клиентских сегментов.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Важной задачей Банка является сохранение высокого качества кредитного портфеля. Банк</w:t>
      </w:r>
      <w:r>
        <w:rPr>
          <w:highlight w:val="white"/>
        </w:rPr>
        <w:t xml:space="preserve"> проводит постоянную актуализацию</w:t>
      </w:r>
      <w:r>
        <w:rPr>
          <w:highlight w:val="white"/>
        </w:rPr>
        <w:t xml:space="preserve"> подход</w:t>
      </w:r>
      <w:r>
        <w:rPr>
          <w:highlight w:val="white"/>
        </w:rPr>
        <w:t xml:space="preserve">ов</w:t>
      </w:r>
      <w:r>
        <w:rPr>
          <w:highlight w:val="white"/>
        </w:rPr>
        <w:t xml:space="preserve"> к оценке рисков, внедр</w:t>
      </w:r>
      <w:r>
        <w:rPr>
          <w:highlight w:val="white"/>
        </w:rPr>
        <w:t xml:space="preserve">яе</w:t>
      </w:r>
      <w:r>
        <w:rPr>
          <w:highlight w:val="white"/>
        </w:rPr>
        <w:t xml:space="preserve">т продвинутые рейтинговые модели для взвешенной оценки и формирования портфеля качественных и ответственных заемщиков.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Основными приоритетами станут рост качества, удобства и скорости предоставления продуктов и сервисов, удовлетворение растущих требований к персонализации и формирование новых стандартов клиентского опыта на уровне лучших рыночных практик. Банк сформируе</w:t>
      </w:r>
      <w:r>
        <w:rPr>
          <w:highlight w:val="white"/>
        </w:rPr>
        <w:t xml:space="preserve">т комплексное универсальное ценностное предложение для широкого круга текущих и потенциальных клиентов. Важной частью новой бизнес-модели станет развитие Группы Банка и получение синергетических эффектов на основе создаваемой экосистемы продуктов и услуг.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Необходимым условием для роста и развития Банка </w:t>
      </w:r>
      <w:r>
        <w:rPr>
          <w:highlight w:val="white"/>
        </w:rPr>
        <w:t xml:space="preserve">является </w:t>
      </w:r>
      <w:r>
        <w:rPr>
          <w:highlight w:val="white"/>
        </w:rPr>
        <w:t xml:space="preserve">фундаментальная цифровая трансформация, реали</w:t>
      </w:r>
      <w:r>
        <w:rPr>
          <w:highlight w:val="white"/>
        </w:rPr>
        <w:t xml:space="preserve">зуемая в соответствии со Стратегией цифровой трансформации Банка. Основные направления цифровой трансформации: импортозамещение, обеспечение информационной безопасности, внедрение цифровых решений для клиентов, развитие цифровой инфраструктуры</w:t>
      </w:r>
      <w:r>
        <w:rPr>
          <w:highlight w:val="white"/>
        </w:rPr>
        <w:t xml:space="preserve"> </w:t>
      </w:r>
      <w:r>
        <w:rPr>
          <w:highlight w:val="white"/>
        </w:rPr>
        <w:t xml:space="preserve">и современной системы управления данными</w:t>
      </w:r>
      <w:r>
        <w:rPr>
          <w:highlight w:val="white"/>
        </w:rPr>
        <w:t xml:space="preserve">, организационная трансформация и адаптация модели управления, развитие кадров, компетенций и цифровой культуры.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Трансформация ИТ-инфраструктуры и ИТ-ландшафта обеспечит максимальную скорость внедрения изменений и выведения новых решений на рынок.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Профессиональное развитие и рост уровня вовлеченности команды, применение современных подходов к решению комплексных задач позволят Банку обеспечить высокий уровень цифрового сервиса.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2.8. Сведения о рисках, связанных с эмитентом и приобретением ценных бумаг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АО «Россельхозбанк» был создан для осуществления государственной политики по предоставлению</w:t>
      </w:r>
      <w:r>
        <w:rPr>
          <w:highlight w:val="white"/>
        </w:rPr>
        <w:t xml:space="preserve"> кредитов и других банковских услуг аграрному сектору, поэтому его кредитный портфель характеризуется высокой степенью концентрации в данной отрасли. Фокус на предоставление банковских услуг сельскохозяйственным товаропроизводителям не позволяет полностью </w:t>
      </w:r>
      <w:r>
        <w:rPr>
          <w:highlight w:val="white"/>
        </w:rPr>
        <w:t xml:space="preserve">диверсифицировать кредитный портфель с целью минимизации рисков. В результате высокой доли кредитов, выданных предприятиям аграрного сектора, финансовые результаты Банка могут значительно зависеть от сезонных и циклических изменений в сельскохозяйственном </w:t>
      </w:r>
      <w:r>
        <w:rPr>
          <w:highlight w:val="white"/>
        </w:rPr>
        <w:t xml:space="preserve">секторе, снижения цен на продовольствие товары или увеличения издержек производства. Кроме того, суровые погодные условия, стихийные бедствия и другие неблагоприятные события могут оказать существенное влияние на способность заемщиков обслуживать кредиты. 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Политик</w:t>
      </w:r>
      <w:r>
        <w:rPr>
          <w:b/>
          <w:i/>
          <w:highlight w:val="white"/>
        </w:rPr>
        <w:t xml:space="preserve">а управления рисками, утвержденная</w:t>
      </w:r>
      <w:r>
        <w:rPr>
          <w:b/>
          <w:i/>
          <w:highlight w:val="white"/>
        </w:rPr>
        <w:t xml:space="preserve"> эмитентом в качестве отдельного документа: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Политика управления рисками АО «Россельхозбанк», утверждена решением Наблюдательного совета Банка (протокол от 14.12.2015 № 25)</w:t>
      </w:r>
      <w:r>
        <w:rPr>
          <w:highlight w:val="white"/>
        </w:rPr>
        <w:t xml:space="preserve">,</w:t>
      </w:r>
      <w:r>
        <w:rPr>
          <w:highlight w:val="white"/>
        </w:rPr>
      </w:r>
    </w:p>
    <w:p>
      <w:pPr>
        <w:ind w:firstLine="709"/>
        <w:jc w:val="both"/>
        <w:rPr>
          <w:iCs/>
          <w:highlight w:val="white"/>
        </w:rPr>
      </w:pPr>
      <w:r>
        <w:rPr>
          <w:bCs/>
          <w:highlight w:val="white"/>
        </w:rPr>
        <w:t xml:space="preserve">- Стратегия управления рисками и капиталом АО «Россельхозбанк»</w:t>
      </w:r>
      <w:r>
        <w:rPr>
          <w:highlight w:val="white"/>
        </w:rPr>
        <w:t xml:space="preserve">, утверждена решением Наблюдательного совета Банка</w:t>
      </w:r>
      <w:r>
        <w:rPr>
          <w:bCs/>
          <w:highlight w:val="white"/>
        </w:rPr>
        <w:t xml:space="preserve"> </w:t>
      </w:r>
      <w:r>
        <w:rPr>
          <w:iCs/>
          <w:highlight w:val="white"/>
        </w:rPr>
        <w:t xml:space="preserve">(</w:t>
      </w:r>
      <w:r>
        <w:rPr>
          <w:bCs/>
          <w:highlight w:val="white"/>
        </w:rPr>
        <w:t xml:space="preserve">протокол от 25.12.2015 № 27</w:t>
      </w:r>
      <w:r>
        <w:rPr>
          <w:iCs/>
          <w:highlight w:val="white"/>
        </w:rPr>
        <w:t xml:space="preserve">),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Политика управления рисками Группы АО «Россельхозбанк», утверждена решением Наблюдательного совета Банка (протокол от 12.07.2017 № 12),</w:t>
      </w:r>
      <w:r>
        <w:rPr>
          <w:highlight w:val="white"/>
        </w:rPr>
      </w:r>
    </w:p>
    <w:p>
      <w:pPr>
        <w:ind w:firstLine="709"/>
        <w:jc w:val="both"/>
        <w:rPr>
          <w:iCs/>
          <w:highlight w:val="white"/>
        </w:rPr>
      </w:pPr>
      <w:r>
        <w:rPr>
          <w:iCs/>
          <w:highlight w:val="white"/>
        </w:rPr>
        <w:t xml:space="preserve"> </w:t>
      </w:r>
      <w:r>
        <w:rPr>
          <w:bCs/>
          <w:highlight w:val="white"/>
        </w:rPr>
        <w:t xml:space="preserve">- Стратегия управления рисками и капиталом </w:t>
      </w:r>
      <w:r>
        <w:rPr>
          <w:highlight w:val="white"/>
        </w:rPr>
        <w:t xml:space="preserve">Группы АО «Россельхозбанк», утверждена решением Наблюдательного совета Банка</w:t>
      </w:r>
      <w:r>
        <w:rPr>
          <w:bCs/>
          <w:highlight w:val="white"/>
        </w:rPr>
        <w:t xml:space="preserve"> </w:t>
      </w:r>
      <w:r>
        <w:rPr>
          <w:iCs/>
          <w:highlight w:val="white"/>
        </w:rPr>
        <w:t xml:space="preserve">(</w:t>
      </w:r>
      <w:r>
        <w:rPr>
          <w:highlight w:val="white"/>
        </w:rPr>
        <w:t xml:space="preserve">протокол от 12.07.2017 № 12</w:t>
      </w:r>
      <w:r>
        <w:rPr>
          <w:iCs/>
          <w:highlight w:val="white"/>
        </w:rPr>
        <w:t xml:space="preserve">).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Основные положения политики в области управления рисками: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tabs>
          <w:tab w:val="left" w:pos="1276" w:leader="none"/>
        </w:tabs>
        <w:ind w:left="709"/>
        <w:jc w:val="both"/>
        <w:rPr>
          <w:color w:val="ff0000"/>
          <w:highlight w:val="white"/>
          <w:u w:val="single"/>
        </w:rPr>
      </w:pPr>
      <w:r>
        <w:rPr>
          <w:color w:val="ff0000"/>
          <w:highlight w:val="white"/>
          <w:u w:val="single"/>
        </w:rPr>
      </w:r>
      <w:r>
        <w:rPr>
          <w:color w:val="ff0000"/>
          <w:highlight w:val="white"/>
          <w:u w:val="single"/>
        </w:rPr>
      </w:r>
      <w:r>
        <w:rPr>
          <w:color w:val="ff0000"/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Учет всей совокупности рисков при принятии решений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Принятие Банком управленческих решен</w:t>
      </w:r>
      <w:r>
        <w:rPr>
          <w:highlight w:val="white"/>
        </w:rPr>
        <w:t xml:space="preserve">ий и решений о проведении операций, несущих риски, осуществляется после всестороннего анализа возникающих рисков (включая идентификацию и оценку рисков) с учетом оценки возможного влияния на совокупный объем рисков и определения методов управления рисками.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Проведение Банком опер</w:t>
      </w:r>
      <w:r>
        <w:rPr>
          <w:highlight w:val="white"/>
        </w:rPr>
        <w:t xml:space="preserve">аций, несущих риски, осуществляется в рамках требований, установленных внутренними документами и решениями органов управления и рабочих коллегиальных органов Банка. Порядок проведения операций включает процедуры управления рисками соответствующих операций.</w:t>
      </w:r>
      <w:r>
        <w:rPr>
          <w:highlight w:val="whit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</w:rPr>
      </w:r>
      <w:bookmarkStart w:id="6" w:name="_Toc431482781"/>
      <w:r>
        <w:rPr>
          <w:highlight w:val="white"/>
        </w:rPr>
      </w:r>
      <w:bookmarkStart w:id="7" w:name="_Toc431810077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Независимость подразделений управления рисками</w:t>
      </w:r>
      <w:bookmarkEnd w:id="6"/>
      <w:r>
        <w:rPr>
          <w:highlight w:val="white"/>
        </w:rPr>
      </w:r>
      <w:bookmarkEnd w:id="7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Полномочия по принятию решений о совершении операций, несущих риски, и управлению р</w:t>
      </w:r>
      <w:r>
        <w:rPr>
          <w:highlight w:val="white"/>
        </w:rPr>
        <w:t xml:space="preserve">исками разделяются между органами управления, рабочими коллегиальными органами, подразделениями и работниками Банка. В функциональных моделях и организационной структуре Банка выделены подразделения/работники, ответственные за выполнение следующих функций: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1200"/>
        <w:numPr>
          <w:numId w:val="14"/>
          <w:ilvl w:val="3"/>
        </w:numPr>
        <w:tabs>
          <w:tab w:val="left" w:pos="1134" w:leader="none"/>
          <w:tab w:val="left" w:pos="1418" w:leader="none"/>
          <w:tab w:val="left" w:pos="1560" w:leader="none"/>
        </w:tabs>
        <w:spacing w:after="0" w:line="240" w:lineRule="auto"/>
        <w:ind w:left="709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осуществление операций, несущих риски;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1134" w:leader="none"/>
          <w:tab w:val="left" w:pos="1418" w:leader="none"/>
          <w:tab w:val="left" w:pos="1560" w:leader="none"/>
        </w:tabs>
        <w:spacing w:after="0" w:line="240" w:lineRule="auto"/>
        <w:ind w:left="709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бухгалтерский учет операций;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1134" w:leader="none"/>
          <w:tab w:val="left" w:pos="1418" w:leader="none"/>
          <w:tab w:val="left" w:pos="1560" w:leader="none"/>
        </w:tabs>
        <w:spacing w:after="0" w:line="240" w:lineRule="auto"/>
        <w:ind w:left="709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управление рисками, в т.ч. отдельными видами рисков;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1134" w:leader="none"/>
          <w:tab w:val="left" w:pos="1418" w:leader="none"/>
          <w:tab w:val="left" w:pos="1560" w:leader="none"/>
        </w:tabs>
        <w:spacing w:after="0" w:line="240" w:lineRule="auto"/>
        <w:ind w:left="709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независимая оценка, мониторинг и контроль рисков.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Подразделения/работники Банка, ответственные за управление, независимую оценку и контроль рисков, включены в процесс принятия как стратегических, так и операционных решений.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</w:rPr>
      </w:r>
      <w:bookmarkStart w:id="8" w:name="_Toc431482782"/>
      <w:r>
        <w:rPr>
          <w:highlight w:val="white"/>
        </w:rPr>
      </w:r>
      <w:bookmarkStart w:id="9" w:name="_Toc431810078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Принцип «трех линий защиты»</w:t>
      </w:r>
      <w:bookmarkEnd w:id="8"/>
      <w:r>
        <w:rPr>
          <w:highlight w:val="white"/>
        </w:rPr>
      </w:r>
      <w:bookmarkEnd w:id="9"/>
      <w:r>
        <w:rPr>
          <w:highlight w:val="white"/>
          <w:u w:val="single"/>
        </w:rPr>
        <w:t xml:space="preserve"> 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Бизнес-подразделения Банка (первая линия защит</w:t>
      </w:r>
      <w:r>
        <w:rPr>
          <w:highlight w:val="white"/>
        </w:rPr>
        <w:t xml:space="preserve">ы) при рассмотрении и совершении операций, несущих риски, следуют поставленным целям по соотношению доходности и риска, учитывают профили рисков клиентов/операций, участвуют в идентификации и оценке рисков, соблюдают требования внутренних документов Банка.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Подразделения Банка, ответственные за управление, независимую оценку и контроль рисков (вторая линия защиты), определяют регламентные процедуры, предусматри</w:t>
      </w:r>
      <w:r>
        <w:rPr>
          <w:highlight w:val="white"/>
        </w:rPr>
        <w:t xml:space="preserve">вающие формирование принципов и стандартов управления рисками, использование инструментов для минимизации/снижения принимаемых рисков, проводят экспертизу с целью их идентификации, оценку, мониторинг уровня рисков и готовят отчетность о принимаемых рисках.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Служба внутреннего аудита/подразделение внутреннего аудита Банка (третья линия защиты) осуществляет независимую оценку соответствия системы управления рисками Банка установленным стандартам, оценку решений по принятию рисков.</w:t>
      </w:r>
      <w:r>
        <w:rPr>
          <w:highlight w:val="whit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</w:rPr>
      </w:r>
      <w:bookmarkStart w:id="10" w:name="_Toc431482783"/>
      <w:r>
        <w:rPr>
          <w:highlight w:val="white"/>
        </w:rPr>
      </w:r>
      <w:bookmarkStart w:id="11" w:name="_Toc431810079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Сочетание централизованного и децентрализованного управления рисками</w:t>
      </w:r>
      <w:bookmarkEnd w:id="10"/>
      <w:r>
        <w:rPr>
          <w:highlight w:val="white"/>
        </w:rPr>
      </w:r>
      <w:bookmarkEnd w:id="11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Управление рисками Банка осуществляется с использованием централизованного и децентрализованного подходов.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Централизованный подход означает, что участники Группы самостоятельно не осуществляют управления рисками, управление рисками участников Группы осуществляет Банк.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Децентрализованный </w:t>
      </w:r>
      <w:r>
        <w:rPr>
          <w:highlight w:val="white"/>
        </w:rPr>
        <w:t xml:space="preserve">подход означает, что участники Группы самостоятельно осуществляют управление рисками в рамках подходов и ограничений, установленных внутренними документами участников Группы и решениями органов управления и рабочих коллегиальных органов участников Группы. 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Управление рисками на уровне Группы в целом осуществляет Банк.</w:t>
      </w:r>
      <w:r>
        <w:rPr>
          <w:highlight w:val="whit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</w:rPr>
      </w:r>
      <w:bookmarkStart w:id="12" w:name="_Toc431482784"/>
      <w:r>
        <w:rPr>
          <w:highlight w:val="white"/>
        </w:rPr>
      </w:r>
      <w:bookmarkStart w:id="13" w:name="_Toc431810080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Обеспечение необходимыми ресурсами</w:t>
      </w:r>
      <w:bookmarkEnd w:id="12"/>
      <w:r>
        <w:rPr>
          <w:highlight w:val="white"/>
        </w:rPr>
      </w:r>
      <w:bookmarkEnd w:id="13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Банк обеспечивают функционирование системы управления рисками достаточными ресур</w:t>
      </w:r>
      <w:r>
        <w:rPr>
          <w:highlight w:val="white"/>
        </w:rPr>
        <w:t xml:space="preserve">сами для осуществления оценки и контроля рисков, в т.ч. квалифицированными специалистами и работниками, техническими средствами, достаточными для обеспечения необходимому количеству пользователей доступа к информационным системам и информационным ресурсам.</w:t>
      </w:r>
      <w:r>
        <w:rPr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Инфраструктура уп</w:t>
      </w:r>
      <w:r>
        <w:rPr>
          <w:highlight w:val="white"/>
        </w:rPr>
        <w:t xml:space="preserve">равления рисками (в т.ч. информационные и автоматизированные системы) учитывает направления деятельности Банка, сложность и виды совершаемых операций, территориальное расположение и обеспечивает своевременную идентификацию и эффективное управление рисками.</w:t>
      </w:r>
      <w:r>
        <w:rPr>
          <w:highlight w:val="whit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</w:rPr>
      </w:r>
      <w:bookmarkStart w:id="14" w:name="_Toc431482785"/>
      <w:r>
        <w:rPr>
          <w:highlight w:val="white"/>
        </w:rPr>
      </w:r>
      <w:bookmarkStart w:id="15" w:name="_Toc431810081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1276" w:leader="none"/>
        </w:tabs>
        <w:ind w:left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Совершенствование системы управления рисками</w:t>
      </w:r>
      <w:bookmarkEnd w:id="14"/>
      <w:r>
        <w:rPr>
          <w:highlight w:val="white"/>
        </w:rPr>
      </w:r>
      <w:bookmarkEnd w:id="15"/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Система управления рисками Банка совершенствуется на постоянной основе с учетом:</w:t>
      </w:r>
      <w:r>
        <w:rPr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993" w:leader="none"/>
          <w:tab w:val="left" w:pos="1134" w:leader="none"/>
          <w:tab w:val="left" w:pos="1418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возможных изменений стратегии развития Банка;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993" w:leader="none"/>
          <w:tab w:val="left" w:pos="1134" w:leader="none"/>
          <w:tab w:val="left" w:pos="1418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нормативно-правовых актов Российской Федерации, регулирующих требования к системе управления рисками;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993" w:leader="none"/>
          <w:tab w:val="left" w:pos="1134" w:leader="none"/>
          <w:tab w:val="left" w:pos="1418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требований и рекомендаций Банка России по организации системы управления рисками и ВПОДК;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14"/>
          <w:ilvl w:val="3"/>
        </w:numPr>
        <w:tabs>
          <w:tab w:val="left" w:pos="993" w:leader="none"/>
          <w:tab w:val="left" w:pos="1134" w:leader="none"/>
          <w:tab w:val="left" w:pos="1418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положений Базель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II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/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III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и лучших банковских практик по организации управления рисками.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numId w:val="13"/>
          <w:ilvl w:val="2"/>
        </w:numPr>
        <w:tabs>
          <w:tab w:val="left" w:pos="993" w:leader="none"/>
          <w:tab w:val="left" w:pos="1418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Банк не реже одного раза в год оценивают соответствие системы управления рисками текущим условиям их деятельности, в т.ч. проводят ее анализ на предмет охвата всех операций, несущих риски, и проводят актуализацию системы управления рисками.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Перечень рисков, приведенных в настоящем пункте, отражает точку зрения и собственные оценки эмите</w:t>
      </w:r>
      <w:r>
        <w:rPr>
          <w:b/>
          <w:i/>
          <w:highlight w:val="white"/>
        </w:rPr>
        <w:t xml:space="preserve">нта и в силу этого не является исчерпывающим и единственно возможным, при этом потенциальные инвесторы, прежде чем принимать инвестиционное решение, должны сформировать собственное мнение, не опираясь исключительно на факторы, описанные в настоящем пункте.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8</w:t>
      </w:r>
      <w:r>
        <w:rPr>
          <w:b/>
          <w:highlight w:val="white"/>
        </w:rPr>
        <w:t xml:space="preserve">.1. </w:t>
      </w:r>
      <w:r>
        <w:rPr>
          <w:b/>
          <w:highlight w:val="white"/>
        </w:rPr>
        <w:t xml:space="preserve">Отраслевые риски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20"/>
        <w:jc w:val="both"/>
        <w:rPr>
          <w:rFonts w:eastAsiaTheme="minorHAnsi"/>
          <w:color w:val="000000"/>
          <w:highlight w:val="white"/>
        </w:rPr>
      </w:pPr>
      <w:r>
        <w:rPr>
          <w:rFonts w:eastAsiaTheme="minorHAnsi"/>
          <w:color w:val="000000"/>
          <w:highlight w:val="white"/>
          <w:lang w:eastAsia="en-US"/>
        </w:rPr>
        <w:t xml:space="preserve">Основной сферой деятельности Банка является кредитно-ф</w:t>
      </w:r>
      <w:r>
        <w:rPr>
          <w:rFonts w:eastAsiaTheme="minorHAnsi"/>
          <w:color w:val="000000"/>
          <w:highlight w:val="white"/>
          <w:lang w:eastAsia="en-US"/>
        </w:rPr>
        <w:t xml:space="preserve">инансовое обеспечение потребностей российского АПК и смежных отраслей, участие в реализации государственных программ развития аграрного комплекса, а также других секторов и направлений, определенных государством в качестве приоритетных. Банк оказывает широ</w:t>
      </w:r>
      <w:r>
        <w:rPr>
          <w:rFonts w:eastAsiaTheme="minorHAnsi"/>
          <w:color w:val="000000"/>
          <w:highlight w:val="white"/>
          <w:lang w:eastAsia="en-US"/>
        </w:rPr>
        <w:t xml:space="preserve">кий спектр банковских услуг физическим лицам, предприятиям и организациям АПК и других отраслей, субъектам малого и среднего бизнеса, в т.ч. малым формам хозяйств, решает задачи социально-экономического развития сельских территорий и малых городов России. </w:t>
      </w:r>
      <w:r>
        <w:rPr>
          <w:rFonts w:eastAsiaTheme="minorHAnsi"/>
          <w:color w:val="000000"/>
          <w:highlight w:val="white"/>
          <w:lang w:eastAsia="en-US"/>
        </w:rPr>
      </w:r>
      <w:r>
        <w:rPr>
          <w:rFonts w:eastAsiaTheme="minorHAnsi"/>
          <w:color w:val="000000"/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rFonts w:eastAsiaTheme="minorHAnsi"/>
          <w:color w:val="000000"/>
          <w:highlight w:val="white"/>
          <w:lang w:eastAsia="en-US"/>
        </w:rPr>
        <w:t xml:space="preserve">Банк входит в число системно значимых к</w:t>
      </w:r>
      <w:r>
        <w:rPr>
          <w:rFonts w:eastAsiaTheme="minorHAnsi"/>
          <w:color w:val="000000"/>
          <w:highlight w:val="white"/>
          <w:lang w:eastAsia="en-US"/>
        </w:rPr>
        <w:t xml:space="preserve">редитных организаций Российской Федерации и уделяет повышенное внимание обеспечению высокого уровня финансовой устойчивости для защиты интересов акционеров, клиентов и инвесторов, поддержания положительного имиджа и надежности бренда. Принимаемые Банком ме</w:t>
      </w:r>
      <w:r>
        <w:rPr>
          <w:rFonts w:eastAsiaTheme="minorHAnsi"/>
          <w:color w:val="000000"/>
          <w:highlight w:val="white"/>
          <w:lang w:eastAsia="en-US"/>
        </w:rPr>
        <w:t xml:space="preserve">ры позволяют сохранить финансовую стабильность в условиях ухудшения макроэкономической ситуации и обеспечить необходимые объемы финансирования Госпрограммы развития АПК в соответствии с потребностями как крупных сельхозпроизводителей, так и малых хозяйств.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  <w:t xml:space="preserve">2.8.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. Риски кредитных организаций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Функционирование системы управления рисками в Группе основывается на сле</w:t>
      </w:r>
      <w:r>
        <w:rPr>
          <w:highlight w:val="white"/>
        </w:rPr>
        <w:t xml:space="preserve">дующих внутренних документах: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sz w:val="24"/>
          <w:szCs w:val="24"/>
          <w:highlight w:val="white"/>
          <w14:ligatures w14:val="none"/>
        </w:rPr>
      </w:pPr>
      <w:r>
        <w:rPr>
          <w:highlight w:val="white"/>
          <w:lang w:val="ru-RU"/>
        </w:rPr>
        <w:t xml:space="preserve"> - </w:t>
      </w:r>
      <w:r>
        <w:rPr>
          <w:highlight w:val="white"/>
          <w:lang w:val="ru-RU"/>
        </w:rPr>
        <w:t xml:space="preserve">Стратегия управления рисками и капиталом Группы АО «Россельхозбанк», </w:t>
      </w:r>
      <w:r>
        <w:rPr>
          <w:highlight w:val="white"/>
          <w:lang w:val="ru-RU" w:eastAsia="en-US"/>
        </w:rPr>
        <w:t xml:space="preserve">которая устанавливает основные принципы организации в Группе процедур оценки достаточности капитала</w:t>
      </w:r>
      <w:r>
        <w:rPr>
          <w:highlight w:val="white"/>
          <w:lang w:val="ru-RU"/>
        </w:rPr>
        <w:t xml:space="preserve">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rPr>
          <w:sz w:val="24"/>
          <w:szCs w:val="24"/>
          <w:highlight w:val="white"/>
          <w14:ligatures w14:val="none"/>
        </w:rPr>
      </w:pPr>
      <w:r>
        <w:rPr>
          <w:highlight w:val="white"/>
          <w:lang w:val="ru-RU"/>
        </w:rPr>
        <w:t xml:space="preserve"> - Политика управления рисками Группы АО «Россельхозбанк», </w:t>
      </w:r>
      <w:r>
        <w:rPr>
          <w:highlight w:val="white"/>
          <w:lang w:val="ru-RU" w:eastAsia="en-US"/>
        </w:rPr>
        <w:t xml:space="preserve">которая устанавливает основные принципы организации системы управления рисками в Группе</w:t>
      </w:r>
      <w:r>
        <w:rPr>
          <w:highlight w:val="white"/>
          <w:lang w:val="ru-RU"/>
        </w:rPr>
        <w:t xml:space="preserve">;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В системе управления рисками выделяются следующие риски</w:t>
      </w:r>
      <w:r>
        <w:rPr>
          <w:highlight w:val="white"/>
        </w:rPr>
        <w:t xml:space="preserve">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8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.1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 Кредитный риск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управляет кредитным риском – 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ском возникновения потерь (убытков) вследствие неисполнения, несвоевременного либо неполного исполнения контрагентом и/или третьей стороной по договору финансовых обязательств в соответствии с условиями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договора (в т.ч. по операциям на финансовых рынках).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состав кредитного риска Группа включает: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кредитный риск контрагента – риск дефолта контрагента до завершения расчетов по операциям с производными финансовыми инструментами, сделкам РЕПО и аналогичным сделкам;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остаточный кредитный риск – может выражаться в невозможности реализовать принятое обеспечение, отказе или отсрочке платежа по независимым гарантиям, а также в использовании документов, составленных ненадлежащим образом;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риск секъюритизации – кредитный риск, возникающий по сделкам секьюритизации, в которых Группа (Участники Группы) является оригинатором (инициатором), спонсором или инвестором.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tabs>
          <w:tab w:val="left" w:pos="1276" w:leader="none"/>
        </w:tabs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 ключевым методам оценки кредитного риска, применяемых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Группе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относится методология определения вероятности неисполнения клиентом своих обязательств перед Банком /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компаниями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Группы по результатам анализа финансовой информации и финансовых факторов, и нефинансовых, транзакционных факторов, предупреждающих сигналов, влияния группы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связанных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компаний и ручной (экспертной) корректировки рейтинга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 При этом уровень рейтинга заемщика учитывается при определении стоимостных условий кредитных сделок.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tabs>
          <w:tab w:val="left" w:pos="1276" w:leader="none"/>
        </w:tabs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Для целей синхронизации подходов (методов) рейтингования и кредитного анализа в компаниях Группы используется следующее: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установление единой Мастер-шкалы рейтингов, в том числе схемы сопоставления внутреннего рейтинга и оценки вероятности выхода в дефолт;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установление единого порядка управления внутренними моделями рейтингования в Группе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методология в части подходов к оценке кредитного риска.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рамках управления кредитным риском Группа: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принимает кредитный риск с учетом оценки структуры сделки и всей доступной информации о кредитном качестве контрагента / группы контрагентов;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использует инструменты, снижающие кредитный риск (в т.ч. принятие ликвидного обеспечения, поручительств и гарантий), и ценообразование с учетом принимаемого кредитного риска;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устанавливает лимиты кредитного риска на отдельных контрагентов и группы контрагентов, объединенных по наличию экономической и/или юридической связи;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на постоянной основе проводит мониторинг уровня принятого кредитного риска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и кредитного риска контрагента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Управ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ление кредитным риском в Группе осуществляется Правлением, Комитетом по управлению рисками, кредитными комитетами Банка, Комитетом по работе с проблемной задолженностью, а также отдельными должностными лицами в рамках предоставленных им полномочий. Оценка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кредитных рисков, независимая от бизнес-подразделений, проводится профильными подразделениями по управлению рисками (Департаментом рисков, службами оценки и контроля рисков региональных филиалов Банка, Службами управления рисками прочих участников Группы).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Уполномоченными органами Банка утверждены внутренние документы, которые содержат формализованное описание процедур и методик оценки кредитных рисков и определяют порядок предоставления и сопровождения кредитных продуктов.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принимает риск кредитной концентрации в связи с кредитованием профильного клиентского сегмента (предприятий АПК и смежных отраслей экономики) и управляет им посредством следующих инструментов: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кредитование полного цикла производства и реализации сельскохозяйственной продукции (производство, хранение, переработка и сбыт конечному потребителю);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кредитование заемщиков с наличием широкого продуктового портфеля;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диверсификация кредитного портфеля по регионам;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диверсификация совокупного кредитного портфеля за счет кредитования иных отраслей экономики.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Кредитный риск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 Рыночный риск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Рыночный риск – риск возникновения финансовых потерь (убытков) вследствие изменения текущей (справедливой) ст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оимости долевых ценных бумаг (фондовый риск), процентных ставок (процентный риск), а также курсов иностранных валют и/или золота (валютный риск), учетных цен на драгоценные металлы (кроме золота) и/или котировок товарных форвардов/фьючерсов (товарный риск)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управляет рыночным риском с целью сохранения уровня принимаемого риска в рамках установленных ограничений, а также с целью минимизации финансовых потерь при реализации неблагоприятных событий.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анализа и оценки рыночного риска производится его регулярная количественная оценка на основе методологии VAR (Value at Risk) – статистической оценки максимальных потерь за определенный период времени при заданном уровне вероятности.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управляет рыночным риском путем: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8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установления и контроля структурных и позиционных лимитов, а также лимитов максимально допустимой величины потерь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(стоп-лосс),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8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диверсификации и хеджирования принимаемых рисков,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8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заблаговременного планирования и подготовки мероприятий, направленных на минимизацию финансовых потерь при возникновении неблагоприятных событий.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Рыночный риск включает в себя фондовый риск, валютный, товарный и процентный риски.</w:t>
      </w:r>
      <w:r>
        <w:rPr>
          <w:rFonts w:ascii="Times New Roman" w:hAnsi="Times New Roman" w:cs="Times New Roman" w:eastAsiaTheme="minorEastAsia"/>
          <w:highlight w:val="white"/>
          <w14:ligatures w14:val="none"/>
        </w:rPr>
      </w:r>
      <w:r>
        <w:rPr>
          <w:rFonts w:ascii="Times New Roman" w:hAnsi="Times New Roman" w:cs="Times New Roman" w:eastAsiaTheme="minorEastAsia"/>
          <w:highlight w:val="white"/>
          <w14:ligatures w14:val="none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  <w:t xml:space="preserve">Рыночны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риск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ind w:firstLine="709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firstLine="709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3.</w:t>
      </w:r>
      <w:r>
        <w:rPr>
          <w:b/>
          <w:i/>
          <w:highlight w:val="white"/>
          <w:u w:val="single"/>
        </w:rPr>
        <w:t xml:space="preserve"> Процентный риск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Процентный риск – риск ухудшения финансового положения Группы вследствие снижения размера капитала, уровня доходов, стоимости активов в результате изменения процентных ставок на рынке.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Основными источниками процентного риска являются: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Риск разрывов (гэп-риск) – риск, возникающий из-за несовпадения сроков изменения процентных ставок активов, пассивов, внебалансовых требований и обязательств Банка.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Базисный риск – риск, возникающий в случае, если процентные ставки по финансовым инструментам одинаковой срочности изменяются в зависимости от различных финансовых индексов.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Риск кривой доходности – риск изменения наклона и/или формы кривой процентных ставок.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4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Риск опциональности – риск, проявляющийся при исполнении опционов (как непосредственно заключенных Банком, так и встроенных в банковские продукты), изменяющих велич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ину процентной ставки или сроки исполнения требований/обязательств по операции.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качестве основных методов оценки процентного риска используются метод оценки разрывов между активами и обязательствами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различных валютах, чувствительными к изменению уровня процентных ставок (метод оценки разрывов по срокам), метод оценки изменения чистого процентного дохода. При этом используется ряд моделируемых допущений для распределения по срокам требований и обязател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ьств без явного срока погашения, а также моделирование поведенческой опциональности в части досрочного погашения кредитов физических лиц и досрочного изъятия депозитов.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Оцен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 процентного риска осуществляется с учетом действия риск-факторов при различных сценариях, охватывающих стандартные и более неблагоприятные рыночные условия (включая стрессовые ситуации и ситуации системного экономического кризиса, в том числе инфляция).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Кроме того, Группа проводит оценку проц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ентного риска в разрезе банковской и торговой книг, основных валют и на уровне отдельных операций/сделок путем анализа возможного изменения потока платежей при изменении рыночных условий, финансового состояния и/или действий клиентов и контрагентов Группы.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принимает процентный риск в рамках установленных Правлением лимитов.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Управление процентным риском осуществляется Правлением, Комитетом по управлению рисками, Комитетом по управлению активами и пассивами Банка, и профильными подразделениями Банка в рамках предоставленных им полномочий.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Процентный риск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4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 Рис</w:t>
      </w:r>
      <w:r>
        <w:rPr>
          <w:b/>
          <w:i/>
          <w:highlight w:val="white"/>
          <w:u w:val="single"/>
        </w:rPr>
        <w:t xml:space="preserve">к ликвидности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Риск потери ликвидности – риск возникновения у Группы потерь (убытков) вследствие неспособности участников Группы обеспечить исполнение своих финансовых обязательств в срок в полном объеме.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подвержена данному риску в связи с ежедневной необходимостью использования имеющихся денежных средств для расчетов по счетам клиентов, при наступлении срока погашения депозитов, выда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че кредитов (в том числе в случае несвоевременного исполнения финансовых обязательств одним или несколькими контрагентами Банка или возникновения непредвиденной необходимости немедленного и единовременного исполнения Группой своих финансовых обязательств).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Управление риском потери ликвидности в Группе осуществляется решениями органов управления Банка,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коллегиальных органов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отдельных должностных лиц в соответствии с предоставленными им полномочиями.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качестве основных методов анализа и оценки риска потери ликвидности Группа использует: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ежедневный анализ платежной позиции на основе движения денежных средств,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анализ и оценку разрывов в сроках погашения требований и обязательств Банка (ГЭП-анализ),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анализ и оценку фактических значений и динамики внутренних показателей риска потери ликвидности;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анализ динамики и прогноз обязательных нормативов ликвидности Банка России;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стресс-тестирование.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управляет риском потери ликвидности путем: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планирования структуры активов и пассивов,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установления и контроля лимитов и показателей риска потери ликвидности (как внешних, установленных Банком России, так и внутренних, рассчитываемых самим Банком),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формирования запаса ликвидности,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0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заблаговременного планирования и подготовки мероприятий, направленных на поддержание и восстановление ликвидности при возникновении неблагоприятных событий.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/>
        </w:rPr>
        <w:t xml:space="preserve">Группа поддерживает устойчивую базу финансирования, состоящую преимущественн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/>
        </w:rPr>
        <w:t xml:space="preserve">о из средств, привлеченных посредством срочных депозитов физических и юридических лиц, размещения облигационных займов, выпуска собственных векселей, увеличения объемов текущих ресурсов Группы в виде роста остатков на счетах клиентов, а также межбанковских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заимствований.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Риск потери ликвидности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5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 Операционный риск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Операционный риск - риск возникновения прямых и непрямых поте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Банка/участника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Группы в результате несовершенства или ошибочных внутренних процессов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Банка/участника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Группы, действий персонала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Группы и иных лиц, сбоев и недостатков информационных, технологических и иных систем, а также в результате реализации внешних событий.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Управление операционным риском является составной частью общего процесса управления рисками в Группе.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основным целям управления операционным риском в Группе относятся: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выявление, оценка и реагирование на операционный риск, в т.ч. для предотвращения случаев реализации операционного риска;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снижение потерь от реализации операционного риска;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мониторинг и контроль уровня операционного риска;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реализация мероприятий по поддержанию операционного риска на уровне, не угрожающем финансовой устойчивости участников Группы и интересам клиентов и контрагентов;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соблюдение работниками участников Группы внутренних документов Группы, описывающих систему управления операционного риска.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целей унификации управления операционным риском в Группе выделяются следующие виды ОР: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информационной безопасности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(в т.ч. киберриск)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 риск реализации угроз безопасности информации, которые обусловлены недостатками процессов обеспе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чения информационной безопасности, в т.ч. проведения технологических и других мероприятий, недостатками прикладного программного обеспечения автоматизированных систем и приложений, а также несоответствием указанных процессов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Группы;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информационных систем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риск отказов и (или) нарушения функционирования применяемых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 информационных систем и (или) несоответствия их функциональных возможностей и характеристик потребностям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правовой риск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риск возникновения 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Группы убытков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вследствие нарушения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 и (или) 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контрагентами условий заключенных договоров, допускаемых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 правовых ошибок при осуществлении деятельности (например, неправильные юридические консультации или неверное составление документо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в, в том числе при рассмотрении спорных вопросов в судебных органах), несовершенства правовой системы (например, противоречивость законодательства, отсутствие правовых норм по регулированию отдельных вопросов, возникающих в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Группы, нарушения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онтрагентами нормативных правовых актов, нахождения филиалов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Группы, юридических лиц, в отношении которых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Группы осуществляет контроль или значительное влияние, а также контрагентов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Группы под юрисдикцией различных государств;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риск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ошибок в управлении проектами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 риск ошибок в управлении проектами, состоящий в недостатках и нарушениях организации процессов управления проектной деятельностью, направленных на изменение систем функционирования и поддержания работоспособности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ошибок в управленческих процессах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состоящий в недостатках и нарушениях внутренних процессов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Группы, недостатках принятия решений по сделкам и операциям, внутрихозяйственной деятельности;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ошибок в процессах осуществления внутреннего контроля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состоящий в недостатках и нарушениях системы вн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утреннего контроля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Группы, в т.ч. нарушениях правил внутреннего контроля в целях противодействия легализации (отмыванию) доходов, полученных преступным путем, и финансированию терроризма, нарушениях внутренних правил совершения операций и сделок;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модельный риск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риск ошибок процессов разработки, проверки, адаптации, приемки, применения методик количественных и качественных моделей оценки активов, рисков и иных показателей, используемых в принятии управленческих решений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потерь средств клиентов, контрагентов, работников и третьих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(не компенсированных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Группы) вследствие нарушения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 кодексов профессиональной этики, рыночных практик, правил поведения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участником Группы при продаже финансовых инструментов и услуг;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ошибок процесса управления персоналом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состоящий в недостатках и нарушениях внутренних процессов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 в управлении персоналом, в т.ч. при подборе, найме, адаптации, увольнении, обеспечении безопасности и охраны труда, социальной поддержки, в системе вознаграждения и компенсации;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операционный риск платежной системы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риск оказания услуг платежной инфраструктуры, не соответствующий требова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ниям к оказанию услуг, вследствие возникновения у субъектов платежной системы сбоев, отказов и аварий в работе информационных и технологических систем, недостатков в организации и выполнении технологических и управленческих процессов, ошибок или противопра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вных действий персонала субъектов платежной системы либо вследствие воздействия событий, причины возникновения которых не связаны с деятельностью субъектов платежной системы, включая чрезвычайные ситуации, ошибочные или противоправные действия третьих лиц;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нарушения непрерывности деятельности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риск нарушения способности Банка/участника Группы подд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ерживать операционную устойчивость Банка/участника Группы, включающую обеспечение непрерывности осуществления критически важных процессов и критически важных операций, определенных Банком в соответствии с подпунктом 4.1.1 пункта 4.1 Положения Банка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 08.04.2020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№ 716-П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требованиях к системе управления операционным риском в кредитной организации и банковской группе»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в результате воздействия источников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операционных рисков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указанных в пункте 3.3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оложения Банка России № 716-П, а также изменений процессов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 или действий третьих лиц, включая нарушения операционной надежности, требования к которой установлены Банком России в соответствии со статьей 57.5 Федерального закона № 86-ФЗ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риск внутренней безопасности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риск потерь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 Группы, связанных с преднамеренными действиями третьих лиц либо работников участника Группы, повлекших за собой причинение ущерба материальным и нематериальным активам или другому имуществу участника Группы (за исключением риска ИБ);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ru-RU" w:eastAsia="en-US"/>
        </w:rPr>
        <w:t xml:space="preserve">риск экономической безопасности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  <w:t xml:space="preserve"> – риск потерь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участника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  <w:t xml:space="preserve">, связанных с противоправными действиями работников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участника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  <w:t xml:space="preserve"> и (или) третьих лиц, связанных с ссудами, по которым возбуждены уголовные дела (за исключением риска ИБ)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  <w:lang w:bidi="ru-RU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  <w:lang w:val="ru-RU" w:bidi="ru-RU"/>
        </w:rPr>
        <w:t xml:space="preserve"> Группе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  <w:lang w:bidi="ru-RU"/>
        </w:rPr>
        <w:t xml:space="preserve"> определены следующие возможные способы реагирования на операционный риск: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уклонение от операционного риска, предусматривающее принятие обоснованного решения об отказе от вида деятельности, оказания соответствующего вида услуг и операций в связи с высоким уровнем операционного риска в них;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принятие операционного риска, предусматривающее обоснованное решение принять возможные потери от операционного риска в рамках установленного лимита потерь с процедурой контроля соблюдения лимита;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передача операционного риска, предусматривающая принятие обоснованного решения о страховании операционного риска, передаче операционного риска другой стороне - контрагенту и (или) клиенту (аутсорсинг);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планирование мероприятий, направленных на уменьшение негативного влияния операционного риска на качество процессов, величины совокупных потерь от реализации операционного риска.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Мероприятия, направленные на предотвращение и (или) снижение вероятности реализации событий операционного риска, а также на ограничение размера потерь вследствие реализации событий операционного риска, включают: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реализацию способов контроля, на этапах процессов, в которых выявлены операционн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ые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 риск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изменение процессов и распределение обязанностей для обеспечения исключения конфликта интересов;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документирование результатов выполнения процедур контроля в процессах;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обеспечение контроля совершения операций и сделок;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исключение совершения неконтролируемых операций и сделок;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установление пороговых значений в отношении полномочий принятия решений и определения лимитов операционного риска, контроля за соблюдением полномочий;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реализацию элементов автоматизации участков процессов, при выполнении которых выявлен операционного риска по причине ошибок работников;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разработку модулей Плана действий, направленных на обеспечение непрерывности деятельности и (или) вос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становление деятельности Банка 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в случае возникновения нестан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дартных и чрезвычайных ситуаций 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критически важных процессов и функционирования ИТ-систем, включая автоматизированные системы, программные и /или программно-аппаратные средства, телекоммуникационное оборудован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ие и линии связи, эксплуатация 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 использование которых обеспечивается Банком для осуществления процессов и операций, а также планов по обеспечению безопасности 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и целостности информационных систем и информации, с учетом внешних факторов, влияющих на критически важный процесс и /или ИТ-систему, в случаях реализации операционного риска, включая систему быстрого реагирования на реализацию событий операционного риска;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определение способа и порядка возмещения потерь от реализации событий операционного риска, например, с использованием переноса риска на участников финансового рынка, страхования;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юридическое обеспечение судебных процессов;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юридическое сопровождение процессов, договоров и документации и др.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Cs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другие мероприятия, разрабатываемые в зависимости от вида и характеристик процесс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в том числе мероприятия, разрабатываемые в целях управления риском нарушения непрерывности деятельности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Полномочия и функции участников системы управления операционным риском закреплены во внутренних документах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Банка/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участника Группы.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 w:eastAsiaTheme="minorEastAsia"/>
          <w:sz w:val="24"/>
          <w:szCs w:val="24"/>
          <w:highlight w:val="white"/>
        </w:rPr>
        <w:t xml:space="preserve">Операционный риск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признан</w:t>
      </w:r>
      <w:r>
        <w:rPr>
          <w:rFonts w:ascii="Times New Roman" w:hAnsi="Times New Roman" w:eastAsia="Times New Roman" w:cs="Times New Roman" w:eastAsiaTheme="minorEastAsia"/>
          <w:sz w:val="24"/>
          <w:szCs w:val="24"/>
          <w:highlight w:val="white"/>
        </w:rPr>
        <w:t xml:space="preserve"> значимым для Группы.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6.</w:t>
      </w:r>
      <w:r>
        <w:rPr>
          <w:b/>
          <w:i/>
          <w:highlight w:val="white"/>
          <w:u w:val="single"/>
        </w:rPr>
        <w:t xml:space="preserve"> Риск концентрации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концен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трации – риск, возникающий в связи с подверженностью участника Группы крупным рискам, реализация которых может привести к значительным убыткам, способным создать угрозу для платежеспособности участника Группы и его способности продолжать свою деятельность.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концентрации включает в себя следующие подвиды риска:</w:t>
      </w:r>
      <w:r>
        <w:rPr>
          <w:rFonts w:ascii="Times New Roman" w:hAnsi="Times New Roman" w:eastAsia="Times New Roman" w:cs="Times New Roman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отраслевой концентрации – риск, связанный с концентрацией кредитных требований к контрагентам в одном секторе экономики(отрасли);</w:t>
      </w:r>
      <w:r>
        <w:rPr>
          <w:rFonts w:ascii="Times New Roman" w:hAnsi="Times New Roman" w:eastAsia="Times New Roman" w:cs="Times New Roman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концентрации географической зоны – риск, связанный с концентрацией кредитных требований к контрагентам из одной географической зоны;</w:t>
      </w:r>
      <w:r>
        <w:rPr>
          <w:rFonts w:ascii="Times New Roman" w:hAnsi="Times New Roman" w:eastAsia="Times New Roman" w:cs="Times New Roman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концентрации финансовых инструментов – риск, связанный с концентрацией вложений в финансовые инструменты одного типа;</w:t>
      </w:r>
      <w:r>
        <w:rPr>
          <w:rFonts w:ascii="Times New Roman" w:hAnsi="Times New Roman" w:eastAsia="Times New Roman" w:cs="Times New Roman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риск концентрации источников ликвидности – риск, связанный с зависимостью Группы от отдельных источников ликвидности.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 w:bidi="ru-RU"/>
        </w:rPr>
        <w:t xml:space="preserve">В рамках управления риском концентрации Группа:</w:t>
      </w:r>
      <w:r>
        <w:rPr>
          <w:rFonts w:ascii="Times New Roman" w:hAnsi="Times New Roman" w:eastAsia="Times New Roman" w:cs="Times New Roman"/>
          <w:highlight w:val="white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200"/>
        <w:numPr>
          <w:numId w:val="52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определяет систему лимитов, ограничивающих объем требований к крупнейшим контрагентам (группам контрагентов) и контрагентам, принадлежащим отдельным отраслям экономики и географическим регионам;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2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проводит углубленный анализ крупнейших контрагентов и секторов экономики, в отношении которых выявлен риск концентрации;</w:t>
      </w:r>
      <w:r>
        <w:rPr>
          <w:rFonts w:ascii="Times New Roman" w:hAnsi="Times New Roman" w:cs="Times New Roman"/>
          <w:sz w:val="24"/>
          <w:szCs w:val="24"/>
          <w:highlight w:val="white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2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ограничивает объем вложений в инструменты, стоимость которых зависит от изменений общих факторов риска.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Риск концентрации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признан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  <w:lang w:val="ru-RU"/>
        </w:rPr>
        <w:t xml:space="preserve">2.8.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  <w:lang w:val="ru-RU"/>
        </w:rPr>
        <w:t xml:space="preserve">2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  <w:lang w:val="ru-RU"/>
        </w:rPr>
        <w:t xml:space="preserve">.7.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  <w:lang w:val="ru-RU"/>
        </w:rPr>
        <w:t xml:space="preserve"> </w:t>
      </w:r>
      <w:r>
        <w:rPr>
          <w:rFonts w:ascii="Times New Roman" w:hAnsi="Times New Roman" w:cs="Times New Roman" w:eastAsiaTheme="minorHAnsi"/>
          <w:b/>
          <w:i/>
          <w:sz w:val="24"/>
          <w:szCs w:val="24"/>
          <w:highlight w:val="white"/>
          <w:u w:val="single"/>
          <w:lang w:val="ru-RU" w:eastAsia="en-US"/>
        </w:rPr>
        <w:t xml:space="preserve">Комплаенс-риск (регуляторный риск)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  <w:lang w:val="ru-RU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Комплаенс-риск (регуляторный риск) – риск возникновения у Группы убытков из-за несоблюдения законодательства Российской Федерации, нормативных актов Банка России, вн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утренних документов участников Группы, стандартов саморегулируемых организаций (если такие стандарты или правила являются обязательными для участников Группы), а также в результате применения санкций и/или иных мер воздействия со стороны надзорных органов.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Целями управления регуляторным риском Группы являются повышение эффективности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участников Группы, в первую очередь, в области развития финансово-кредитной системы агропромышленного комплекса Российской Федерации, защита интересов акционеров, кредиторов и вкладчиков участников Группы посредством минимизации регуляторного риска Группы.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Исходя из указанных целей, задачами управления регуляторным риском являются: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обеспечение соблюдения участников Группы законодательства РФ, нормативных актов Банка России, стандартов СРО (если такие стандарты или правила являются обязательными для участников Группы), внутренних документов участников Группы;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минимизация риска возникновения у участников Группы убытков из-за несоблюдения законодательства РФ, нормативных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 актов Банка России, внутренних документов участников Группы, стандартов СРО (если такие стандарты или правила являются обязательными для участников Группы), а также в результате применения санкций и (или) иных мер воздействия со стороны надзорных органов.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  <w:t xml:space="preserve">К функциям по управлению регуляторным риском относятся: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выявление регуляторного риска;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учет событий, связанных с регуляторным риском, определение вероятности их возникновения и количественная оценка возможных последствий;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мониторинг регуляторного риска, в том числе анализ внедряемых участниками Группы новых банковских продуктов, услуг и планируемых методов их реализации на предмет наличия регуляторного риска;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направление рекомендаций по управлению регуляторным риском руководителям структурных подразделений участников Группы и органам управления участников Группы;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координация и участие в разработке комплекса мер, направленных на снижение уровня регуляторного риска в Группе;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мониторинг эффективности управления регуляторным риском;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разработка внутренних документов по управлению регуляторным риском;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информирование работников участников Группы по вопросам, связанным с управлением регуляторным риском;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выявление конфликтов интересов в деятельности участников Группы и работников участников Группы, разработка внутренних документов, направленных на минимизацию конфликта интересов;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анализ показателей динамики жалоб (обращений, заявлений) клиентов и анализ соблюдения участниками Группы прав клиентов;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анализ экономической целесообразности заключения Группой договоров с юридическими лицами и индивидуальными предпринимателями на оказание услуг и (или) выполнение работ, обеспечивающих осуществление участниками Группы банковских операций (аутсорсинг);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разработка внутренних документов, направленных на противодействие коммерческому подкупу и коррупции;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разработка внутренних документов и организация мероприятий, направленных на соблюдение правил корпоративного поведения, норм профессиональной этики;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3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взаимодействие с надзорными органами, саморегулируемыми организациями, ассоциациями и участниками финансовых рынков.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Регуляторный риск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признан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3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8</w:t>
      </w:r>
      <w:r>
        <w:rPr>
          <w:b/>
          <w:i/>
          <w:highlight w:val="white"/>
          <w:u w:val="single"/>
        </w:rPr>
        <w:t xml:space="preserve">. Стратегический риск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Стратегический риск – риск неблагоприятного изменения результатов деятельности Группы вследствие принятия ошибочных решений в процессе управления Группой, в том числе при разработке, утверждении и реализации стратеги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й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 развития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Банка и организаций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Группы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 Банка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, ненадлежащем исполнении принятых решений, а также неспособности органов управления Группы учитывать изменения внешних факторов.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Управление стратегическим риском является частью системы управления рисками, в рамках которой оцениваются возможности Группы, определяются перспективные направления, новые тенденции, конкурентные преимущества,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осуществляется анализ внешних и внутренних факторов, влияющих на деятельность Группы,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а также планируются меры по достижению поставленных целей. В Группе функционирует специальное структурное подразделение, осуществляющее разработку и реализацию стратегических планов Группы.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В целях минимизации р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иска в Группе выстроена многоуровневая эффективная система стратегического планирования и контроля, позволяющая своевременно реагировать на внешние и внутренние вызовы, принимать необходимые управленческие решения и осуществлять корректирующие мероприятия.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В своей деятельности Банк руководствуется Страт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егией развития                                                 АО «Россельхозбанк» до 2025 года (далее – Стратегия), утвержденной Наблюдательным советом Банка 15 октября 2020 года, а также утверждает и актуализирует политики, положения, планы мероприятий и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 другие внутренние документы, охватывающие весь спектр перспективных и текущих задач развития Банка в существующей экономической среде. Указанные документы проходят утверждение согласно действующей в Банке процедуре и являются основой для его деятельности.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В рамках управления стратегическим риском Группа: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0"/>
        <w:numPr>
          <w:numId w:val="67"/>
          <w:ilvl w:val="0"/>
        </w:numPr>
        <w:tabs>
          <w:tab w:val="left" w:pos="992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 проводит анализ конкурентной среды, рынка банковских услуг и перспективных направлений деятельности при формировании стратегии развития Банка;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7"/>
          <w:ilvl w:val="0"/>
        </w:numPr>
        <w:tabs>
          <w:tab w:val="left" w:pos="992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 проводит мониторинг достаточности ресурсов для достижения поставленных целей и задач;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67"/>
          <w:ilvl w:val="0"/>
        </w:numPr>
        <w:tabs>
          <w:tab w:val="left" w:pos="992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 осуществляет контроль реализации Стратегии развития Банка (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мониторинг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 исполнения Стратегии на уровне Правления Банка и на уровне Наблюдательного совета).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Все вышеперечисленное создает необходимые условия для минимизации стратегического риска.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white"/>
        </w:rPr>
      </w:r>
    </w:p>
    <w:p>
      <w:pPr>
        <w:pStyle w:val="1209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white"/>
          <w:lang w:val="ru-RU"/>
        </w:rPr>
        <w:t xml:space="preserve">Стратегический риск признан значимым для Группы.</w:t>
      </w:r>
      <w:r>
        <w:rPr>
          <w:rFonts w:ascii="Times New Roman" w:hAnsi="Times New Roman" w:cs="Times New Roman" w:eastAsiaTheme="minorEastAsia"/>
          <w:highlight w:val="white"/>
        </w:rPr>
      </w:r>
      <w:r>
        <w:rPr>
          <w:rFonts w:ascii="Times New Roman" w:hAnsi="Times New Roman" w:cs="Times New Roman" w:eastAsiaTheme="minorEastAsia"/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3"/>
        <w:rPr>
          <w:b/>
          <w:i/>
          <w:highlight w:val="white"/>
          <w:u w:val="single"/>
        </w:rPr>
      </w:pPr>
      <w:r>
        <w:rPr>
          <w:b/>
          <w:i/>
          <w:highlight w:val="white"/>
          <w:u w:val="single"/>
        </w:rPr>
        <w:t xml:space="preserve">2.8.</w:t>
      </w:r>
      <w:r>
        <w:rPr>
          <w:b/>
          <w:i/>
          <w:highlight w:val="white"/>
          <w:u w:val="single"/>
        </w:rPr>
        <w:t xml:space="preserve">2</w:t>
      </w:r>
      <w:r>
        <w:rPr>
          <w:b/>
          <w:i/>
          <w:highlight w:val="white"/>
          <w:u w:val="single"/>
        </w:rPr>
        <w:t xml:space="preserve">.</w:t>
      </w:r>
      <w:r>
        <w:rPr>
          <w:b/>
          <w:i/>
          <w:highlight w:val="white"/>
          <w:u w:val="single"/>
        </w:rPr>
        <w:t xml:space="preserve">9</w:t>
      </w:r>
      <w:r>
        <w:rPr>
          <w:b/>
          <w:i/>
          <w:highlight w:val="white"/>
          <w:u w:val="single"/>
        </w:rPr>
        <w:t xml:space="preserve">. Риск секьюритизации</w:t>
      </w:r>
      <w:r>
        <w:rPr>
          <w:b/>
          <w:i/>
          <w:highlight w:val="white"/>
          <w:u w:val="single"/>
        </w:rPr>
      </w:r>
      <w:r>
        <w:rPr>
          <w:b/>
          <w:i/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Риск секъюритизации по Группе отсутствует.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2.8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 Страновые и региональные риски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АО «Россель</w:t>
      </w:r>
      <w:r>
        <w:rPr>
          <w:highlight w:val="white"/>
        </w:rPr>
        <w:t xml:space="preserve">хозбанк» как крупная кредитная организация, присутствующая на международных рынках, подвержено влиянию страновых рисков, присущих деятельности его иностранных контрагентов. Принимаемый Банком страновой риск связан с возникновением у Банка убытков в результ</w:t>
      </w:r>
      <w:r>
        <w:rPr>
          <w:highlight w:val="white"/>
        </w:rPr>
        <w:t xml:space="preserve">ате неисполнения иностранными контрагентами обязательств из-за экономических, политических, социальных изменений, а также вследствие того, что валюта денежного обязательства может быть недоступна контрагенту из-за изменений в национальном законодательстве.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  <w14:ligatures w14:val="none"/>
        </w:rPr>
      </w:pPr>
      <w:r>
        <w:rPr>
          <w:highlight w:val="white"/>
        </w:rPr>
        <w:t xml:space="preserve">В рамках управления страновым риском</w:t>
      </w:r>
      <w:r>
        <w:rPr>
          <w:highlight w:val="white"/>
        </w:rPr>
        <w:t xml:space="preserve"> АО «Россель</w:t>
      </w:r>
      <w:r>
        <w:rPr>
          <w:highlight w:val="white"/>
        </w:rPr>
        <w:t xml:space="preserve">хозбанк»</w:t>
      </w:r>
      <w:r>
        <w:rPr>
          <w:highlight w:val="white"/>
        </w:rPr>
        <w:t xml:space="preserve">  осуществляет постоянный мониторинг социально-экономических и политических изме</w:t>
      </w:r>
      <w:r>
        <w:rPr>
          <w:highlight w:val="white"/>
        </w:rPr>
        <w:t xml:space="preserve">нений в странах присутствия </w:t>
      </w:r>
      <w:r>
        <w:rPr>
          <w:highlight w:val="white"/>
        </w:rPr>
        <w:t xml:space="preserve">контрагентов Банка.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b/>
          <w:highlight w:val="white"/>
        </w:rPr>
        <w:t xml:space="preserve">2.8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4</w:t>
      </w:r>
      <w:r>
        <w:rPr>
          <w:b/>
          <w:highlight w:val="white"/>
        </w:rPr>
        <w:t xml:space="preserve">. Правовые риски</w:t>
      </w:r>
      <w:r>
        <w:rPr>
          <w:b/>
          <w:highlight w:val="white"/>
        </w:rPr>
        <w:t xml:space="preserve">*</w:t>
      </w:r>
      <w:r>
        <w:rPr>
          <w:highlight w:val="whit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Правовой риск – риск возникновения у Банка/участника Группы убытков вследствие нарушения Банк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ом/участником Группы и (или) его контрагентами условий заключенных договоров, допускаемых Банком/участником Группы правовых ошибок при осуществлении деятельности (например, неправильные юридические консультации или неверное составление документов, в т.ч. п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ри рассмотрении спорных вопросов в судебных органах), несовершенства правовой системы (например, противоречивость законодательства, отсутствие правовых норм по регулированию отдельных вопросов, возникающих в деятельности Банка/участника Группы), нарушения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контрагентами нормативных правовых актов, нахождения филиалов Банка, юридических лиц, в отношении которых Банк/участник Группы осуществляет контроль или значительное влияние, а также контрагентов Банка/участника Группы под юрисдикцией различных государств.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В соответствии с Положением о Правовом департаменте АО «Россельхозбанк» от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27.12.2023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данным подразделением обеспечивается соблюдение законодательства Российской Федерации путем выполнения следующих задач: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обеспечение строгого соблюдения за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конности в деятельности Банка, правильного и единообразного применения законодательства Российской Федерации и нормативно-правовых актов государственных органов исполнительной власти и Банка России в части, относящейся к деятельности кредитных организаций;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обеспечение правовой защиты прав и законных интересов Банка, в том числе превентивными мерами правового характера, а также судебными средствами;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разработка и проведение общей правовой политики в Банке, прогнозирование правовой проблематики, разработка и реализация соответствующих предложений;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обеспечение наличия в разрабатываемых подразделениями Банка документах правовых гарантий соблюдения прав и интересов Банка;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проработка правовых моделей новых банковских услуг и коммерческих сделок, обеспечение правовой защиты интересов Банка при разработке и реализации финансовых проектов;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подготовка учредительных документов Банка;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в случаях и порядке, предусмотренных внутренними документами Банка, согласование проектов документов Банка по различным направлениям деятельности Банка с целью минимизации правового риска Банка;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</w:rPr>
        <w:t xml:space="preserve">правовое обеспечение взаимодействия с коммерческими и некоммерческими организациями, в которых участвует Банк.</w:t>
      </w:r>
      <w:r>
        <w:rPr>
          <w:rFonts w:ascii="Times New Roman" w:hAnsi="Times New Roman" w:cs="Times New Roman"/>
          <w:sz w:val="24"/>
          <w:szCs w:val="24"/>
          <w:highlight w:val="white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Согласно Стратегии управления, р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исками и капиталом Группы АО «Россельхозбанк» (утверждена решением Наблюдательного совета АО «Россельхозбанк», протокол от 12.07.2017 №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12)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Правовой департамент Банка в рамках управления правовым риском Группы осуществляет правовую экспертизу учредительных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 документов и внутренних документов участников Группы, регламентирующих деятельность их органов управления и контроля, на предмет соответствия действующему законодательству и внутренним стандартам.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По имеющейся у Эмитента информации Банк/участник Группы не участвуют в каких-либо существенных судебных разбирательствах по искам, предъявленным к Группе, которые могут негативно сказаться на результатах финансово хозяйственной деятельности Эмитента.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14:ligatures w14:val="none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*включаются в состав операционного риска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2.8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5</w:t>
      </w:r>
      <w:r>
        <w:rPr>
          <w:b/>
          <w:highlight w:val="white"/>
        </w:rPr>
        <w:t xml:space="preserve">. Риск потери деловой репутации (репутационный риск)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Группа может быть подвержена риску потери деловой репутации в случае формирования в обществе негативного представления о финансовой устойчивости Группы, качестве оказываемых услуг или характере деятельности в целом.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Возникновение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репутационного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 риска может быть обусловлено следующими факторами: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наличие негативной информации о Группе, членах органов управления и работниках участников Группы, дочерних организациях и других аффилированных лицах в средствах массовой информации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 иных источниках;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возникновение конфликта интересов с клиентами и/или контрагентами участников Группы, а также другими заинтересованными лицами;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наличие жалоб, судебных исков со стороны клиентов и/или контрагентов участников Группы, применение мер воздействия со стороны регулирующих органов.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tabs>
          <w:tab w:val="left" w:pos="267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Снижение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репутационного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  <w:t xml:space="preserve"> риска достигается за счет: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своевременного реагирования на отзывы, претензии и предложения клиентов и других заинтересованных лиц;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своевременного рассмотрения и реагирования на негативные отзывы и сообщения о Группе в средствах массовой информации и иных источниках;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соблюдения участниками Группы законодательства, норм делового оборота и деловой этики, принятых бизнес-сообществом;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200"/>
        <w:numPr>
          <w:numId w:val="56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реализации программ повышения лояльности контрагентов.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  <w:t xml:space="preserve">2.8.</w:t>
      </w:r>
      <w:r>
        <w:rPr>
          <w:b/>
          <w:highlight w:val="white"/>
        </w:rPr>
        <w:t xml:space="preserve">6</w:t>
      </w:r>
      <w:r>
        <w:rPr>
          <w:b/>
          <w:highlight w:val="white"/>
        </w:rPr>
        <w:t xml:space="preserve">. Природно-климатический риск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создан для реализации государственной аграрной политики и является основой финансово-кредитного обслуживания АПК и смежных отраслей, что определяет отраслевую структуру кредитного портфеля Банка. Задачи, связанные с кредитованием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сельхозтоваропроизводителей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формируют дополнительные кредитные риски, которые обусловлены специфическими рисками АПК, прежде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всего, агроклиматическими. В результате высокой доли кредитов, выданных предприятиям аграрного сектора, финансовые результаты Банка могут значительно зависеть от сезонных и циклических изменений в сельскохозяйственном секторе, снижения цен на продовольстви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товары или увеличения издержек производства. Кроме того, неблагоприятные погодные условия, стихийные бедствия и другие события природно-климатического характера могут оказать существенное влияние на способность заемщиков обслуживать кредиты. Широкая сеть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точек продаж и обслуживания Банка, охватывающая большинство регионов России, определяет возможность реализации рисков, связанных с объективными природно-климатическими процессами, что может оказать негативное влияние на деятельность Банка и его клиентов: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  <w:t xml:space="preserve">Засуха </w:t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Малое количество осадков в весенне-летний период года наносит ощутимый вр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ед сельскохозяйственным культурам и плодово-ягодным насаждениям, что снижает урожайность и, следовательно, объемы реализации готовой продукции, что негативно отражается на платежеспособности клиентов Банка. В наибольшей степени засухе подвержены степные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полустепные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районы регионов Южного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Северо-Кавказского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федеральных округов (Республика Калмык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ия, Ростовская область, Волгоградская область, Астраханская область, Ставропольский край, Республика Дагестан), а также часть территории регионов южного Поволжья и Урала (Саратовская, Самарская, Оренбургская, Челябинская области, Республика Башкортостан).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  <w:t xml:space="preserve">Подтопление и переувлажнение сельскохозяйственных земель</w:t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Происходит по причине выпадения избыточного количества атмосферных осадков или разливов рек в период весеннего паводка.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тер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риториям, в наибольшей степени подверженным негативному влиянию избыточных осадков, относятся регионы Нечерноземья Северо-Западного и Центрального федеральных округов (Калининградская, Ленинградская, Новгородская, Тверская, Брянская, Ивановская области).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Наибольшие риски ущерба сельхозугодиям характерны для территорий, распол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оженных на юге Приморского края, в долине реки Амур (Хабаровский край, Амурская область Еврейская АО), в бассейне Средней и Верхней Оки (Нижегородская, Владимирская, Рязанская области) и Верхнего Дона (Воронежская область), на реках бассейнов Кубани и Тере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 (Краснодарский край, Карачаево-Черкесская Республика, Ингушетия, Северная Осетия), в бассейнах рек Тобол (Свердловская и Тюменская области) и Ангара (Иркутская область), на притоках Среднего Енисея (Красноярский край) и Средней Лены (Республика Якутия).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  <w:t xml:space="preserve">Сейсмоопасность</w:t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  <w:t xml:space="preserve"> (землетрясения)</w:t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Территория России, по сравнению с другими государствами, в целом характ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еризуется умеренной сейсмичностью. Но отдельные территории страны являются потенциально сейсмически опасными зонами. Наибольшим риском землетрясения характеризуются Сахалинская область и Камчатский край, расположенные в северной части Тихоокеанского сейсми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ческого пояса – самого активного на Земле. Некоторой сейсмической активностью отличается ряд районов республик Северного Кавказа, Сибири и Урала, расположенных в пределах горных систем – Кавказских, Алтайских, Саянских и Уральских гор, а также Байкальская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рифтовая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зона, над которой располагается озеро Байкал. Однако масштабы сельскохозяйственной деятельности в потенциально сейсмоопасных районах России незначительны.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агрострахования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активно развиваются, однако доля застрахованных сельскохозяйственных угодий все еще остается низкой. По данным Национальной ассоциации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агростраховщиков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Российской Федерации в 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году было застраховано всего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16,3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млн. га (около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посевной площади. Растущая доля страхования постепенно снижает финансово-кредитные риски отрасли и Банка.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Все риски, связанные с негативным влиянием внешних факторов на деятельность Банка, полностью учитываются в работе. Управление этими рисками осуществляется в полном соответствии с требованиями Банка России.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outlineLvl w:val="3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3"/>
        <w:rPr>
          <w:highlight w:val="white"/>
        </w:rPr>
      </w:pPr>
      <w:r>
        <w:rPr>
          <w:b/>
          <w:highlight w:val="white"/>
        </w:rPr>
        <w:t xml:space="preserve">2.8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7</w:t>
      </w:r>
      <w:r>
        <w:rPr>
          <w:b/>
          <w:highlight w:val="white"/>
        </w:rPr>
        <w:t xml:space="preserve">. Иные риски, которые являются существенными для эмитента (группы эмитента)</w:t>
      </w:r>
      <w:r>
        <w:rPr>
          <w:highlight w:val="white"/>
        </w:rPr>
      </w:r>
    </w:p>
    <w:p>
      <w:pPr>
        <w:ind w:firstLine="709"/>
        <w:jc w:val="both"/>
        <w:outlineLvl w:val="3"/>
        <w:rPr>
          <w:highlight w:val="white"/>
        </w:rPr>
      </w:pPr>
      <w:r>
        <w:rPr>
          <w:highlight w:val="white"/>
        </w:rPr>
        <w:t xml:space="preserve">Иные риски, которые являются существенными для Группы эмитента отсутствуют.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Раздел</w:t>
      </w:r>
      <w:r>
        <w:rPr>
          <w:b/>
          <w:highlight w:val="white"/>
        </w:rPr>
        <w:t xml:space="preserve"> 3.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деятельностью, внутреннего контроля и внутреннего аудита, а также сведения о работниках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.1. Информация о лицах, входящих в состав органов управления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center"/>
        <w:outlineLvl w:val="2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Приложения к Постановлению Правительства Российской Федерации от 04.07.2023 № 1102,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в данном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outlineLvl w:val="2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16" w:name="Par318"/>
      <w:r>
        <w:rPr>
          <w:highlight w:val="white"/>
        </w:rPr>
      </w:r>
      <w:bookmarkEnd w:id="16"/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Основные положения политики в области вознаграждения и (или) компенсации расходов членов органов управления эмитента: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Наблюдательным советом Банка утверждена Политика в области оплаты труда работников АО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№ 697-П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perscript"/>
        </w:rPr>
        <w:footnoteReference w:id="11"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(далее – Политика в области оплаты труда), предусматривающая учет всех требований действующего законодательства Российской Федерации, в том числе нормативных актов Банка России к системе оплаты труда кредитной организации.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содержит положения о вознаграждениях единоличного исполнительного органа и членов коллегиального исполнительного органа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предусматривает, в том числе: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все используемые в Банке формы оплаты труда и виды выплат;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определения размеров должно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стных окладов, компенсационных,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стимулирующих и социальных выплат;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зависимость переменной части опла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ты труда от исполнения ключевых показателей эффективности,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позволяющих учитывать все значимые для Банка риски;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оценки эффективности организации и функционирования системы оплаты труда, ее соответствия Стратегии Банка, характеру и масштабу совершаемых операций, результатам деятельности, уровню и сочетанию принимаемых рисков;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критерии определения крупных вознаграждений и механизм контроля их выплат со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стороны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Наблюдательного совета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Для всех категорий работников Банка применяется система оплаты труда, включающая в себя следующие элементы заработной платы: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должностной оклад;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стимулирующие выплаты (премиальные выплаты, доплаты и надбавки стимулирующего характера);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компенсационные выплаты (доплаты и надбавки компенсационного характера) и прочие выплаты, осуществляемые в соответствии с трудовым законодательством Российской Федерации 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/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или внутренними документами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Единый порядок определения размера, форм и начисления элементов системы оплаты труда устанавливается внутренними документами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Предварительное рассмотрение вопросов Политики в области оплаты труда осуществляется Комитетом по кадрам и вознаграждениям Наблюдательного совета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(далее - Комитет по кадрам)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 компетенции Комитета по кадрам в числе прочих отнесены такие вопросы, как формирование принципов и критериев определения размера вознаграждения руководителей Банка, подго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товка предложений Наблюдательному совету Банка по вопросам политики в области оплаты труда, мониторинг соответствия действующей в Банке политики в области вознаграждения, стратегии развития Банка, его финансовому положению, а также ситуации на рынке труда.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Решения о порядке определения размера, форм и начисления компенсационных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и стимулирующих выплат руководящим работникам Банка принимаются Наблюдательным советом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Принципы системы оплаты труда Банка распространяются на организации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Банка с учетом характера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целевых стратегических задач.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2024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году Обществом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ограниченной ответственностью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«АМТ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Консалт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 пров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едена независимая оценка системы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оплаты труда Банка, по ит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огам которой подготовлен отчет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результатах независимой оценки системы оплаты труда Банка, подтверждающий соответствие системы оплаты труда Банка требованиям Банка России.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Итоги независимой оценки </w:t>
      </w:r>
      <w:r>
        <w:rPr>
          <w:highlight w:val="white"/>
        </w:rPr>
        <w:t xml:space="preserve">системы оплаты труда Банка, подтверждающие ее соответствие требованиям Банка России, в том числе характеру и масштабу совершаемых Банком операций, результатам его деятельности, уровню и сочетанию принимаемых рисков, рассмотрены Наблюдательным советом Банка</w:t>
      </w:r>
      <w:r>
        <w:rPr>
          <w:highlight w:val="white"/>
          <w:vertAlign w:val="superscript"/>
        </w:rPr>
        <w:footnoteReference w:id="12"/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Наряду с результатами независимой оценки системы оплаты труда Банка, а также </w:t>
      </w:r>
      <w:r>
        <w:rPr>
          <w:highlight w:val="white"/>
        </w:rPr>
        <w:br/>
      </w:r>
      <w:r>
        <w:rPr>
          <w:highlight w:val="white"/>
        </w:rPr>
        <w:t xml:space="preserve">по результатам проведенной Банком самооценки системы оплаты труда в соответствии </w:t>
      </w:r>
      <w:r>
        <w:rPr>
          <w:highlight w:val="white"/>
        </w:rPr>
        <w:br/>
      </w:r>
      <w:r>
        <w:rPr>
          <w:highlight w:val="white"/>
        </w:rPr>
        <w:t xml:space="preserve">с требованиями Банка России и запросом уполномоченного структурного по</w:t>
      </w:r>
      <w:r>
        <w:rPr>
          <w:highlight w:val="white"/>
        </w:rPr>
        <w:t xml:space="preserve">дразделения Банка России Наблюдательным советом Банка принято решение о признании системы оплаты труда Банка соответствующей стратегии Банка, характеру и масштабу совершаемых им операций, результатам его деятельности, уровню и сочетанию принимаемых рисков </w:t>
      </w:r>
      <w:r>
        <w:rPr>
          <w:highlight w:val="white"/>
        </w:rPr>
        <w:br/>
      </w:r>
      <w:r>
        <w:rPr>
          <w:highlight w:val="white"/>
        </w:rPr>
        <w:t xml:space="preserve">и подлежащей сохранению на следующий календарный год</w:t>
      </w:r>
      <w:r>
        <w:rPr>
          <w:highlight w:val="white"/>
          <w:vertAlign w:val="superscript"/>
        </w:rPr>
        <w:footnoteReference w:id="13"/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spacing w:before="240"/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Информация о размере и видах вознаграждения, которые были выплачены Эмитентом: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line="216" w:lineRule="auto"/>
        <w:ind w:firstLine="709"/>
        <w:jc w:val="center"/>
        <w:outlineLvl w:val="0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Наблюдательный совет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60"/>
        <w:gridCol w:w="4678"/>
        <w:gridCol w:w="2268"/>
      </w:tblGrid>
      <w:tr>
        <w:trPr/>
        <w:tblPrEx/>
        <w:tc>
          <w:tcPr>
            <w:tcW w:w="2660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Отчетная дата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1223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Размер вознаграждения,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266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 месяцев 20</w:t>
            </w:r>
            <w:r>
              <w:rPr>
                <w:highlight w:val="white"/>
                <w:lang w:val="en-US"/>
              </w:rPr>
              <w:t xml:space="preserve">24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Вознаграждения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10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856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10 856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месяца</w:t>
            </w:r>
            <w:r>
              <w:rPr>
                <w:highlight w:val="white"/>
              </w:rPr>
              <w:t xml:space="preserve"> 2025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Вознаграждения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outlineLvl w:val="0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center"/>
        <w:outlineLvl w:val="0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Правление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660"/>
        <w:gridCol w:w="4678"/>
        <w:gridCol w:w="2268"/>
      </w:tblGrid>
      <w:tr>
        <w:trPr>
          <w:trHeight w:val="1008"/>
        </w:trPr>
        <w:tblPrEx/>
        <w:tc>
          <w:tcPr>
            <w:tcW w:w="2660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Отчетная дата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  <w:vAlign w:val="center"/>
          </w:tcPr>
          <w:p>
            <w:pPr>
              <w:pStyle w:val="1223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Размер вознаграждения,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266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 месяцев 20</w:t>
            </w:r>
            <w:r>
              <w:rPr>
                <w:highlight w:val="white"/>
                <w:lang w:val="en-US"/>
              </w:rPr>
              <w:t xml:space="preserve">24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161 359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73 530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6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2 101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6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Отложенный годовой бонус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219 120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456 110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месяца</w:t>
            </w:r>
            <w:r>
              <w:rPr>
                <w:highlight w:val="white"/>
              </w:rPr>
              <w:t xml:space="preserve"> 2025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33 780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19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Отложенный годовой бонус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33 799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spacing w:line="216" w:lineRule="auto"/>
        <w:ind w:firstLine="709"/>
        <w:jc w:val="center"/>
        <w:outlineLvl w:val="0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pacing w:line="216" w:lineRule="auto"/>
        <w:ind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Ревизионная комиссия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939"/>
        <w:gridCol w:w="3201"/>
        <w:gridCol w:w="3205"/>
      </w:tblGrid>
      <w:tr>
        <w:trPr>
          <w:jc w:val="center"/>
          <w:trHeight w:val="280"/>
        </w:trPr>
        <w:tblPrEx/>
        <w:tc>
          <w:tcPr>
            <w:tcW w:w="2939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Отчетная дата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1" w:type="dxa"/>
            <w:noWrap w:val="false"/>
            <w:textDirection w:val="lrTb"/>
            <w:vAlign w:val="center"/>
          </w:tcPr>
          <w:p>
            <w:pPr>
              <w:pStyle w:val="1223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Размер вознаграждения,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 месяцев 20</w:t>
            </w:r>
            <w:r>
              <w:rPr>
                <w:highlight w:val="white"/>
                <w:lang w:val="en-US"/>
              </w:rPr>
              <w:t xml:space="preserve">24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320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320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месяца</w:t>
            </w:r>
            <w:r>
              <w:rPr>
                <w:highlight w:val="white"/>
              </w:rPr>
              <w:t xml:space="preserve"> 2025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pStyle w:val="1197"/>
        <w:ind w:firstLine="540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spacing w:line="216" w:lineRule="auto"/>
        <w:ind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Служба внутреннего аудита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939"/>
        <w:gridCol w:w="3202"/>
        <w:gridCol w:w="3204"/>
      </w:tblGrid>
      <w:tr>
        <w:trPr>
          <w:jc w:val="center"/>
          <w:trHeight w:val="280"/>
        </w:trPr>
        <w:tblPrEx/>
        <w:tc>
          <w:tcPr>
            <w:tcW w:w="2939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Отчетная дата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2" w:type="dxa"/>
            <w:noWrap w:val="false"/>
            <w:textDirection w:val="lrTb"/>
            <w:vAlign w:val="center"/>
          </w:tcPr>
          <w:p>
            <w:pPr>
              <w:pStyle w:val="1223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Размер вознаграждения,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2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 месяцев 20</w:t>
            </w:r>
            <w:r>
              <w:rPr>
                <w:highlight w:val="white"/>
                <w:lang w:val="en-US"/>
              </w:rPr>
              <w:t xml:space="preserve">24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174 576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320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29 981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78"/>
        </w:trPr>
        <w:tblPrEx/>
        <w:tc>
          <w:tcPr>
            <w:tcW w:w="293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320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581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46"/>
        </w:trPr>
        <w:tblPrEx/>
        <w:tc>
          <w:tcPr>
            <w:tcW w:w="293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3202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(командировки)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04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9 572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2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214 710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месяца</w:t>
            </w:r>
            <w:r>
              <w:rPr>
                <w:highlight w:val="white"/>
              </w:rPr>
              <w:t xml:space="preserve"> 2025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51 652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8 945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63"/>
        </w:trPr>
        <w:tblPrEx/>
        <w:tc>
          <w:tcPr>
            <w:tcW w:w="29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Отложенный годовой бонус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18"/>
        </w:trPr>
        <w:tblPrEx/>
        <w:tc>
          <w:tcPr>
            <w:tcW w:w="2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(командировки)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2 291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62 888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spacing w:line="216" w:lineRule="auto"/>
        <w:ind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pacing w:line="216" w:lineRule="auto"/>
        <w:ind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Департамент комплаенс-контроля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937"/>
        <w:gridCol w:w="3204"/>
        <w:gridCol w:w="3204"/>
      </w:tblGrid>
      <w:tr>
        <w:trPr>
          <w:jc w:val="center"/>
          <w:trHeight w:val="1008"/>
        </w:trPr>
        <w:tblPrEx/>
        <w:tc>
          <w:tcPr>
            <w:tcW w:w="2937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Отчетная дата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pStyle w:val="1223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Размер вознаграждения,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7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 месяцев 20</w:t>
            </w:r>
            <w:r>
              <w:rPr>
                <w:highlight w:val="white"/>
                <w:lang w:val="en-US"/>
              </w:rPr>
              <w:t xml:space="preserve">24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125 094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7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34 304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37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Отложенный годовой бонус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114"/>
        </w:trPr>
        <w:tblPrEx/>
        <w:tc>
          <w:tcPr>
            <w:tcW w:w="2937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 (командировки)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322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159 720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месяца</w:t>
            </w:r>
            <w:r>
              <w:rPr>
                <w:highlight w:val="white"/>
              </w:rPr>
              <w:t xml:space="preserve"> 2025</w:t>
            </w:r>
            <w:r>
              <w:rPr>
                <w:highlight w:val="white"/>
              </w:rPr>
              <w:t xml:space="preserve">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35 532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Премия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6 357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Отложенный годовой бонус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Компенсации расходов (командировки)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138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ИТОГО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42 027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highlight w:val="white"/>
        </w:rPr>
        <w:t xml:space="preserve"> Отсутствуют.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Сведения, указанные в настоящем пункте, не могут являться предметом соглашения о конфиденциальной информации, препятствующего их раскрытию в </w:t>
      </w:r>
      <w:r>
        <w:rPr>
          <w:highlight w:val="white"/>
        </w:rPr>
        <w:t xml:space="preserve">Проспекте ценных бумаг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17" w:name="Par325"/>
      <w:r>
        <w:rPr>
          <w:highlight w:val="white"/>
        </w:rPr>
      </w:r>
      <w:bookmarkEnd w:id="17"/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соо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тветствии со статьей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24 Федерального закона от 02.12.1990 № 395-1 «О банках и банковской деятельности», Положением Банка России от 16.12.2003 № 242-П                      «Об организации внутреннего контроля в кредитных организациях и банковских группах» (далее – Положение Бан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ка России № 242-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П), Указанием Банка России от 15.04.2015                 № 3624-У «О требованиях к системе управления рисками и капиталом кредитной организации и банковской группы» в АО «Россельхозбанк» созданы системы управления рисками и капиталом, внутреннего 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контроля за финансово-хозяйственной деятельностью АО «Россельхозбанк» функционирует система органов внутреннего контроля АО «Россельхозбанк». Согласно Уставу АО «Россельхозбанк» система органов внутреннего контроля Банка включает: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органы управления Банка – Общее собрание акционеров Банка, Наблюдательный совет Банка, Правление Банка, Председатель Правления Банка;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Ревизионную комиссию Банка;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Главного бухгалтера Банка (его заместителей);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руководителя филиала Банка (его заместителей) и главного бухгалтера филиала Банка (его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заместителей);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подразделения и работников Банка, осуществляющих внутренний контроль в соответствии с полномочиями, определяемыми внутренними документами, включая: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1) Службу внутреннего аудита;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2) Департамент комплаенс-контроля;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3) Ответственного сотрудника (Службу финансового мониторинга) по противодействию лег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ализации (отмыванию) доходов, полученных преступным путем, и финансированию терроризма (ПОД/ФТ), осуществляющего деятельность по организации и проведению работы по ПОД/ФТ, а также реализации правил внутреннего контроля в целях ПОД/ФТ в АО «Россельхозбанк»;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4) контролера профессионального участника рынка ценных бумаг (далее – Контролер);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5) иные структурные подразделения и (или) ответственных работников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rFonts w:eastAsia="Calibri"/>
          <w:b/>
          <w:i/>
          <w:color w:val="000000"/>
          <w:highlight w:val="white"/>
        </w:rPr>
      </w:pPr>
      <w:r>
        <w:rPr>
          <w:rFonts w:eastAsia="Calibri"/>
          <w:b/>
          <w:i/>
          <w:color w:val="000000"/>
          <w:highlight w:val="white"/>
        </w:rPr>
        <w:t xml:space="preserve">В Банке функционирует система управления рисками.</w:t>
      </w:r>
      <w:r>
        <w:rPr>
          <w:rFonts w:eastAsia="Calibri"/>
          <w:b/>
          <w:i/>
          <w:color w:val="000000"/>
          <w:highlight w:val="white"/>
        </w:rPr>
      </w:r>
      <w:r>
        <w:rPr>
          <w:rFonts w:eastAsia="Calibri"/>
          <w:b/>
          <w:i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Одной из основных целей управления рисками Банка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является развитие риск-культуры и риск-ориентированной модели Банка – создание атмосферы, при которой в адекватном управлении рисками заинтересованы все работники участников Банка, культуры дисциплинированного и взвешенного отношения к принимаемым рискам.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 уровне Банка установлены процедуры, обеспечивающие контроль за соблюдением установленных лимитов. В дополнение к процедурам конт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роля лимитов, используется система показателей (сигнальных значений), свидетельствующих о высокой степени использования лимитов, перечень корректирующих мероприятий в зависимости от степени приближения использования лимита к сигнальному значению, например: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снижение уровня принятого риска;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увеличение размера капитала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Информация о достижении установленных сигнальных значений, о фактах несоблюдения установленных лимитов и действиях, предпринятых для их устранения, доводится до Наблюдательного совета Банка по мере выявления указа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нных фактов в составе отчета о значимых рисках Банка. На основе информации, содержащейся в указанном отчете, уполномоченные органы Банка в рамках своей компетенции принимают и контролируют исполнение решений о реализации мер, направленных на устранение и/и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ли недопущение нарушений установленных лимитов. В частности, указанные меры могут быть направлены на совершенствование системы управления рисками, снижение уровня принятых рисков, увеличение размера капитала и корректировку показателей риск-аппетита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Основной целью формирования отчетности в рамках системы управления рисками является контроль эффективности выполнения ВП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ОДК, в т.ч. достаточности капитала, соблюдения лимитов и риск-аппетита, обеспечение своевременного принятия мер для соблюдения лимитов, риск-аппетита и поддержания достаточности капитала Банка, а также раннее предупреждение нарушений установленных лимитов.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Формы отчетов разрабатываются таким образом, чтобы обеспечить возможность: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осуществлять обобщение информации по различным видам значимых рисков;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осуществлять оценку достаточности капитала и оценивать потребность в капитале на перспективу;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информировать органы управления, рабочие коллегиальные органы и подразделения участников Банка о результатах оценки достаточности капитала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Информация о комитете по аудиту Наблюдательного совета Банка, его функциях, персональном и количественном составе: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бумаг», согласно пункту 1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персональном и количественном составе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аудиту Наблюдательного совета 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17"/>
        <w:tabs>
          <w:tab w:val="left" w:pos="567" w:leader="none"/>
        </w:tabs>
        <w:ind w:firstLine="709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Style w:val="1217"/>
        <w:tabs>
          <w:tab w:val="left" w:pos="567" w:leader="none"/>
        </w:tabs>
        <w:ind w:firstLine="709"/>
        <w:rPr>
          <w:b/>
          <w:bCs/>
          <w:i/>
          <w:iCs/>
          <w:highlight w:val="white"/>
        </w:rPr>
      </w:pPr>
      <w:r>
        <w:rPr>
          <w:b/>
          <w:i/>
          <w:highlight w:val="white"/>
        </w:rPr>
        <w:t xml:space="preserve">Функции Комитета </w:t>
      </w:r>
      <w:r>
        <w:rPr>
          <w:b/>
          <w:bCs/>
          <w:i/>
          <w:iCs/>
          <w:highlight w:val="white"/>
        </w:rPr>
        <w:t xml:space="preserve">по аудиту Наблюдательного совета: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 В части внутреннего контроля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1.1. Анализ системы внутреннего контроля в Банке, методов и процедур контроля.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1.2. Оценка эффективности методов и процедур внутреннего контроля и управления рисками и подготовка предложений по совершенствованию методов и процедур внутреннего контроля.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1.3. Контроль выполнения исполнительными органами управления Банка, руководителями структурных подразделений и работниками Банка рекомендаций СВА и внешнего аудитора.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1.4. Обсуж</w:t>
      </w:r>
      <w:r>
        <w:rPr>
          <w:highlight w:val="white"/>
        </w:rPr>
        <w:t xml:space="preserve">дение с исполнительными органами управления Банка, руководителями структурных подразделений, внешним аудитором и руководителем СВА наиболее существенных рисков, стоящих перед Банком, и выработка предложений по совершенствованию системы управления рисками.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1.5. Анализ эффективности системы контроля соблюдения законодательства Российской Федерации при подготовке финансовой отчетности, в части подготовки международной финансовой о</w:t>
      </w:r>
      <w:r>
        <w:rPr>
          <w:highlight w:val="white"/>
        </w:rPr>
        <w:t xml:space="preserve">тчетности и соблюдения международных стандартов финансовой отчетности (далее – МСФО), а также принимаемых исполнительными органами управления Банка мер в отношении фактов несоблюдения законодательных норм и требований, обнаруженных по результатам проверок.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1.6. Предварительное рассмотрение плана работы СВА на предстоящий/текущий год и подготовка предложений Наблюдательному совету о включении в план работы СВА вопросов, связанных с основными областями риска.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1.7. Проведение встреч с руководителем СВА для обсуждения вопросов деятельности СВА, которые, по мнению Комитета или СВА должны обсуждаться конфиденциально.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1.8. Своевременное рассмотрение сообщений СВА о выявленных нарушениях в деятельности Банка и представленных СВА рекомендаций, а также представление Наблюдательному совету рекомендаций о мерах по устранению выявленных нарушений.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1.9. Анализ деятельности и организационной структуры СВА, и представление заключений и рекомендаций Наблюдательному совету по повышению эффективности работы СВА.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 В части подготовки финансовой отчетности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2.1. Анализ промежуточной и годовой финансовой отчетности, и результатов ее аудита (обзора) внешним аудитором и предоставление соответствующего заключения Наблюдательному совету.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2.2. Оценка соответствия состава раскрываемой Банком информации, порядка раскрытия, сроков раскрытия нормам и требованиям действующего законодательства и предоставление соответствующего заключения Наблюдательному совету.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2.3. Рассмотрение существенных вопросов бухгалтерского учета и составления отчетности, включая нормативные акты и стандарты, оценка степени их возможного влияния на финансовую отчетность и предоставление соответствующего заключения Наблюдательному совету.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2.4. Анализ применяемых исполнительными органами и подразделе</w:t>
      </w:r>
      <w:r>
        <w:rPr>
          <w:highlight w:val="white"/>
        </w:rPr>
        <w:t xml:space="preserve">ниями Банка процедур контроля соблюдения Банком законов и других нормативных актов, стандартов МСФО (при подготовке международной финансовой отчетности), требований к финансовой отчетности и представление соответствующего заключения Наблюдательному совету.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2.5. Анализ полученных от исполнительных органов управления Банка и руководителей структурных подразделений данных по вопросам соблюдения законодательства, которые могут повлиять на финансовую отчетность Банка и выполнение требований законодательства.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2.6. Оценка объективности данных годовой и промежуточной финансовой отчетности, годовых отчетов акционерам Банка до передачи соответствующих отчетов Наблюдательному совету. При этом особое внимание должно уделяться:</w:t>
      </w:r>
      <w:r>
        <w:rPr>
          <w:highlight w:val="white"/>
        </w:rPr>
      </w:r>
    </w:p>
    <w:p>
      <w:pPr>
        <w:numPr>
          <w:numId w:val="27"/>
          <w:ilvl w:val="0"/>
        </w:numPr>
        <w:tabs>
          <w:tab w:val="num" w:pos="0" w:leader="none"/>
          <w:tab w:val="left" w:pos="993" w:leader="none"/>
          <w:tab w:val="clear" w:pos="1554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любым изменениям в правилах бухгалтерского учета и бухгалтерской отчетности;</w:t>
      </w:r>
      <w:r>
        <w:rPr>
          <w:highlight w:val="white"/>
        </w:rPr>
      </w:r>
    </w:p>
    <w:p>
      <w:pPr>
        <w:numPr>
          <w:numId w:val="27"/>
          <w:ilvl w:val="0"/>
        </w:numPr>
        <w:tabs>
          <w:tab w:val="num" w:pos="0" w:leader="none"/>
          <w:tab w:val="left" w:pos="993" w:leader="none"/>
          <w:tab w:val="clear" w:pos="1554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любым значительным изменениям/расхождениям, обнаруженным аудиторами;</w:t>
      </w:r>
      <w:r>
        <w:rPr>
          <w:highlight w:val="white"/>
        </w:rPr>
      </w:r>
    </w:p>
    <w:p>
      <w:pPr>
        <w:numPr>
          <w:numId w:val="27"/>
          <w:ilvl w:val="0"/>
        </w:numPr>
        <w:tabs>
          <w:tab w:val="num" w:pos="0" w:leader="none"/>
          <w:tab w:val="left" w:pos="993" w:leader="none"/>
          <w:tab w:val="clear" w:pos="1554" w:leader="none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соответствию бухгалтерским и другим финансовым стандартам.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2.7. Оценка достоверности раскрываемой финансовой информации, в т.ч. при публикации финансовой (бухгалтерской) отчетности.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3. В части взаимодействия с внешним аудитором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3.1. Получение от внешнего аудитора плана работы по аудиту, заключений, рекомендаций.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3.2. Предоставление Наблюдательному совету, в случае необходимости, предложений о замене внешнего аудитора Банка.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3.3. Проведение оценки годового отчета и предоставление Наблюдательному совету заключения по данному документу до его вынесения Наблюдательным советом на утверждение Общего собрания акционеров Банка.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3.4. Проведение оценки заключения внешнего аудитора Банка, которая должна предоставляться в качестве материала к годовому Общему собранию акционеров Банка.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4. Рассмотрение предложений по разработке и совершенствованию внутренних документов Банка по вопросам, относящимся к компетенции Комитета, утверждение которых отнесено к компетенции Наблюдательного совета.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5. Анализ подготовки и проведения открытого конкурса по выбору внешнего аудитора Банка.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6. Предварительное, до принятия Правлением Банка решения о </w:t>
      </w:r>
      <w:r>
        <w:rPr>
          <w:highlight w:val="white"/>
        </w:rPr>
        <w:t xml:space="preserve">проведении открытого конкурса и формировании конкурсной комиссии, представление Наблюдательному совету предложений по проекту договора, заключаемого с внешним аудитором Банка, о максимальном размере и порядке выплаты вознаграждения внешнему аудитору Банка.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7. По решению Наблюдательного совета на Комитет могут быть возложены иные функции.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наличии отдельного структурного подразделения (подразделений) по управлению рисками и (или) внутреннему контролю, а также задачах и функциях указанного структурного подразделения (подразделений):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rFonts w:eastAsia="Calibri"/>
          <w:b/>
          <w:color w:val="000000"/>
          <w:highlight w:val="white"/>
          <w:u w:val="single"/>
        </w:rPr>
      </w:pP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</w:p>
    <w:p>
      <w:pPr>
        <w:ind w:firstLine="709"/>
        <w:jc w:val="both"/>
        <w:rPr>
          <w:rFonts w:eastAsia="Calibri"/>
          <w:b/>
          <w:color w:val="000000"/>
          <w:highlight w:val="white"/>
          <w:u w:val="single"/>
        </w:rPr>
      </w:pPr>
      <w:r>
        <w:rPr>
          <w:rFonts w:eastAsia="Calibri"/>
          <w:b/>
          <w:color w:val="000000"/>
          <w:highlight w:val="white"/>
          <w:u w:val="single"/>
        </w:rPr>
        <w:t xml:space="preserve">Департамент комплаенс-контроля</w:t>
      </w: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комплаенс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-контроля – подразделение, созданное для осуществления в Банке внутреннего контроля и содействия исполнительным органам управления Банка в обеспечении эффективного функционирования Банка в области управления регуляторным риском и противодействия коррупции.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комплаенс-контроля осуществляет свою деятельность в соответствии с Положением о Департаменте комплаенс-контроля (утверждено Председателем Правления Банка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12.07.2024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, ранее в 2023 году последовательно действовали Положения о Департаменте комплаенс-контроля, утвержденные Председателем Правления 08.09.2022, 29.03.2023, 25.07.2023, 11.09.2023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, 27.12.2023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). Департамент комплаенс-контроля осуществляет функции службы внутреннего контроля, функции по противодействию коррупции и иные функции по осуществлению внутреннего 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Задачи и функции Департамента комплаенс-контроля направлены на выявление, мониторинг и минимизацию регуляторного риска, в том числе обеспечение единых подходов к организации внутреннего контроля в Банке и участниках Банковской группы.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Основной задачей Департамента комплаенс-контроля является обеспечение эффективного управления регуляторным (комплаенс) риском.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выполнения указанной задачи Департамент комплаенс-контроля осуществляет следующие основные функции: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выявление и мониторинг регуляторного риска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учет событий, связанных с регуляторным риском, определение вероятности их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возникновения и количественная оценка возможных последствий;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анализ внедряемых в Банке новых банковских продуктов, услуг и пла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нируемых методов их реализации, а также банковских процессов, в том числе путем экспертизы проектов внутренних документов Банка, на предмет наличия регуляторного риска и включения в указанные документы необходимых механизмов управления регуляторным риском;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подготов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ка и направление предложений и рекомендаций исполнительным органам Банка, руководителям Банка, осуществляющим курирование работы подразделений Банка, подразделениям Банка по вопросам управления регуляторным риском и его минимизации, контроль их реализации;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координация и участие в разработке комплекса мер, направленных на снижение уровня регуляторного риска в Банке и Банковской группе;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эффективности управления регуляторным риском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участие в разработке и актуализации (проведение экспертизы) внутренних документов Банка с целью включения в них мер, обеспечивающих функционирование системы внутреннего контроля, включая механизмы управления регуляторным риском,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консультирование и информирование подразделений Банка по вопросам организации и функционирования системы внутреннего контроля, включая вопросы управления регуляторным риском;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выявление конфликтов интересов в деятельности Банка и работников Банка, участие в разработке внутренних документов, направленных на его минимизацию;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анализ поступающей от ССП Банка информации по жалобам (обращениям, заявлениям)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клиентов: на предмет показателей динамики жалоб и соблюдения Банком прав клиентов;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разработке внутренних документов, направленных на противодействие коммерческому подкупу и коррупции;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разработке внутренних документов и организации мероприятий, направленных на соблюдение правил корпоративного поведения, норм профессиональной этики;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во взаимодействии Банка с надзорными органами, саморегулируемыми организациями, ассоциациями и участниками финансовых рынков в рамках компетенции Подразделения;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изменений законодательства Российской Федерации, нормативных актов Банка России, стандартов саморегулируемых 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рганизаций (если такие стандарты или правила являются обязательными для Банка), своевременная разработка/актуализация внутренних документов Банка, регламентирующих вопросы, относящиеся к зоне ответственности Подразделения, в связи с указанными изменениями;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определение порядка организации и технологии проведения работы по обеспечению соответствия Банка требованиям законодательства о налогообложении иностранных счетов, включая разработку и сопровождение внутренних документов в данной области;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организация и проведение работы в целях выполнения Банком требований законодательства Российской Федерации в области персональных данных;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иные функции, связанные с управлением регуляторным риском, предусмотренные внутренними документами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 учетом пункта 4(1) Положения Банка России № 242-П функции Департамента комплаенс-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контроля в области управления регуляторным риском могут выполняться работниками иных структурных подразделений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Банка в соответствии с распределением обязанностей между указанными структурными подразделениями Банка по осуществлению внутреннего контроля, установленным Положением о Департаменте комплаенс-контроля, и полномочиями, определенными внутренними документами.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 состоянию на 01 апреля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2025 года штатная численность Департамента комплаенс-конт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роля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составила 73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штатных единицы.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Срок работы Департамента комплаенс-контроля: Департамент комплаенс-контроля осуществляет свою деятельность 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12.07.2018. В период с 16.04.2018 по 11.07.2018 в Банке осуществлял свою деятельность Департамент внутреннего контроля и финансового мониторинга. В период с 15.04.2000 по 15.04.2018 в Банке осуществляла свою деятельность Служба внутреннего контроля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ind w:firstLine="709"/>
        <w:jc w:val="both"/>
        <w:rPr>
          <w:rFonts w:eastAsia="Calibri"/>
          <w:color w:val="000000"/>
          <w:highlight w:val="white"/>
        </w:rPr>
      </w:pP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</w:p>
    <w:p>
      <w:pPr>
        <w:ind w:firstLine="709"/>
        <w:jc w:val="both"/>
        <w:rPr>
          <w:rFonts w:eastAsia="Calibri"/>
          <w:b/>
          <w:color w:val="000000"/>
          <w:highlight w:val="white"/>
          <w:u w:val="single"/>
        </w:rPr>
      </w:pPr>
      <w:r>
        <w:rPr>
          <w:rFonts w:eastAsia="Calibri"/>
          <w:b/>
          <w:color w:val="000000"/>
          <w:highlight w:val="white"/>
          <w:u w:val="single"/>
        </w:rPr>
        <w:t xml:space="preserve">Контролер</w:t>
      </w: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</w:p>
    <w:p>
      <w:pPr>
        <w:ind w:firstLine="709"/>
        <w:jc w:val="both"/>
        <w:rPr>
          <w:rFonts w:eastAsia="Calibri"/>
          <w:color w:val="000000"/>
          <w:highlight w:val="white"/>
        </w:rPr>
      </w:pPr>
      <w:r>
        <w:rPr>
          <w:rFonts w:eastAsia="Calibri"/>
          <w:color w:val="000000"/>
          <w:highlight w:val="white"/>
        </w:rPr>
        <w:t xml:space="preserve">Контролер входит в состав Департамента комплаенс-контроля, подотчетен Председателю Правления Банка и независим в своей деятельности от других подразделений Банка, в том числе осуществляющих и оформляющих сделки и операции на рынке ценных бумаг.</w:t>
      </w: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highlight w:val="white"/>
        </w:rPr>
      </w:pPr>
      <w:r>
        <w:rPr>
          <w:rFonts w:eastAsia="Calibri"/>
          <w:color w:val="000000"/>
          <w:highlight w:val="white"/>
        </w:rPr>
        <w:t xml:space="preserve">Задачи и функции Контролера направлены на контроль за соответствием деятельности Банка в качестве профессионального участника рынка ценных бумаг требованиям законодательства Российской Федерации о ценных бумагах и нормативных </w:t>
      </w:r>
      <w:r>
        <w:rPr>
          <w:rFonts w:eastAsia="Calibri"/>
          <w:color w:val="000000"/>
          <w:highlight w:val="white"/>
        </w:rPr>
        <w:t xml:space="preserve">актов Банка России в отношении деятельности Банка на финансовых рынках, законодательства Российской Федерации о защите прав и законных интересов инвесторов на рынке ценных бумаг, законодательства Российской Федерации о рекламе, внутренних документов Банка.</w:t>
      </w: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</w:p>
    <w:p>
      <w:pPr>
        <w:ind w:firstLine="708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rFonts w:eastAsia="Calibri"/>
          <w:b/>
          <w:color w:val="000000"/>
          <w:highlight w:val="white"/>
          <w:u w:val="single"/>
        </w:rPr>
      </w:pPr>
      <w:r>
        <w:rPr>
          <w:rFonts w:eastAsia="Calibri"/>
          <w:b/>
          <w:color w:val="000000"/>
          <w:highlight w:val="white"/>
          <w:u w:val="single"/>
        </w:rPr>
        <w:t xml:space="preserve">Департамент рисков</w:t>
      </w: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Банке функционирует Департамент рисков, который является самостоятельным структурным подразделением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рисков осуществляет функции, связанные с управлением рисками в целом по Банку, и иные функции, направленные на решение следующих задач: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Разработка и актуализация внутренних документов Банка, регламентирующих вопросы, относящиеся к зоне ответственности Департамента рисков.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изменен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ий законодательства Российской Федерации, нормативных актов Банка России, своевременная разработка/актуализация внутренних документов Банка, регламентирующих вопросы, относящиеся к зоне ответственности Департамента рисков, в связи с указанными изменениями.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проектах, относящихся к зоне ответственности.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Подготовка/участие в подготовке ответов на запросы Банка России, других государственных органов и организаций, регулирующих органов, внешних контролирующих органов/аудиторов, а также подразделений Банка в пределах компетенции Департамента рисков.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Формирование методологии управления рисками деятельности Банка. 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Оценка рисков, в том числе на консолидированном уровне, разработка мер по их минимизации.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Идентификация и выявление значимых и потенциальных рисков Банка, оценка и агрегирование рисков Банка, в т.ч. в рамках проведения экспертизы сделок, несущих риски.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Оценка потребности Банка в капитале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для покрытия рисков (за исключением расчета показателей достаточности капитала в соответствии с требованиями Банка России), включая оценку плановых (целевых) уровней и структуры рисков, исходя из показателей развития бизнеса, предусмотренных бизнес-планом.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Последующий контроль соблюдения лимитов рисков и контроль риск-аппетита (за исключением значений обязательных нормативов достаточности капитала Банка).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ind w:firstLine="709"/>
        <w:jc w:val="both"/>
        <w:rPr>
          <w:rFonts w:eastAsia="Calibri"/>
          <w:color w:val="000000"/>
          <w:highlight w:val="white"/>
        </w:rPr>
      </w:pP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наличии структурного подразделения (должностного лица), ответственного за организацию и осуществление внутреннего аудита, а также задачах и функциях указанного структурного подразделения (должностного лица):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hd w:val="clear" w:color="auto" w:fill="ffffff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b/>
          <w:color w:val="000000"/>
          <w:highlight w:val="white"/>
          <w:u w:val="single"/>
        </w:rPr>
      </w:pPr>
      <w:r>
        <w:rPr>
          <w:rFonts w:eastAsia="Calibri"/>
          <w:b/>
          <w:color w:val="000000"/>
          <w:highlight w:val="white"/>
          <w:u w:val="single"/>
        </w:rPr>
        <w:t xml:space="preserve">Служба внутреннего аудита</w:t>
      </w:r>
      <w:r>
        <w:rPr>
          <w:rFonts w:eastAsia="Calibri"/>
          <w:b/>
          <w:color w:val="000000"/>
          <w:highlight w:val="white"/>
          <w:u w:val="single"/>
        </w:rPr>
      </w:r>
      <w:r>
        <w:rPr>
          <w:rFonts w:eastAsia="Calibri"/>
          <w:b/>
          <w:color w:val="000000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Служба внутреннего аудита – подразделение, созданное для осуществления внутреннего контроля в Банке.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Служба внутреннего аудита осуществляет свою деятельность в соответствии с Положением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Службе внутреннего аудита (утверждено решением Наблюдательного совета АО «Россельхозбанк», Протокол № 14 от 30.09.2014, изменения утверждены решением Наблюдательного совета АО «Россельхозбанк», Протокол № 21 от 16.10.2015, Протокол № 18 от 25.09.2018). 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Положением о Службе внутреннего аудита к задачам Службы внутреннего аудита отнесены: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контроль за функционированием системы внутреннего контроля и системы управления рисками Банка и организаций Группы Банка;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мониторинг системы внутреннего контроля Банка. 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Исходя из поставленных целей и задач, за Службой внутреннего аудита закреплены следующие функции: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и оценка эффективности системы внутреннего контроля в целом, выполнения решений органов управления Банка (Общего собрания акционеров Банка, Наблюдательного совета Банка, Правления, Председателя Правления Банка);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эффективности методологии оценки банковских рисков и процед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ур управления банковскими рисками, установленных внутренними документами Банка (методиками, программами, правилами, порядками и процедурами совершения банковских операций и сделок, управления банковскими рисками), и полноты применения указанных документов;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надежности функционирования системы внутреннего контроля за использованием автоматизированных информационных систем, включая контроль целостности баз данных и их защиты от несанкционированного доступа и (или) использования, с учето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мер, принятых на случай нестандартных и чрезвычайных ситуаций в соответствии с планом действий, направленных на обеспечение непрерывности деятельности и (или) восстановление деятельности Банка в случае возникновения нестандартных и чрезвычайных ситуаций;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и тестирование достоверности, полноты и своевременности бухгалтерского учета и отчетности, а также надежности (включая достоверность, полноту и своевременность) сбора и представления информации и отчетности;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применяемых способов (методов) обеспечения сохранности имущества Банка;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оценка экономической целесообразности и эффективности совершаемых Банком операций и других сделок;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процессов и процедур внутреннего контроля;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деятельности подразделения Банка, осуществляющего функции службы внутреннего контроля, и подразделений по управлению рисками Банка;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иные функции, предусмотренные внутренними документами Банка.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 апреля 2025 года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штатная численность Службы внутреннего аудита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127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штатную единицу.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наличии и компетенции ревизионной комиссии (ревизора):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Для осуществления контроля за финансово-хозяйственной деятельностью Банка общим собранием акционеров Банка избирается Ревизионная комиссия Банка. Количественный со</w:t>
      </w:r>
      <w:r>
        <w:rPr>
          <w:bCs/>
          <w:highlight w:val="white"/>
        </w:rPr>
        <w:t xml:space="preserve">став Ревизионной комиссии определяется общим собранием акционеров Банка, но не менее трех человек. Члены Ревизионной комиссии Банка не могут быть одновременно членами Наблюдательного совета Банка, а также занимать иные должности в органах управления Банка.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Из своего состава Ревизионная комиссия избирает Председателя и секретаря Ревизионной комиссии.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outlineLvl w:val="0"/>
        <w:rPr>
          <w:bCs/>
          <w:highlight w:val="white"/>
          <w:u w:val="single"/>
        </w:rPr>
      </w:pP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</w:p>
    <w:p>
      <w:pPr>
        <w:ind w:firstLine="709"/>
        <w:jc w:val="both"/>
        <w:outlineLvl w:val="0"/>
        <w:rPr>
          <w:bCs/>
          <w:highlight w:val="white"/>
        </w:rPr>
      </w:pPr>
      <w:r>
        <w:rPr>
          <w:bCs/>
          <w:highlight w:val="white"/>
          <w:u w:val="single"/>
        </w:rPr>
        <w:t xml:space="preserve">Компетенция</w:t>
      </w:r>
      <w:r>
        <w:rPr>
          <w:bCs/>
          <w:highlight w:val="white"/>
        </w:rPr>
        <w:t xml:space="preserve">: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Ревизионная комиссия Банка осуществляет проверку (ревизию) финансово-хозяйственной деятельности Банка по итогам его деятельности за год, а также может осуществлят</w:t>
      </w:r>
      <w:r>
        <w:rPr>
          <w:bCs/>
          <w:highlight w:val="white"/>
        </w:rPr>
        <w:t xml:space="preserve">ь проверки (ревизии) во всякое время по своей инициативе, по решению общего собрания акционеров Банка, Наблюдательного совета Банка или по требованию акционера (акционеров) Банка, владеющего в совокупности не менее чем 10 процентами голосующих акций Банка.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Ревизионная комиссия Банка предоставляет общему собранию акционеров </w:t>
      </w:r>
      <w:r>
        <w:rPr>
          <w:bCs/>
          <w:highlight w:val="white"/>
        </w:rPr>
        <w:t xml:space="preserve">отчет о проведенной ревизии, а также заключение о соответствии представленных на утверждение годового отчета и годовой бухгалтерской (финансовой) отчетности Банка действительному состоянию дел в Банке с рекомендациями по устранению выявленных недостатков.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По результат</w:t>
      </w:r>
      <w:r>
        <w:rPr>
          <w:bCs/>
          <w:highlight w:val="white"/>
        </w:rPr>
        <w:t xml:space="preserve">ам проверки при возникновении угрозы интересам Банка или его вкладчикам, или выявлении злоупотреблений должностных лиц, Ревизионная комиссия вправе потребовать созыва внеочередного общего собрания акционеров Банка в соответствии с установленными правилами.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Сведения о </w:t>
      </w:r>
      <w:r>
        <w:rPr>
          <w:b/>
          <w:i/>
          <w:highlight w:val="white"/>
        </w:rPr>
        <w:t xml:space="preserve">политике эмитента в области управления рисками, внутреннего контроля и внутреннего аудита, а также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rFonts w:eastAsia="Calibri"/>
          <w:color w:val="000000"/>
          <w:highlight w:val="white"/>
        </w:rPr>
      </w:pP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  <w:r>
        <w:rPr>
          <w:rFonts w:eastAsia="Calibri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Внутренний контроль осуществляется субъектами системы внутреннего контроля в соответствии с полномочиями, определенными Уставом и внутренними документами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АО «Россельхозбанк» действует комплекс внутренних документов по системе внутреннего контроля, принятых в соответствии с Приложением 2 к Положению Банка России № 242-П. Деятельность Департамента комплаенс-контроля и Службы внутреннего аудита АО «Р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оссельхозбанк» регламентируется принятыми согласно Положению Банка России № 242-П соответственно Положением о Департаменте комплаенс-контроля и Положением о Службе внутреннего аудита Банка. Также Наблюдательным советом Банка утверждены следующие документы: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1. Политика в области управления регуляторным риском АО «Россельхозбанк» (Протокол заседания Наблюдательного совета АО «Россельхозбанк» от 15.09.2015 № 18, приказ АО «Россельхозбанк» от 29.09.2015 № 809-ОД);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2. Порядок предотвращения конфликтов интересов АО «Россельхозбанк» № 538-П (Протокол заседания Наблюдательного совета АО «Россельхозбанк» от 25.12.2015 № 27, приказ АО «Россельхозбанк» от 30.12.2015 № 1070-ОД).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Функциониров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ание системы управления рисками Банка осуществляется в соответствии с Указанием Банка России от 15.04.2015 № 3624-У «О требованиях к системе управления рисками и капиталом кредитной организации и банковской группы» на основании внутренних документов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Наблюдательным советом Банка утверждены основополагающие документы по управлению рисками Банка: Политика управления рисками АО «Россельхозбанк» и Стратегия управления рисками и капиталом АО «Россельхозбанк».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Оперативное управление 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исками ос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уществляется Правлением, Председателем Правления, Комитетом по управлению рисками и иными коллегиальными рабочими органами Банка, а также отдельными структурными подразделениями и должностными лицами Банка в соответствии с предоставленными им полномочиями.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Независимый анализ и оценку рисков осуществляют профильные подразделения Банка – Департамент рисков и службы оценки и контроля рисков в региональных филиалах и единых сервисных центрах Банка. В компетенцию Департамента рисков входит методологическое об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еспечение системы управления рисками, внедрение принципов и методов идентификации, оценки, мониторинга и контроля финансовых рисков (кредитный, рыночный, процентный, риск потери ликвидности), а также операционного риска, в том числе на региональном уровне.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Кроме того, функции по управлению отдельными видами рисков осуществляют прочие профильные подразделения Банка: Правовой департамент, Департамент стратегического развития,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маркетинга и коммуникаций, Департамент внутреннего казначейства, Департамент комплаенс-контроля.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предотвращения неправомерного использования конфиденциальной и инсайдерской информации в АО «Россельхозбанк» утверждены внутренние документы: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Условия совершения операций с финансовыми инструментами инсайдерами и связанными с ними лицами (Протокол заседания Наблюдательного совета                                            АО «Россельхозбанк» от 26.06.2019 № 15);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Порядок раскрытия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инсайдерской информации (отдельных видов инсайдерской информации) АО «Россельхозбанк», не включенной в утвержденный Банком России перечень инсайдерской информации № 651-П (Протокол заседания Наблюдательного совета АО «Россельхозбанк» от 30.09.2019 № 20)*;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Правила внутреннего контроля АО «Россельхозбанк» по предотвращению, выявлению и пресечению неправомерного использования инсайдерской информации и (или) манипулирования рынком № 665-П (Приказ АО «Россельхозбанк» от 17.10.2022 № 1995-ОД)*;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Пере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чень информации, составляющей коммерчес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кую тайну АО «Россельхозбанк» (Приказ АО «Россельхозбанк» от 17.06.2020 № 930-ОД) и Инструкция по соблюдению режима коммерческой тайны в АО «Россельхозбанк» № 12-И (Приказ                                        АО «Россельхозбанк» от 17.06.2020 № 930-ОД)*;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Порядок защиты конфиденциальных сведений, не отнесенных к коммерческой тайне, и персональных данных в АО «Россельхозбанк» № 203-П (Приказ                                                АО «Россельхозбанк» от 02.06.2020 № 811-ОД)*.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*Данные документы не размещены в свободном доступе в сети Интернет ввиду того, что они содержат информацию, являющуюся коммерческой тайной, и ее раскрытие может негативно повлиять на конкурентоспособность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Адрес страницы в сети интернет, на которой в свободном доступе размещен Перечень инсайдерской информации АО «Россельхозбанк», порядок и сроки ее раскрытия (Приказ АО «Россельхозбанк» от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14.05.2024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№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747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-ОД): </w:t>
      </w:r>
      <w:hyperlink r:id="rId23" w:tooltip="https://www.rshb.ru/insider/." w:history="1">
        <w:r>
          <w:rPr>
            <w:rFonts w:ascii="Times New Roman" w:hAnsi="Times New Roman" w:eastAsia="Calibri" w:cs="Times New Roman"/>
            <w:color w:val="000000"/>
            <w:sz w:val="24"/>
            <w:szCs w:val="24"/>
            <w:highlight w:val="white"/>
          </w:rPr>
          <w:t xml:space="preserve"> https://www.rshb.ru/about/insider.</w:t>
        </w:r>
      </w:hyperlink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Политика Банка в области управления рисками строится на следующих принципах: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Учет всей совокупности рисков при принятии решений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Принятие Банком управленческих решен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ий и решений о проведении операций, несущих риски, осуществляется после всестороннего анализа возникающих рисков (включая идентификацию и оценку рисков) с учетом оценки возможного влияния на совокупный объем рисков и определения методов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Проведение Банком опер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аций, несущих риски, осуществляется в рамках требований, установленных внутренними документами и решениями органов управления и рабочих коллегиальных органов Банка. Порядок проведения операций включает процедуры управления рисками соответствующих операций.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Независимость подразделений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Полномочия по принятию решений о совершении операций, несущих риски, и управлению 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исками разделяются между органами управления, коллегиальными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 рабочими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органами, подразделениями и работниками Банка. В функциональных моделях и организационной структуре Банка выделены подразделения/работники, ответственные за выполнение следующих функций: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осуществление операций, несущих риски;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бухгалтерский учет операций;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рисками, в т.ч. отдельными видами рисков;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независимая оценка, мониторинг и контроль рисков.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Подразделения/работники Банка, ответственные за управление, независимую оценку и контроль рисков, включены в процесс принятия как стратегических, так и операционных решений.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Принцип «трех линий защиты» 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Бизнес-подразделения Банка (первая линия защит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ы) при рассмотрении и совершении операций, несущих риски, следуют поставленным целям по соотношению доходности и риска, учитывают профили рисков клиентов/операций, участвуют в идентификации и оценке рисков, соблюдают требования внутренних документов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Подразделения Банка, ответственные за управление, независимую оценку и контроль рисков (вторая линия защиты), определяют регламентные процедуры, предусматри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вающие формирование принципов и стандартов управления рисками, использование инструментов для минимизации/снижения принимаемых рисков, проводят экспертизу с целью их идентификации, оценку, мониторинг уровня рисков и готовят отчетность о принимаемых рисках.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Служба внутреннего аудита/подразделение внутреннего аудита Банка (третья линия защиты) осуществляет независимую оценку соответствия системы управления рисками Банка установленным стандартам, оценку решений по принятию рисков.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Сочетание централизованного и децентрализованного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 Банка осуществляется с использованием централизованного и децентрализованного подходов.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Централизованный подход означает, что участники Группы самостоятельно не осуществляют управления рисками, управление рисками участников Группы осуществляет Банк.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Децентрализованный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подход означает, что участники Группы самостоятельно осуществляют управление рисками в рамках подходов и ограничений, установленных внутренними документами участников Группы и решениями органов управления и рабочих коллегиальных органов участников Группы.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 на уровне Группы в целом осуществляет Банк.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Обеспечение необходимыми ресурсами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Банк обеспечивают функционирование системы управления рисками достаточными ресур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сами для осуществления оценки и контроля рисков, в т.ч. квалифицированными специалистами и работниками, техническими средствами, достаточными для обеспечения необходимому количеству пользователей доступа к информационным системам и информационным ресурсам.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Инфраструктура уп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равления рисками (в т.ч. информационные и автоматизированные системы) учитывает направления деятельности Банка, сложность и виды совершаемых операций, территориальное расположение и обеспечивает своевременную идентификацию и эффективное управление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Совершенствование системы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Система управления рисками Банка совершенствуется на постоянной основе с учетом: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возможных изменений стратегии развития Банка;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нормативно-правовых актов Российской Федерации, регулирующих требования к системе управления рисками;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требований и рекомендаций Банка России по организации системы управления рисками и ВПОДК;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положений Базель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II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/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III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 и лучших банковских практик по организации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200"/>
        <w:numPr>
          <w:numId w:val="57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Банк не реже одного раза в год оценивают соответствие системы управления рисками текущим условиям их деятельности, в т.ч. проводят ее анализ на предмет охвата всех операций, несущих риски, и проводят актуализацию системы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540"/>
        <w:jc w:val="center"/>
        <w:outlineLvl w:val="2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40"/>
        <w:jc w:val="center"/>
        <w:outlineLvl w:val="2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3</w:t>
      </w:r>
      <w:r>
        <w:rPr>
          <w:b/>
          <w:highlight w:val="white"/>
        </w:rPr>
        <w:t xml:space="preserve">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Эмитент и </w:t>
      </w:r>
      <w:r>
        <w:rPr>
          <w:highlight w:val="white"/>
        </w:rPr>
        <w:t xml:space="preserve">подконтрольные эмитенту организации</w:t>
      </w:r>
      <w:r>
        <w:rPr>
          <w:bCs/>
          <w:highlight w:val="white"/>
        </w:rPr>
        <w:t xml:space="preserve"> не имеют перед работниками соглашений или обязательств, </w:t>
      </w:r>
      <w:r>
        <w:rPr>
          <w:highlight w:val="white"/>
        </w:rPr>
        <w:t xml:space="preserve">предусматривающих право участия работников Эмитента и работников подконтрольных Эмитенту организаций в его уставном капитале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Сведения о соглашениях или обязательствах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Отсутствуют.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spacing w:before="240"/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Сведения о предоставлении или возможности предоставления работникам эмитента и работникам подконтрольных эмитенту организаций опционов эмитента: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highlight w:val="white"/>
        </w:rPr>
      </w:pPr>
      <w:r>
        <w:rPr>
          <w:bCs/>
          <w:highlight w:val="white"/>
        </w:rPr>
        <w:t xml:space="preserve">Предоставление или возможность предоставления работникам </w:t>
      </w:r>
      <w:r>
        <w:rPr>
          <w:highlight w:val="white"/>
        </w:rPr>
        <w:t xml:space="preserve">эмитента и работникам подконтрольных эмитенту организаций </w:t>
      </w:r>
      <w:r>
        <w:rPr>
          <w:bCs/>
          <w:highlight w:val="white"/>
        </w:rPr>
        <w:t xml:space="preserve">опционов Эмитента не предусмотрена.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hd w:val="nil" w:color="auto"/>
        <w:outlineLvl w:val="1"/>
        <w:rPr>
          <w:b/>
          <w:bCs/>
          <w:highlight w:val="white"/>
        </w:rPr>
      </w:pPr>
      <w:r>
        <w:rPr>
          <w:b/>
          <w:bCs/>
          <w:iCs/>
          <w:highlight w:val="white"/>
        </w:rPr>
        <w:br w:type="page" w:clear="all"/>
      </w:r>
      <w:r>
        <w:rPr>
          <w:b/>
          <w:bCs/>
          <w:i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1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Раздел 4. Сведения об акционерах (участниках, членах) эмитента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4.1. Сведения об общем количестве акционеров (участников, членов)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Постановлению Правительства Российской Федерации от 04.07.2023 № 1102, информация в данном пункте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4.2.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Постановлению Правительства Российской Федерации от 04.07.2023 № 1102, информация в данном пункте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4.3.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bookmarkStart w:id="20" w:name="Par404"/>
      <w:r>
        <w:rPr>
          <w:highlight w:val="white"/>
        </w:rPr>
      </w:r>
      <w:bookmarkEnd w:id="20"/>
      <w:r>
        <w:rPr>
          <w:highlight w:val="white"/>
        </w:rPr>
        <w:t xml:space="preserve">Сведения не указываются. Биржевые облигации не конвертируются в акции.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spacing w:after="160" w:line="259" w:lineRule="auto"/>
        <w:rPr>
          <w:b/>
          <w:highlight w:val="white"/>
        </w:rPr>
      </w:pPr>
      <w:r>
        <w:rPr>
          <w:b/>
          <w:highlight w:val="white"/>
        </w:rPr>
        <w:br w:type="page" w:clear="all"/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1"/>
        <w:rPr>
          <w:b/>
          <w:highlight w:val="white"/>
        </w:rPr>
      </w:pPr>
      <w:r>
        <w:rPr>
          <w:b/>
          <w:highlight w:val="white"/>
        </w:rPr>
        <w:t xml:space="preserve">Раздел 5. Дополнительные</w:t>
      </w:r>
      <w:r>
        <w:rPr>
          <w:b/>
          <w:highlight w:val="white"/>
        </w:rPr>
        <w:t xml:space="preserve"> сведения об эмитенте и о размещенных им ценных бумагах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highlight w:val="white"/>
        </w:rPr>
      </w:r>
      <w:bookmarkStart w:id="21" w:name="Par423"/>
      <w:r>
        <w:rPr>
          <w:highlight w:val="white"/>
        </w:rPr>
      </w:r>
      <w:bookmarkEnd w:id="21"/>
      <w:r>
        <w:rPr>
          <w:b/>
          <w:highlight w:val="white"/>
        </w:rPr>
        <w:t xml:space="preserve">5</w:t>
      </w:r>
      <w:r>
        <w:rPr>
          <w:b/>
          <w:highlight w:val="white"/>
        </w:rPr>
        <w:t xml:space="preserve">.1. Подконтрольные эмитенту организации, имеющие для него существенное значение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220"/>
        <w:ind w:firstLine="709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p>
      <w:pPr>
        <w:pStyle w:val="1220"/>
        <w:ind w:firstLine="709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 xml:space="preserve">На основе анализа консолидированной финансовой отчетности Группы за 2024</w:t>
      </w:r>
      <w:r>
        <w:rPr>
          <w:b w:val="0"/>
          <w:sz w:val="24"/>
          <w:szCs w:val="24"/>
          <w:highlight w:val="white"/>
        </w:rPr>
        <w:t xml:space="preserve"> год, составленной в соответствии с Международными стандартами финансовой отчетности и промежуточной сокращенной консолидированной финансовой отчетности Группы </w:t>
      </w:r>
      <w:r>
        <w:rPr>
          <w:b w:val="0"/>
          <w:sz w:val="24"/>
          <w:szCs w:val="24"/>
          <w:highlight w:val="white"/>
        </w:rPr>
        <w:br/>
        <w:t xml:space="preserve">за 3</w:t>
      </w:r>
      <w:r>
        <w:rPr>
          <w:b w:val="0"/>
          <w:sz w:val="24"/>
          <w:szCs w:val="24"/>
          <w:highlight w:val="white"/>
        </w:rPr>
        <w:t xml:space="preserve"> месяца</w:t>
      </w:r>
      <w:r>
        <w:rPr>
          <w:b w:val="0"/>
          <w:sz w:val="24"/>
          <w:szCs w:val="24"/>
          <w:highlight w:val="white"/>
        </w:rPr>
        <w:t xml:space="preserve">, окончившиеся 31</w:t>
      </w:r>
      <w:r>
        <w:rPr>
          <w:b w:val="0"/>
          <w:sz w:val="24"/>
          <w:szCs w:val="24"/>
          <w:highlight w:val="white"/>
        </w:rPr>
        <w:t xml:space="preserve"> марта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2025</w:t>
      </w:r>
      <w:r>
        <w:rPr>
          <w:b w:val="0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отчетности, Банк не имеет подконтрольн</w:t>
      </w:r>
      <w:r>
        <w:rPr>
          <w:b w:val="0"/>
          <w:sz w:val="24"/>
          <w:szCs w:val="24"/>
          <w:highlight w:val="white"/>
        </w:rPr>
        <w:t xml:space="preserve">ых организаций, имеющих для него существенное значение (на каждую из которых по данным консолидированной финансовой отчетности эмитента приходится не менее 5 процентов консолидированной стоимости активов или не менее 5 процентов консолидированного дохода).</w:t>
      </w: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5.2. Сведения о рейтингах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Рейтинги, присвоенные рейтинговым агентством ООО </w:t>
      </w:r>
      <w:r>
        <w:rPr>
          <w:b/>
          <w:bCs/>
          <w:i/>
          <w:iCs/>
          <w:highlight w:val="white"/>
        </w:rPr>
        <w:t xml:space="preserve">«НКР»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9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4"/>
      </w:tblGrid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Объект рейтинга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 «Россельхозбанк»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рейтинга, который присвоен объекту рейтинговой оценки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История изменения значений рейтинга за три последних завершенных отчетных года или за каждый</w:t>
      </w:r>
      <w:r>
        <w:rPr>
          <w:b/>
          <w:bCs/>
          <w:i/>
          <w:iCs/>
          <w:highlight w:val="white"/>
        </w:rPr>
        <w:t xml:space="preserve"> завершенный отчетный год (если эмитент осуществляет свою деятельность менее трех лет), а также за период с даты начала текущего года до даты утверждения проспекта ценных бумаг, с указанием значения рейтинга и даты присвоения (изменения) значения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3"/>
        <w:gridCol w:w="1519"/>
        <w:gridCol w:w="2443"/>
      </w:tblGrid>
      <w:tr>
        <w:trPr/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Значения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присвоения / изменения / подтверждения значений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</w:tr>
      <w:tr>
        <w:trPr>
          <w:trHeight w:val="229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AA+.ru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bbb+.ru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  <w:t xml:space="preserve">08</w:t>
            </w:r>
            <w:r>
              <w:rPr>
                <w:sz w:val="22"/>
                <w:szCs w:val="22"/>
                <w:highlight w:val="white"/>
              </w:rPr>
              <w:t xml:space="preserve">.2023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229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AA+.ru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bbb+.ru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13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  <w:t xml:space="preserve">08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rPr>
          <w:rStyle w:val="1219"/>
          <w:highlight w:val="white"/>
        </w:rPr>
      </w:pPr>
      <w:r>
        <w:rPr>
          <w:highlight w:val="white"/>
        </w:rPr>
      </w:r>
      <w:hyperlink r:id="rId24" w:tooltip="https://www.ratings.ru/methodologies/scales/" w:history="1">
        <w:r>
          <w:rPr>
            <w:rStyle w:val="1219"/>
            <w:highlight w:val="white"/>
          </w:rPr>
          <w:t xml:space="preserve">https://www.ratings.ru/methodologies/scales/</w:t>
        </w:r>
      </w:hyperlink>
      <w:r>
        <w:rPr>
          <w:rStyle w:val="1219"/>
          <w:highlight w:val="white"/>
        </w:rPr>
      </w:r>
      <w:r>
        <w:rPr>
          <w:rStyle w:val="1219"/>
          <w:highlight w:val="white"/>
        </w:rPr>
      </w:r>
    </w:p>
    <w:p>
      <w:pPr>
        <w:ind w:firstLine="709"/>
        <w:rPr>
          <w:rStyle w:val="1219"/>
          <w:highlight w:val="white"/>
        </w:rPr>
      </w:pPr>
      <w:r>
        <w:rPr>
          <w:highlight w:val="white"/>
        </w:rPr>
      </w:r>
      <w:hyperlink r:id="rId25" w:tooltip="https://www.ratings.ru/upload/iblock/4e1/fha5x6cj67xb45ieiqdjdoqfcbvqxaxf/Terms_and_definitions_200824.pdf" w:history="1">
        <w:r>
          <w:rPr>
            <w:rStyle w:val="1219"/>
            <w:highlight w:val="white"/>
          </w:rPr>
          <w:t xml:space="preserve">https://www.ratings.ru/upload/iblock/4e1/fha5x6cj67xb45ieiqdjdoqfcbvqxaxf/Terms_and_definitions_200824.pdf</w:t>
        </w:r>
      </w:hyperlink>
      <w:r>
        <w:rPr>
          <w:rStyle w:val="1219"/>
          <w:highlight w:val="white"/>
        </w:rPr>
      </w:r>
      <w:r>
        <w:rPr>
          <w:rStyle w:val="1219"/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26" w:tooltip="https://www.ratings.ru/methodologies/current/" w:history="1">
        <w:r>
          <w:rPr>
            <w:rStyle w:val="1219"/>
            <w:highlight w:val="white"/>
          </w:rPr>
          <w:t xml:space="preserve">https://www.ratings.ru/methodologies/current/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27" w:tooltip="https://www.ratings.ru/upload/iblock/5b4/5bdokoq51l0ko7f9ewjcrawldcxnebz2/Banks_methodology_210224.pdf" w:history="1">
        <w:r>
          <w:rPr>
            <w:rStyle w:val="1219"/>
            <w:highlight w:val="white"/>
          </w:rPr>
          <w:t xml:space="preserve">https://www.ratings.ru/upload/iblock/5b4/5bdokoq51l0ko7f9ewjcrawldcxnebz2/Banks_methodology_210224.pdf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28" w:tooltip="https://www.ratings.ru/upload/iblock/d78/bopyk04a7g4lzso0614j305qv7g1313x/External_Influence_290824.pdf" w:history="1">
        <w:r>
          <w:rPr>
            <w:rStyle w:val="1219"/>
            <w:highlight w:val="white"/>
          </w:rPr>
          <w:t xml:space="preserve">https://www.ratings.ru/upload/iblock/d78/bopyk04a7g4lzso0614j305qv7g1313x/External_Influence_290824.pdf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Полное фирменное наименование (для коммерческой организации) или наименование (дл</w:t>
      </w:r>
      <w:r>
        <w:rPr>
          <w:b/>
          <w:bCs/>
          <w:i/>
          <w:iCs/>
          <w:highlight w:val="white"/>
        </w:rPr>
        <w:t xml:space="preserve">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Общество с ограниченной ответственностью «Национальные Кредитные Рейтинги»</w:t>
      </w:r>
      <w:r>
        <w:rPr>
          <w:highlight w:val="white"/>
        </w:rPr>
        <w:t xml:space="preserve">, </w:t>
      </w:r>
      <w:r>
        <w:rPr>
          <w:highlight w:val="white"/>
        </w:rPr>
        <w:t xml:space="preserve">ООО «НКР»</w:t>
      </w:r>
      <w:r>
        <w:rPr>
          <w:highlight w:val="white"/>
        </w:rPr>
        <w:t xml:space="preserve">; Россия, г. Москва, </w:t>
      </w:r>
      <w:r>
        <w:rPr>
          <w:highlight w:val="white"/>
        </w:rPr>
        <w:t xml:space="preserve">115054, ул. Пятницкая, д. 71/5, стр. 4</w:t>
      </w:r>
      <w:r>
        <w:rPr>
          <w:highlight w:val="white"/>
        </w:rPr>
        <w:t xml:space="preserve">; ИНН:</w:t>
      </w:r>
      <w:r>
        <w:rPr>
          <w:highlight w:val="white"/>
        </w:rPr>
        <w:t xml:space="preserve"> 7704475853</w:t>
      </w:r>
      <w:r>
        <w:rPr>
          <w:highlight w:val="white"/>
        </w:rPr>
        <w:t xml:space="preserve">; ОГРН:</w:t>
      </w:r>
      <w:r>
        <w:rPr>
          <w:highlight w:val="white"/>
        </w:rPr>
        <w:t xml:space="preserve"> 1197746086020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rPr>
          <w:highlight w:val="white"/>
        </w:rPr>
      </w:pPr>
      <w:r>
        <w:rPr>
          <w:b/>
          <w:bCs/>
          <w:i/>
          <w:iCs/>
          <w:highlight w:val="white"/>
        </w:rPr>
        <w:t xml:space="preserve">Иные сведения о рейтинге, указываемые эмитентом по своему усмотрению: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17 августа 2023 года рейтинговое агентство «Национальные Кредитные Рейтинги» (НКР) присвоило Россельхозбанку кредитный рейтинг на уровне AA+.ru со стабильным прогнозом. Кредитный рейтинг Россельхозбанка обусловлен очень сильными пози</w:t>
      </w:r>
      <w:r>
        <w:rPr>
          <w:highlight w:val="white"/>
        </w:rPr>
        <w:t xml:space="preserve">циями в важнейшем для банка сегменте – кредитовании предприятий АПК. Ликвидные активы и дополнительная ликвидность со значительным запасом покрывают средства крупнейших кредиторов. Система управления соответствует целям развития и специфике бизнес-модели б</w:t>
      </w:r>
      <w:r>
        <w:rPr>
          <w:highlight w:val="white"/>
        </w:rPr>
        <w:t xml:space="preserve">анка. НКР отмечает устойчивое улучшение финансового результата банка на фоне растущих процентных доходов и снижения стоимости фондирования, глубокую экспертизу Россельхозбанка в сфере кредитования предприятий АПК, а также снижение доли проблемных кредитов.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13 августа 2024 года рейтинговое агентство НКР подтвердило кредитный рейтинг Россельхозбанка на уровне AA+.ru со стабильным прогнозом. Подтверждение кредитного рейтинга отражает высокую системную значимость Банка в ка</w:t>
      </w:r>
      <w:r>
        <w:rPr>
          <w:highlight w:val="white"/>
        </w:rPr>
        <w:t xml:space="preserve">честве института поддержки АПК и способность бенефициара предоставить значительную финансовую поддержку. Также агентство позитивно оценивает улучшение рентабельности Россельхозбанка. При этом Банк продолжает активную работу с проблемной задолженностью, объ</w:t>
      </w:r>
      <w:r>
        <w:rPr>
          <w:highlight w:val="white"/>
        </w:rPr>
        <w:t xml:space="preserve">е</w:t>
      </w:r>
      <w:r>
        <w:rPr>
          <w:highlight w:val="white"/>
        </w:rPr>
        <w:t xml:space="preserve">м которой устойчиво снижается.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Рейтинги, присвоенные рейтинговым агентством АКРА (АО)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9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4"/>
      </w:tblGrid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Объект рейтинга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 «Россельхозбанк»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рейтинга, который присвоен объекту рейтинговой оценки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История изменения значений рейтинга за три последних завершенных отчетных года или за каждый</w:t>
      </w:r>
      <w:r>
        <w:rPr>
          <w:b/>
          <w:bCs/>
          <w:i/>
          <w:iCs/>
          <w:highlight w:val="white"/>
        </w:rPr>
        <w:t xml:space="preserve"> завершенный отчетный год (если эмитент осуществляет свою деятельность менее трех лет), а также за период с даты начала текущего года до даты утверждения проспекта ценных бумаг, с указанием значения рейтинга и даты присвоения (изменения) значения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3"/>
        <w:gridCol w:w="1519"/>
        <w:gridCol w:w="2443"/>
      </w:tblGrid>
      <w:tr>
        <w:trPr/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Значения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присвоения / изменения / подтверждения значений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</w:tr>
      <w:tr>
        <w:trPr>
          <w:trHeight w:val="488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AA(RU)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229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AA(RU)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  <w:t xml:space="preserve">.03.2023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571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AA(RU)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  <w:t xml:space="preserve">01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315"/>
        </w:trPr>
        <w:tblPrEx/>
        <w:tc>
          <w:tcPr>
            <w:tcW w:w="2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оценка собственной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AA(RU)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bbb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  <w:t xml:space="preserve">01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29" w:tooltip="https://www.acra-ratings.ru/about-ratings/definitions-of-ratings/" w:history="1">
        <w:r>
          <w:rPr>
            <w:rStyle w:val="1219"/>
            <w:highlight w:val="white"/>
          </w:rPr>
          <w:t xml:space="preserve">https://www.acra-ratings.ru/about-ratings/definitions-of-ratings/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0" w:tooltip="https://www.acra-ratings.ru/about-ratings/scales/" w:history="1">
        <w:r>
          <w:rPr>
            <w:rStyle w:val="1219"/>
            <w:highlight w:val="white"/>
          </w:rPr>
          <w:t xml:space="preserve">https://www.acra-ratings.ru/about-ratings/scales/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1" w:tooltip="https://www.acra-ratings.ru/criteria/80/" w:history="1">
        <w:r>
          <w:rPr>
            <w:rStyle w:val="1219"/>
            <w:highlight w:val="white"/>
          </w:rPr>
          <w:t xml:space="preserve">https://www.acra-ratings.ru/criteria/80/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2" w:tooltip="https://www.acra-ratings.ru/criteria/382/" w:history="1">
        <w:r>
          <w:rPr>
            <w:rStyle w:val="1219"/>
            <w:highlight w:val="white"/>
          </w:rPr>
          <w:t xml:space="preserve">https://www.acra-ratings.ru/criteria/382/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3" w:tooltip="https://www.acra-ratings.ru/criteria/2449/" w:history="1">
        <w:r>
          <w:rPr>
            <w:rStyle w:val="1219"/>
            <w:highlight w:val="white"/>
          </w:rPr>
          <w:t xml:space="preserve">https://www.acra-ratings.ru/criteria/2449/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Полное фирменное наименование (для коммерческой организации) или наименование (дл</w:t>
      </w:r>
      <w:r>
        <w:rPr>
          <w:b/>
          <w:bCs/>
          <w:i/>
          <w:iCs/>
          <w:highlight w:val="white"/>
        </w:rPr>
        <w:t xml:space="preserve">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Аналитическое Кредитное Рейтинговое Агентство (Акционерное общество), АКРА (АО); Россия, г. Москва, </w:t>
      </w:r>
      <w:r>
        <w:rPr>
          <w:highlight w:val="white"/>
        </w:rPr>
        <w:t xml:space="preserve">125375, город Москва, Большой Гнездниковский пер, д. 1 стр. 2</w:t>
      </w:r>
      <w:r>
        <w:rPr>
          <w:highlight w:val="white"/>
        </w:rPr>
        <w:t xml:space="preserve">; ИНН: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9705055855; ОГРН: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5157746145167.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rPr>
          <w:highlight w:val="white"/>
        </w:rPr>
      </w:pPr>
      <w:r>
        <w:rPr>
          <w:b/>
          <w:bCs/>
          <w:i/>
          <w:iCs/>
          <w:highlight w:val="white"/>
        </w:rPr>
        <w:t xml:space="preserve">Иные сведения о рейтинге, указываемые эмитентом по своему усмотрению: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25 марта 2022 года агентство АКРА (АО) подтвердило кредитный рейтинг АО </w:t>
      </w:r>
      <w:r>
        <w:rPr>
          <w:highlight w:val="white"/>
        </w:rPr>
        <w:t xml:space="preserve">«Россельхозбанк» на уровне AA(RU), прогноз «Стабильный», а также приравненный к рейтингу Банка (AA(RU)) рейтинг облигаций старшего необеспеченного долга и рейтинг субординированных бессрочных облигаций Банка B(RU). Подтверждение кредитных рейтингов Россель</w:t>
      </w:r>
      <w:r>
        <w:rPr>
          <w:highlight w:val="white"/>
        </w:rPr>
        <w:t xml:space="preserve">хозбанка и его облигаций обусловлено высокой системной значимостью Банка для российской экономики и национальной банковской системы, поддержкой со стороны государства, а также лидирующим положением в кредитовании отечественного агропромышленного комплекса.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16 марта 2023 года АКРА подтвердило кредитный рейтинг АО «Россельхозбанк» (далее – Бан</w:t>
      </w:r>
      <w:r>
        <w:rPr>
          <w:highlight w:val="white"/>
        </w:rPr>
        <w:t xml:space="preserve">к) на уровне AA(RU), прогноз «Стабильный», а также приравненный к рейтингу Банка (AA(RU)) рейтинг облигаций старшего необеспеченного долга и рейтинг субординированных бессрочных облигаций Банка B(RU). Подтверждение кредитного рейтинга Россельхозбанка и его</w:t>
      </w:r>
      <w:r>
        <w:rPr>
          <w:highlight w:val="white"/>
        </w:rPr>
        <w:t xml:space="preserve"> облигаций обусловлено высокой системной значимостью Банка для российской экономики и национальной банковской системы, лидирующей ролью Банка в части кредитования сельскохозяйственной отрасли Российской Федерации, а также поддержкой со стороны государства.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30 января 2024 года АКРА подтвердило кредитный рейтинг АО «Россельхозбанк» (далее – РСХБ, Банк) на уровне AA(RU), прогноз «стабильный», а также приравненный к рейтингу Банка кредитный рейтинг облигаций старшего необеспеченного долга</w:t>
      </w:r>
      <w:r>
        <w:rPr>
          <w:highlight w:val="white"/>
        </w:rPr>
        <w:t xml:space="preserve">. Одновременно АКРА повысило оценку собственной кредитоспособности (ОСК) РСХБ на одну ступень в силу улучшения оценки агентством риск-профиля Банка. Повышение ОСК обусловило повышение рейтинга субординированных бессрочных облигаций РСХБ до уровня «B+(RU)».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</w:rPr>
        <w:t xml:space="preserve">22 января 2025 года АКРА подтвердило кредитный рейтинг АО «Россельхозбанк» на уровне AA(RU), прогноз «стабильный», облигаций старшего необеспеченного долга - AA(RU), субординированных бессрочных облигаций – B+(RU). Аналитики отмечают высокую системную знач</w:t>
      </w:r>
      <w:r>
        <w:rPr>
          <w:highlight w:val="white"/>
        </w:rPr>
        <w:t xml:space="preserve">имость Банка, лидерские позиции в сельскохозяйственной отрасли, сильную франшизу Банка, улучшение качества активов и сбалансированную структуру фондирования.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iCs/>
          <w:sz w:val="24"/>
          <w:szCs w:val="24"/>
          <w:highlight w:val="white"/>
        </w:rPr>
      </w:pPr>
      <w:r>
        <w:rPr>
          <w:b/>
          <w:bCs/>
          <w:i/>
          <w:iCs/>
          <w:sz w:val="24"/>
          <w:szCs w:val="24"/>
          <w:highlight w:val="white"/>
        </w:rPr>
        <w:t xml:space="preserve">Рейтинги, присвоенные рейтинговым агентством </w:t>
      </w:r>
      <w:r>
        <w:rPr>
          <w:b/>
          <w:bCs/>
          <w:i/>
          <w:iCs/>
          <w:sz w:val="24"/>
          <w:szCs w:val="24"/>
          <w:highlight w:val="white"/>
        </w:rPr>
        <w:t xml:space="preserve">China Lianhe Credit Rating 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b/>
          <w:bCs/>
          <w:i/>
          <w:sz w:val="24"/>
          <w:szCs w:val="24"/>
          <w:highlight w:val="white"/>
        </w:rPr>
      </w:r>
      <w:r>
        <w:rPr>
          <w:b/>
          <w:bCs/>
          <w:i/>
          <w:sz w:val="24"/>
          <w:szCs w:val="24"/>
          <w:highlight w:val="white"/>
        </w:rPr>
      </w:r>
    </w:p>
    <w:tbl>
      <w:tblPr>
        <w:tblW w:w="9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4"/>
      </w:tblGrid>
      <w:tr>
        <w:trPr/>
        <w:tblPrEx/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Объект рейтинга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 «Россельхозбанк»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blPrEx/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рейтинга, который присвоен объекту рейтинговой оценки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кредитный рейтинг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bCs/>
          <w:i/>
          <w:sz w:val="24"/>
          <w:szCs w:val="24"/>
          <w:highlight w:val="white"/>
        </w:rPr>
      </w:pPr>
      <w:r>
        <w:rPr>
          <w:b/>
          <w:bCs/>
          <w:i/>
          <w:iCs/>
          <w:sz w:val="24"/>
          <w:szCs w:val="24"/>
          <w:highlight w:val="white"/>
        </w:rPr>
      </w:r>
      <w:r>
        <w:rPr>
          <w:b/>
          <w:bCs/>
          <w:i/>
          <w:sz w:val="24"/>
          <w:szCs w:val="24"/>
          <w:highlight w:val="white"/>
        </w:rPr>
      </w:r>
      <w:r>
        <w:rPr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История изменения значений рейтинга за три последних завершенных отчетных года или за каждый</w:t>
      </w:r>
      <w:r>
        <w:rPr>
          <w:b/>
          <w:bCs/>
          <w:i/>
          <w:iCs/>
          <w:highlight w:val="white"/>
        </w:rPr>
        <w:t xml:space="preserve"> завершенный отчетный год (если эмитент осуществляет свою деятельность менее трех лет), а также за период с даты начала текущего года до даты утверждения проспекта ценных бумаг, с указанием значения рейтинга и даты присвоения (изменения) значения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25"/>
        <w:gridCol w:w="2445"/>
      </w:tblGrid>
      <w:tr>
        <w:trPr/>
        <w:tblPrEx/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Значения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присвоения / изменения / подтверждения значений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</w:tr>
      <w:tr>
        <w:trPr>
          <w:trHeight w:val="324"/>
        </w:trPr>
        <w:tblPrEx/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АА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21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  <w:t xml:space="preserve">0</w:t>
            </w: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  <w:t xml:space="preserve">.202</w:t>
            </w: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235"/>
        </w:trPr>
        <w:tblPrEx/>
        <w:tc>
          <w:tcPr>
            <w:tcW w:w="3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- долгосрочный кредитный рейтинг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ААА</w:t>
            </w: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23.06.2025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  <w14:ligatures w14:val="none"/>
        </w:rPr>
      </w:r>
      <w:r>
        <w:rPr>
          <w:highlight w:val="white"/>
          <w14:ligatures w14:val="none"/>
        </w:rPr>
        <w:t xml:space="preserve">https://lhratingsglobal.com/rating-methodology-3/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  <w:hyperlink w:history="1">
        <w:r>
          <w:rPr>
            <w:rStyle w:val="1219"/>
            <w:highlight w:val="white"/>
            <w14:ligatures w14:val="none"/>
          </w:rPr>
          <w:t xml:space="preserve">https://lhratingsglobal.com/wp-content/uploads/bsk-pdf-manager/2023/03/Bank-Criteria-20230320.pdf</w:t>
        </w:r>
        <w:r>
          <w:rPr>
            <w:rStyle w:val="1219"/>
            <w:highlight w:val="white"/>
            <w14:ligatures w14:val="none"/>
          </w:rPr>
        </w:r>
        <w:r>
          <w:rPr>
            <w:rStyle w:val="1219"/>
            <w:highlight w:val="white"/>
            <w14:ligatures w14:val="none"/>
          </w:rPr>
        </w:r>
      </w:hyperlink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Полное фирменное наименование (для коммерческой организации) или наименование (дл</w:t>
      </w:r>
      <w:r>
        <w:rPr>
          <w:b/>
          <w:bCs/>
          <w:i/>
          <w:iCs/>
          <w:highlight w:val="white"/>
        </w:rPr>
        <w:t xml:space="preserve">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  <w14:ligatures w14:val="none"/>
        </w:rPr>
      </w:pPr>
      <w:r>
        <w:rPr>
          <w:highlight w:val="white"/>
          <w:lang w:val="en-US"/>
        </w:rPr>
        <w:t xml:space="preserve">China </w:t>
      </w:r>
      <w:r>
        <w:rPr>
          <w:highlight w:val="white"/>
          <w:lang w:val="en-US"/>
        </w:rPr>
        <w:t xml:space="preserve">Lianhe</w:t>
      </w:r>
      <w:r>
        <w:rPr>
          <w:highlight w:val="white"/>
          <w:lang w:val="en-US"/>
        </w:rPr>
        <w:t xml:space="preserve"> Credit Rating Co., Ltd.</w:t>
      </w:r>
      <w:r>
        <w:rPr>
          <w:highlight w:val="white"/>
          <w:lang w:val="en-US"/>
        </w:rPr>
        <w:t xml:space="preserve">, адрес</w:t>
      </w:r>
      <w:r>
        <w:rPr>
          <w:highlight w:val="white"/>
          <w:lang w:val="en-US"/>
        </w:rPr>
        <w:t xml:space="preserve">:</w:t>
      </w:r>
      <w:r>
        <w:rPr>
          <w:highlight w:val="white"/>
          <w:lang w:val="en-US"/>
        </w:rPr>
        <w:t xml:space="preserve"> </w:t>
      </w:r>
      <w:r>
        <w:rPr>
          <w:highlight w:val="white"/>
          <w:lang w:val="en-US"/>
        </w:rPr>
        <w:t xml:space="preserve">17/F, PICC Building, 2</w:t>
      </w:r>
      <w:r>
        <w:rPr>
          <w:highlight w:val="white"/>
          <w:lang w:val="en-US"/>
        </w:rPr>
        <w:t xml:space="preserve"> </w:t>
      </w:r>
      <w:r>
        <w:rPr>
          <w:highlight w:val="white"/>
          <w:lang w:val="en-US"/>
        </w:rPr>
        <w:t xml:space="preserve">Jianguomenwai</w:t>
      </w:r>
      <w:r>
        <w:rPr>
          <w:highlight w:val="white"/>
          <w:lang w:val="en-US"/>
        </w:rPr>
        <w:t xml:space="preserve"> Avenue, </w:t>
      </w:r>
      <w:r>
        <w:rPr>
          <w:highlight w:val="white"/>
          <w:lang w:val="en-US"/>
        </w:rPr>
        <w:t xml:space="preserve">Chaoyang</w:t>
      </w:r>
      <w:r>
        <w:rPr>
          <w:highlight w:val="white"/>
          <w:lang w:val="en-US"/>
        </w:rPr>
        <w:t xml:space="preserve"> District, Beijing,</w:t>
      </w:r>
      <w:r>
        <w:rPr>
          <w:highlight w:val="white"/>
          <w:lang w:val="en-US"/>
        </w:rPr>
        <w:t xml:space="preserve">PRC</w:t>
      </w:r>
      <w:r>
        <w:rPr>
          <w:highlight w:val="white"/>
          <w:lang w:val="en-US"/>
        </w:rPr>
        <w:t xml:space="preserve"> </w:t>
      </w:r>
      <w:r>
        <w:rPr>
          <w:highlight w:val="white"/>
        </w:rPr>
        <w:t xml:space="preserve">ИНН</w:t>
      </w:r>
      <w:r>
        <w:rPr>
          <w:highlight w:val="white"/>
          <w:lang w:val="en-US"/>
        </w:rPr>
        <w:t xml:space="preserve"> / INN  </w:t>
      </w:r>
      <w:r>
        <w:rPr>
          <w:highlight w:val="white"/>
          <w:lang w:val="en-US"/>
        </w:rPr>
        <w:t xml:space="preserve">91110000722610855P</w:t>
      </w:r>
      <w:r>
        <w:rPr>
          <w:highlight w:val="white"/>
          <w:lang w:val="en-US"/>
        </w:rPr>
        <w:t xml:space="preserve">, телефон</w:t>
      </w:r>
      <w:r>
        <w:rPr>
          <w:highlight w:val="white"/>
          <w:lang w:val="en-US"/>
        </w:rPr>
        <w:t xml:space="preserve">:                +8610-85679696</w:t>
      </w:r>
      <w:r>
        <w:rPr>
          <w:highlight w:val="white"/>
          <w:lang w:val="en-US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firstLine="709"/>
        <w:jc w:val="both"/>
        <w:rPr>
          <w:b/>
          <w:bCs/>
          <w:i/>
          <w:highlight w:val="white"/>
          <w14:ligatures w14:val="non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  <w14:ligatures w14:val="none"/>
        </w:rPr>
      </w:r>
      <w:r>
        <w:rPr>
          <w:b/>
          <w:bCs/>
          <w:i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firstLine="709"/>
        <w:jc w:val="both"/>
        <w:rPr>
          <w:b/>
          <w:bCs/>
          <w:i/>
          <w:highlight w:val="white"/>
          <w14:ligatures w14:val="non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  <w:t xml:space="preserve">Иные сведения о рейтинге, указываемые эмитентом по своему усмотрению: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highlight w:val="white"/>
          <w14:ligatures w14:val="none"/>
        </w:rPr>
      </w:r>
      <w:r>
        <w:rPr>
          <w:b/>
          <w:bCs/>
          <w:i/>
          <w:highlight w:val="white"/>
          <w14:ligatures w14:val="non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</w:rPr>
        <w:t xml:space="preserve">21 марта 20</w:t>
      </w:r>
      <w:r>
        <w:rPr>
          <w:highlight w:val="white"/>
        </w:rPr>
        <w:t xml:space="preserve">25 года China Lianhe Credit Rating (далее - Lianhe Ratings) присвоило            АО «Россельхозбанк» (далее – РСХБ или Банк) долгосрочный кредитный рейтинг по китайской национальной шкале на уровне «AA» со стабильным прогнозом. Присвоенный рейтинг отражает</w:t>
      </w:r>
      <w:r>
        <w:rPr>
          <w:highlight w:val="white"/>
        </w:rPr>
        <w:t xml:space="preserve"> сильные рыночные позиции, высокую конкурентноспособность на российском рынке, хорошо развитую корпоративную структуру, систему внутреннего контроля, а также высокую эффективность управления рисками. По мнению агентства, удерживать сильные рыночные позиции</w:t>
      </w:r>
      <w:r>
        <w:rPr>
          <w:highlight w:val="white"/>
        </w:rPr>
        <w:t xml:space="preserve"> и конкурентоспособность РСХБ помогает широкий спектр предлагаемых услуг и развитая сеть отделений на российском рынке, лояльная клиентская база и узнаваемость бренда, а также его лидерские позиции в области сельскохозяйственного финансирования.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  <w14:ligatures w14:val="none"/>
        </w:rPr>
      </w:pP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2</w:t>
      </w:r>
      <w:r>
        <w:rPr>
          <w:highlight w:val="white"/>
        </w:rPr>
        <w:t xml:space="preserve">3 июня 2025 года China Lianhe Credit Rating</w:t>
      </w:r>
      <w:r>
        <w:rPr>
          <w:highlight w:val="white"/>
        </w:rPr>
        <w:t xml:space="preserve"> (далее - Lianhe Ratings) </w:t>
      </w:r>
      <w:r>
        <w:rPr>
          <w:highlight w:val="white"/>
        </w:rPr>
        <w:t xml:space="preserve">повысило долгосрочный кредитный рейтинг АО «Россельхозбанк» (далее – РСХБ или Банк) по китайской национальной шкале на 2 ступени и присвоило наивысший рейтинг ‘AAA’ со стабильным прогнозом.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ри повышении рейтинга агентство учитывало 100% государственное участие и стратегическую важность Банка для Российской Федерации. Как один из системно значимых банков России, Россельхозбанк играет важную в экономическом развитии страны и поддержании финансо</w:t>
      </w:r>
      <w:r>
        <w:rPr>
          <w:highlight w:val="white"/>
        </w:rPr>
        <w:t xml:space="preserve">вой стабильности.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shd w:val="clear" w:color="ffffff" w:themeColor="background1" w:fill="ffffff" w:themeFill="background1"/>
        <w:ind w:firstLine="709"/>
        <w:jc w:val="both"/>
        <w:rPr>
          <w:rFonts w:ascii="Segoe UI" w:hAnsi="Segoe UI" w:cs="Segoe UI"/>
          <w:color w:val="c00000"/>
          <w:sz w:val="20"/>
          <w:szCs w:val="20"/>
          <w:highlight w:val="white"/>
          <w14:ligatures w14:val="none"/>
        </w:rPr>
      </w:pPr>
      <w:r>
        <w:rPr>
          <w:highlight w:val="white"/>
        </w:rPr>
        <w:t xml:space="preserve">А</w:t>
      </w:r>
      <w:r>
        <w:rPr>
          <w:highlight w:val="white"/>
        </w:rPr>
        <w:t xml:space="preserve">налитики Lianhe Ratings подчеркнули, что РСХБ является ключевым банком в российской фина</w:t>
      </w:r>
      <w:r>
        <w:rPr>
          <w:highlight w:val="white"/>
        </w:rPr>
        <w:t xml:space="preserve">нсовой системе для сельскохозяйственных товаропроизводителей, обладая второй по величине филиальной сетью, охватывающей 82 региона России. Банк занимает более 30% рынка</w:t>
      </w:r>
      <w:r>
        <w:rPr>
          <w:highlight w:val="white"/>
        </w:rPr>
        <w:t xml:space="preserve"> сельскохозяйственного кредитования в России, сохраняя лидирующие позиции в аграрном секторе. </w:t>
      </w:r>
      <w:r>
        <w:rPr>
          <w:rFonts w:ascii="Segoe UI" w:hAnsi="Segoe UI" w:cs="Segoe UI"/>
          <w:color w:val="c00000"/>
          <w:sz w:val="20"/>
          <w:szCs w:val="20"/>
          <w:highlight w:val="white"/>
          <w14:ligatures w14:val="none"/>
        </w:rPr>
      </w:r>
      <w:r>
        <w:rPr>
          <w:rFonts w:ascii="Segoe UI" w:hAnsi="Segoe UI" w:cs="Segoe UI"/>
          <w:color w:val="c00000"/>
          <w:sz w:val="20"/>
          <w:szCs w:val="20"/>
          <w:highlight w:val="white"/>
          <w14:ligatures w14:val="non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Рейтинги, присвоенные рейтинговым агентством Fitch Ratings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9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4"/>
      </w:tblGrid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Объект рейтинга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 «Россельхозбанк»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рейтинга, который присвоен объекту рейтинговой оценки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дефолта эмитента (РДЭ) в иностранной и национальной валюте;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РДЭ;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устойчивости;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приоритетного необеспеченного долга;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уровень поддержки долгосрочного РДЭ;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 от государства.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История изменения значений рейтинга за три последних завершенных отчетных года или за каждый</w:t>
      </w:r>
      <w:r>
        <w:rPr>
          <w:b/>
          <w:bCs/>
          <w:i/>
          <w:iCs/>
          <w:highlight w:val="white"/>
        </w:rPr>
        <w:t xml:space="preserve"> завершенный отчетный год (если эмитент осуществляет свою деятельность менее трех лет), а также за период с даты начала текущего года до даты утверждения проспекта ценных бумаг, с указанием значения рейтинга и даты присвоения (изменения) значения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3"/>
        <w:gridCol w:w="1519"/>
        <w:gridCol w:w="2443"/>
      </w:tblGrid>
      <w:tr>
        <w:trPr/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Значения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присвоения / изменения / подтверждения значений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</w:tr>
      <w:tr>
        <w:trPr>
          <w:trHeight w:val="185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дефолта эмитента (РДЭ) в иностранной и национальной валюте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РДЭ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устойчивости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приоритетного необеспеченного долга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уровень поддержки долгосрочного РДЭ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 от государства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b-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04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185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дефолта эмитента (РДЭ) в иностранной и национальной валюте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РДЭ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устойчивости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приоритетного необеспеченного долга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 от государства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ссс-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ns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15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185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дефолта эмитента (РДЭ) в иностранной и национальной валюте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РДЭ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устойчивости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приоритетного необеспеченного долга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рейтинг поддержки от государства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29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rStyle w:val="1219"/>
          <w:highlight w:val="white"/>
        </w:rPr>
      </w:pPr>
      <w:r>
        <w:rPr>
          <w:highlight w:val="white"/>
        </w:rPr>
      </w:r>
      <w:hyperlink r:id="rId34" w:tooltip="https://www.fitchratings.com/site/definitions" w:history="1">
        <w:r>
          <w:rPr>
            <w:rStyle w:val="1219"/>
            <w:highlight w:val="white"/>
          </w:rPr>
          <w:t xml:space="preserve">https://www.fitchratings.com/site/definitions</w:t>
        </w:r>
      </w:hyperlink>
      <w:r>
        <w:rPr>
          <w:rStyle w:val="1219"/>
          <w:highlight w:val="white"/>
        </w:rPr>
      </w:r>
      <w:r>
        <w:rPr>
          <w:rStyle w:val="1219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hyperlink r:id="rId35" w:tooltip="https://www.fitchratings.com/criteria/banks" w:history="1">
        <w:r>
          <w:rPr>
            <w:rStyle w:val="1219"/>
            <w:highlight w:val="white"/>
          </w:rPr>
          <w:t xml:space="preserve">https://www.fitchratings.com/criteria/banks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hyperlink r:id="rId36" w:tooltip="https://www.fitchratings.com/research/banks/bank-rating-criteria-15-03-2024" w:history="1">
        <w:r>
          <w:rPr>
            <w:rStyle w:val="1219"/>
            <w:highlight w:val="white"/>
          </w:rPr>
          <w:t xml:space="preserve">https://www.fitchratings.com/research/banks/bank-rating-criteria-15-03-2024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hyperlink r:id="rId37" w:tooltip="https://www.fitchratings.com/research/banks/fitch-ratings-to-withdraw-ratings-on-russian-entities-23-03-2022" w:history="1">
        <w:r>
          <w:rPr>
            <w:rStyle w:val="1219"/>
            <w:highlight w:val="white"/>
          </w:rPr>
          <w:t xml:space="preserve">https://www.fitchratings.com/research/banks/fitch-ratings-to-withdraw-ratings-on-russian-entities-23-03-2022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Полное фирменное наименование (для коммерческой организации) или наименование (дл</w:t>
      </w:r>
      <w:r>
        <w:rPr>
          <w:b/>
          <w:bCs/>
          <w:i/>
          <w:iCs/>
          <w:highlight w:val="white"/>
        </w:rPr>
        <w:t xml:space="preserve">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highlight w:val="white"/>
        </w:rPr>
        <w:t xml:space="preserve">Fitch Ratings, Inc., 10019, Нью-Йорк, 57-я улица, 300 W, Нью-Йорк.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bCs/>
          <w:i/>
          <w:iCs/>
          <w:highlight w:val="white"/>
        </w:rPr>
        <w:t xml:space="preserve">Иные сведения о рейтинге, указываемые эмитентом по своему усмотрению: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0</w:t>
      </w:r>
      <w:r>
        <w:rPr>
          <w:highlight w:val="white"/>
        </w:rPr>
        <w:t xml:space="preserve">4 марта 2022 года агентство Fitch Ratings пон</w:t>
      </w:r>
      <w:r>
        <w:rPr>
          <w:highlight w:val="white"/>
        </w:rPr>
        <w:t xml:space="preserve">изило долгосрочные РДЭ 32 российских банков, включая АО «Россельхозбанк», а также их российских и международных дочерних структур, и холдинговых компаний и поместило рейтинги в список Rating Watch «Негативный». Данные рейтинговые действия последовали за по</w:t>
      </w:r>
      <w:r>
        <w:rPr>
          <w:highlight w:val="white"/>
        </w:rPr>
        <w:t xml:space="preserve">нижением суверенного рейтинга России до «B»/Rating Watch «Негативный» 2 марта 2022 года. Также Fitch Ratings отозвало рейтинги поддержки и уровни поддержки долгосрочных рейтингов у рассматриваемых эмитентов, поскольку они более не являются релевантными пос</w:t>
      </w:r>
      <w:r>
        <w:rPr>
          <w:highlight w:val="white"/>
        </w:rPr>
        <w:t xml:space="preserve">ле опубликования 12 ноября 2021 года обновленной методологии агентства по рейтингованию банков. В соответствии с обновленной методологией Fitch Ratings присвоило соответствующим эмитентам рейтинги поддержки от государства и рейтинги поддержки от акционера.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15 марта 2022 г</w:t>
      </w:r>
      <w:r>
        <w:rPr>
          <w:highlight w:val="white"/>
        </w:rPr>
        <w:t xml:space="preserve">ода агентство Fitch Ratings понизило долгосрочные РДЭ 31 российского банка, включая АО «Россельхозбанк», в иностранной валюте с уровня «B» до «CC» и и</w:t>
      </w:r>
      <w:r>
        <w:rPr>
          <w:highlight w:val="white"/>
        </w:rPr>
        <w:t xml:space="preserve">сключило их из списка Rating Watch «Негативный» (RWN). Краткосрочные РДЭ были понижены до «C» с «B» и исключены из списка Rating Watch «Негативный». Данные рейтинговые действия последовали за понижением суверенного рейтинга России до «C» 8 марта 2022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29 марта 2022 года агентство Fitch Ratings отозвало рейтинги всех своих эмитенто</w:t>
      </w:r>
      <w:r>
        <w:rPr>
          <w:highlight w:val="white"/>
        </w:rPr>
        <w:t xml:space="preserve">в в России, включая АО «Россельхозбанк», в связи с санкциями, принятыми странами ЕС 15 марта 2022 года, в рамках которых европейским агентствам запрещается рейтинговать РФ и российские компании, а также предоставлять рейтинговые услуги российским клиентам.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Рейтинги, присвоенные рейтинговым агентством </w:t>
      </w:r>
      <w:r>
        <w:rPr>
          <w:b/>
          <w:bCs/>
          <w:i/>
          <w:iCs/>
          <w:highlight w:val="white"/>
          <w:lang w:val="en-US"/>
        </w:rPr>
        <w:t xml:space="preserve">Moody</w:t>
      </w:r>
      <w:r>
        <w:rPr>
          <w:b/>
          <w:bCs/>
          <w:i/>
          <w:iCs/>
          <w:highlight w:val="white"/>
        </w:rPr>
        <w:t xml:space="preserve">’</w:t>
      </w:r>
      <w:r>
        <w:rPr>
          <w:b/>
          <w:bCs/>
          <w:i/>
          <w:iCs/>
          <w:highlight w:val="white"/>
          <w:lang w:val="en-US"/>
        </w:rPr>
        <w:t xml:space="preserve">s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  <w:lang w:val="en-US"/>
        </w:rPr>
        <w:t xml:space="preserve">Investors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  <w:lang w:val="en-US"/>
        </w:rPr>
        <w:t xml:space="preserve">Service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9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4"/>
      </w:tblGrid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Объект рейтинга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 «Россельхозбанк»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blPrEx/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рейтинга, который присвоен объекту рейтинговой оценки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депозитов (в национальной и иностранной валюте);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депозитов;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базовая оценка кредитоспособности;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старших долговых обязательств (в национальной и иностранной валюте);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риска контрагента (в национальной и иностранной валюте);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риска контрагента (в национальной и иностранной валюте).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История изменения значений рейтинга за три последних завершенных отчетных года или за каждый</w:t>
      </w:r>
      <w:r>
        <w:rPr>
          <w:b/>
          <w:bCs/>
          <w:i/>
          <w:iCs/>
          <w:highlight w:val="white"/>
        </w:rPr>
        <w:t xml:space="preserve"> завершенный отчетный год (если эмитент осуществляет свою деятельность менее трех лет), а также за период с даты начала текущего года до даты утверждения проспекта ценных бумаг, с указанием значения рейтинга и даты присвоения (изменения) значения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3"/>
        <w:gridCol w:w="1519"/>
        <w:gridCol w:w="2443"/>
      </w:tblGrid>
      <w:tr>
        <w:trPr/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Значения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присвоения / изменения / подтверждения значений рейтинга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</w:tr>
      <w:tr>
        <w:trPr>
          <w:trHeight w:val="185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депозитов (в национальной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депозитов (в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депозитов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базовая оценка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старших долговых обязательств (в национальной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риска контрагента (в национальной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риска контрагента (в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риска контрагента (в национальной и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Caa3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Not Prime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Caa3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Caa3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Ca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Not Prime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10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185"/>
        </w:trPr>
        <w:tblPrEx/>
        <w:tc>
          <w:tcPr>
            <w:tcW w:w="2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депозитов (в национальной и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депозитов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базовая оценка кредитоспособности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старших долговых обязательств (в национальной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долгосрочный рейтинг риска контрагента (в национальной и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краткосрочный рейтинг риска контрагента (в национальной и иностранной валюте)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31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03</w:t>
            </w:r>
            <w:r>
              <w:rPr>
                <w:sz w:val="22"/>
                <w:szCs w:val="22"/>
                <w:highlight w:val="white"/>
              </w:rPr>
              <w:t xml:space="preserve">.20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8" w:tooltip="https://ratings.moodys.com/rating-definitions" w:history="1">
        <w:r>
          <w:rPr>
            <w:rStyle w:val="1219"/>
            <w:highlight w:val="white"/>
          </w:rPr>
          <w:t xml:space="preserve">https://ratings.moodys.com/rating-definitions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39" w:tooltip="https://ratings.moodys.com/api/rmc-documents/53954" w:history="1">
        <w:r>
          <w:rPr>
            <w:rStyle w:val="1219"/>
            <w:highlight w:val="white"/>
          </w:rPr>
          <w:t xml:space="preserve">https://ratings.moodys.com/api/rmc-documents/53954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40" w:tooltip="https://ratings.moodys.com/rating-methodologies" w:history="1">
        <w:r>
          <w:rPr>
            <w:rStyle w:val="1219"/>
            <w:highlight w:val="white"/>
            <w:lang w:val="en-US"/>
          </w:rPr>
          <w:t xml:space="preserve">https</w:t>
        </w:r>
        <w:r>
          <w:rPr>
            <w:rStyle w:val="1219"/>
            <w:highlight w:val="white"/>
          </w:rPr>
          <w:t xml:space="preserve">://</w:t>
        </w:r>
        <w:r>
          <w:rPr>
            <w:rStyle w:val="1219"/>
            <w:highlight w:val="white"/>
            <w:lang w:val="en-US"/>
          </w:rPr>
          <w:t xml:space="preserve">ratings</w:t>
        </w:r>
        <w:r>
          <w:rPr>
            <w:rStyle w:val="1219"/>
            <w:highlight w:val="white"/>
          </w:rPr>
          <w:t xml:space="preserve">.</w:t>
        </w:r>
        <w:r>
          <w:rPr>
            <w:rStyle w:val="1219"/>
            <w:highlight w:val="white"/>
            <w:lang w:val="en-US"/>
          </w:rPr>
          <w:t xml:space="preserve">moodys</w:t>
        </w:r>
        <w:r>
          <w:rPr>
            <w:rStyle w:val="1219"/>
            <w:highlight w:val="white"/>
          </w:rPr>
          <w:t xml:space="preserve">.</w:t>
        </w:r>
        <w:r>
          <w:rPr>
            <w:rStyle w:val="1219"/>
            <w:highlight w:val="white"/>
            <w:lang w:val="en-US"/>
          </w:rPr>
          <w:t xml:space="preserve">com</w:t>
        </w:r>
        <w:r>
          <w:rPr>
            <w:rStyle w:val="1219"/>
            <w:highlight w:val="white"/>
          </w:rPr>
          <w:t xml:space="preserve">/</w:t>
        </w:r>
        <w:r>
          <w:rPr>
            <w:rStyle w:val="1219"/>
            <w:highlight w:val="white"/>
            <w:lang w:val="en-US"/>
          </w:rPr>
          <w:t xml:space="preserve">rating</w:t>
        </w:r>
        <w:r>
          <w:rPr>
            <w:rStyle w:val="1219"/>
            <w:highlight w:val="white"/>
          </w:rPr>
          <w:t xml:space="preserve">-</w:t>
        </w:r>
        <w:r>
          <w:rPr>
            <w:rStyle w:val="1219"/>
            <w:highlight w:val="white"/>
            <w:lang w:val="en-US"/>
          </w:rPr>
          <w:t xml:space="preserve">methodologies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hyperlink r:id="rId41" w:tooltip="https://ratings.moodys.com/rmc-documents/409852" w:history="1">
        <w:r>
          <w:rPr>
            <w:rStyle w:val="1219"/>
            <w:highlight w:val="white"/>
          </w:rPr>
          <w:t xml:space="preserve">https://ratings.moodys.com/rmc-documents/409852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Полное фирменное наименование (для коммерческой организации) или наименование (дл</w:t>
      </w:r>
      <w:r>
        <w:rPr>
          <w:b/>
          <w:bCs/>
          <w:i/>
          <w:iCs/>
          <w:highlight w:val="white"/>
        </w:rPr>
        <w:t xml:space="preserve">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  <w:lang w:val="en-US"/>
        </w:rPr>
        <w:t xml:space="preserve">Moody’s Investors Service Ltd (Moody’s), One Canada Square, Кэнэри-Уорф, Лондон E14 5FA Великобритания.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  <w:lang w:val="en-US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/>
          <w:bCs/>
          <w:i/>
          <w:iCs/>
          <w:highlight w:val="white"/>
        </w:rPr>
        <w:t xml:space="preserve">Иные сведения о рейтинге, указываемые эмитентом по своему усмотрению: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10 марта 2022 года агентство Moody’s Investors Service понизило рейтинги и оценки 39 российских финансовых институтов, включая АО «Россельхозбанк», вслед за понижением рейтингов России с «B3» до «Ca» с прогнозом «негативный». Дол</w:t>
      </w:r>
      <w:r>
        <w:rPr>
          <w:highlight w:val="white"/>
        </w:rPr>
        <w:t xml:space="preserve">госрочные рейтинги депозитов в национальной валюте, рейтинги риска контрагента и приоритетного необеспеченного долга в национальной валюте затронутых банков были понижены до «Caa3», в то время как долгосрочные рейтинги депозитов в иностранной валюте, рейти</w:t>
      </w:r>
      <w:r>
        <w:rPr>
          <w:highlight w:val="white"/>
        </w:rPr>
        <w:t xml:space="preserve">нги приоритетного необеспеченного и субординированного долга — где применимо — банков и корпоративных эмитентов, а также долгосрочные рейтинги небанковских эмитентов были понижены до «Ca». Прогнозы по рейтингам затронутых финансовых организаций негативные.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31 марта 2022 года агентство Moody’s Investors Service отозвало рейтинги всех своих эмитенто</w:t>
      </w:r>
      <w:r>
        <w:rPr>
          <w:highlight w:val="white"/>
        </w:rPr>
        <w:t xml:space="preserve">в в России, включая АО «Россельхозбанк», в связи с санкциями, принятыми странами ЕС 15 марта 2022 года, в рамках которых европейским агентствам запрещается рейтинговать РФ и российские компании, а также предоставлять рейтинговые услуги российским клиентам.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Рейтинги, присвоенные ценным бумагам, выпущенным АО «Россельхозбанк»: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244"/>
      </w:tblGrid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 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документарные на предъявителя серии 01Т1 с обязательным централизованным хранением процентные неконвертируемые без установленного срока погашения, с возможностью погашения по усмотрению кредитной организации – эмитента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42903349B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10.06.2016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«B+(RU)»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«B+(RU)»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244"/>
      </w:tblGrid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 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документарные на предъявителя серии 09Т1 с обязательным централизованным хранением процентные неконвертируемые без установленного срока погашения, с возможностью погашения по усмотрению кредитной организации – эмитента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43703349B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10.06.2016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«B+(RU)»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«B+(RU)»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244"/>
      </w:tblGrid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 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документарные на предъявителя серии 31Т1 с обязательным централизованным хранением процентные неконвертируемые без установленного срока погашения, с возможностью погашения по усмотрению кредитной организации – эмитента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47903349B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08.11.2018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«B+(RU)»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«B+(RU)»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на предъявителя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неконвертируемые процентные документарные облигации на предъявителя, с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 обязательным централизованным хранением серии БО-07Р, с возможностью досрочного погашения по требованию владельцев, размещаемые путем открытой подписки в рамках Программы биржевых облигаций серии 001P (идентификационный номер 403349B001P02E от 20.06.2016)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4B02-07-03349-B-001P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20.11.2018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244"/>
      </w:tblGrid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 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документарные на предъявителя серии 11В1 с обязательным централизованным хранением процентные неконвертируемые без установленного срока погашения, с возможностью погашения по усмотрению кредитной организации – эмитента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44903349B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08.11.2018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«B+(RU)»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«B+(RU)»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4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облигации серии С01Е-01 документарные на предъявителя процентные неконвертируемые с обязательным централизованным хранением без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 установленного срока погашения, с возможностью погашения по усмотрению Эмитента, размещаемые путем закрытой подписки в рамках Программы облигаций серии С01Е (государственный регистрационный номер: 403349B002P, дата государственной регистрации: 26.09.2019)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40103349B002Р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10.12.2019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«B(RU)»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«B+(RU)»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.01.2025 – «B+(RU)»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БO-14-002P, размещаемые в рамках Программы биржевых облигаций серии 002Р, имеющей регистрационный номер 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4B02-04-03349-B-002P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07.12.2020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25.03.2022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spacing w:after="120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БO-01-002P, размещаемые путем открытой подписки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4B02-05-03349-B-002P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08.12.2020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19.12.2022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16.03.2023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30.01.2024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418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БO-02-002P, размещаемые путем открытой подписки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4B02-10-03349-B-002P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14.12.2020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19.05.2023 – «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AA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(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RU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БO-16-002P, размещаемые путем открытой подписки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4B02-36-03349-B-002P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25.11.2021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07.06.2023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БO-12-002P, размещаемые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4B02-18-03349-B-002P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14.12.2020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30.06.2023 – «AA(RU)»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БO-03-002P, размещаемые путем открытой подписки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4B02-11-03349-B-002P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14.12.2020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09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Вид: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Категория для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Тип для привилегированных акций: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Иные идентификационные признаки: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биржевые облигации процентные неконвертируемые бездокументарные с централизованным учетом прав серии БO-28-002P, размещаемые путем открытой подписки в рамках Программы биржевых облигаций серии 002Р, имеющей регистрационный номер</w:t>
            </w:r>
            <w:r>
              <w:rPr>
                <w:bCs/>
                <w:iCs/>
                <w:sz w:val="22"/>
                <w:szCs w:val="22"/>
                <w:highlight w:val="white"/>
              </w:rPr>
              <w:br/>
              <w:t xml:space="preserve">4-03349-B-002P-02Е от 09.07.2020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Регистрационный номер выпуска ценных бумаг: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4B02-51-03349-B-002P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Дата регистрации выпуска: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30.08.2024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bCs/>
                <w:i/>
                <w:iCs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  <w:t xml:space="preserve">Рейтинг АКРА:</w:t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  <w:p>
            <w:pPr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– кредитный рейтинг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  <w:tc>
          <w:tcPr>
            <w:tcW w:w="524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120"/>
              <w:rPr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19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09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spacing w:after="120"/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22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01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.2025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 – «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АА</w:t>
            </w:r>
            <w:r>
              <w:rPr>
                <w:bCs/>
                <w:iCs/>
                <w:sz w:val="22"/>
                <w:szCs w:val="22"/>
                <w:highlight w:val="white"/>
                <w:lang w:val="en-US"/>
              </w:rPr>
              <w:t xml:space="preserve">(RU)»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5.3. Дополнительные сведения о деятельности эмитентов, являющихся специализированными обществами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Эмитент не является специализированным обществом.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5.4. Сведения о каждой категории (типе) акций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Сведения не указываются. Биржевые облигации не конвертируются в акции.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5.5. Сведения об объявленных и выплаченных дивидендах по акциям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Сведения не указываются. </w:t>
      </w:r>
      <w:r>
        <w:rPr>
          <w:highlight w:val="white"/>
        </w:rPr>
        <w:t xml:space="preserve">Эмитент осуществляет</w:t>
      </w:r>
      <w:r>
        <w:rPr>
          <w:highlight w:val="white"/>
        </w:rPr>
        <w:t xml:space="preserve"> раскрытие информации в соответствии с </w:t>
      </w:r>
      <w:hyperlink r:id="rId42" w:tooltip="consultantplus://offline/ref=EF065FAF0D82BBB3B2BA34094DBB898F0B4EC2A9DC2F3F203792AA4311D53905479625E8BFE527E883C75F350AB1D557D7F2A553CA2E8E5FH3TEL" w:history="1">
        <w:r>
          <w:rPr>
            <w:highlight w:val="white"/>
          </w:rPr>
          <w:t xml:space="preserve">пунктом 4 статьи 30</w:t>
        </w:r>
      </w:hyperlink>
      <w:r>
        <w:rPr>
          <w:highlight w:val="white"/>
        </w:rPr>
        <w:t xml:space="preserve"> Федерального закона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О рынке ценных бумаг</w:t>
      </w:r>
      <w:r>
        <w:rPr>
          <w:highlight w:val="white"/>
        </w:rPr>
        <w:t xml:space="preserve">»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5.6. Сведения о выпусках ценных бумаг, за исключением акций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5.6.1. Сведения о выпусках, все ценные бумаги которых погашены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i/>
          <w:highlight w:val="white"/>
        </w:rPr>
        <w:t xml:space="preserve">О</w:t>
      </w:r>
      <w:r>
        <w:rPr>
          <w:b/>
          <w:i/>
          <w:highlight w:val="white"/>
        </w:rPr>
        <w:t xml:space="preserve">бщее количество выпусков ценных бумаг эмитента каждого отдельного вида, все ценные бумаги которых были погашены до даты утверждения проспекта ценных бумаг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b/>
          <w:i/>
          <w:highlight w:val="white"/>
        </w:rPr>
        <w:t xml:space="preserve">Облигации:</w:t>
      </w:r>
      <w:r>
        <w:rPr>
          <w:highlight w:val="white"/>
        </w:rPr>
        <w:t xml:space="preserve"> </w:t>
      </w:r>
      <w:r>
        <w:rPr>
          <w:highlight w:val="white"/>
        </w:rPr>
        <w:t xml:space="preserve">84</w:t>
      </w:r>
      <w:r>
        <w:rPr>
          <w:highlight w:val="white"/>
        </w:rPr>
        <w:t xml:space="preserve"> выпуск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ascii="Calibri" w:hAnsi="Calibri"/>
          <w:color w:val="000000"/>
          <w:sz w:val="22"/>
          <w:szCs w:val="22"/>
          <w:highlight w:val="white"/>
        </w:rPr>
      </w:pPr>
      <w:r>
        <w:rPr>
          <w:b/>
          <w:i/>
          <w:highlight w:val="white"/>
        </w:rPr>
        <w:t xml:space="preserve">С</w:t>
      </w:r>
      <w:r>
        <w:rPr>
          <w:b/>
          <w:i/>
          <w:highlight w:val="white"/>
        </w:rPr>
        <w:t xml:space="preserve">овокупная номинальная </w:t>
      </w:r>
      <w:r>
        <w:rPr>
          <w:b/>
          <w:i/>
          <w:highlight w:val="white"/>
        </w:rPr>
        <w:t xml:space="preserve">стоимость:</w:t>
      </w:r>
      <w:r>
        <w:rPr>
          <w:highlight w:val="white"/>
        </w:rPr>
        <w:t xml:space="preserve"> </w:t>
      </w:r>
      <w:r>
        <w:rPr>
          <w:highlight w:val="white"/>
        </w:rPr>
        <w:t xml:space="preserve">545 451 064 000</w:t>
      </w:r>
      <w:r>
        <w:rPr>
          <w:highlight w:val="white"/>
        </w:rPr>
        <w:t xml:space="preserve"> рублей.</w:t>
      </w:r>
      <w:r>
        <w:rPr>
          <w:rFonts w:ascii="Calibri" w:hAnsi="Calibri"/>
          <w:color w:val="000000"/>
          <w:sz w:val="22"/>
          <w:szCs w:val="22"/>
          <w:highlight w:val="white"/>
        </w:rPr>
      </w:r>
      <w:r>
        <w:rPr>
          <w:rFonts w:ascii="Calibri" w:hAnsi="Calibri"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Calibri" w:hAnsi="Calibri"/>
          <w:color w:val="000000"/>
          <w:sz w:val="22"/>
          <w:szCs w:val="22"/>
          <w:highlight w:val="white"/>
        </w:rPr>
      </w:pPr>
      <w:r>
        <w:rPr>
          <w:rFonts w:ascii="Calibri" w:hAnsi="Calibri"/>
          <w:color w:val="000000"/>
          <w:sz w:val="22"/>
          <w:szCs w:val="22"/>
          <w:highlight w:val="white"/>
        </w:rPr>
      </w:r>
      <w:r>
        <w:rPr>
          <w:rFonts w:ascii="Calibri" w:hAnsi="Calibri"/>
          <w:color w:val="000000"/>
          <w:sz w:val="22"/>
          <w:szCs w:val="22"/>
          <w:highlight w:val="white"/>
        </w:rPr>
      </w:r>
      <w:r>
        <w:rPr>
          <w:rFonts w:ascii="Calibri" w:hAnsi="Calibri"/>
          <w:color w:val="000000"/>
          <w:sz w:val="22"/>
          <w:szCs w:val="22"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5.6.2. Сведения о выпусках, ценные бумаги которых не являются погашенными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отношении</w:t>
      </w:r>
      <w:r>
        <w:rPr>
          <w:bCs/>
          <w:iCs/>
          <w:highlight w:val="white"/>
        </w:rPr>
        <w:t xml:space="preserve"> зарегистрированных и непогашенных выпусков ценных бумаг у </w:t>
      </w:r>
      <w:r>
        <w:rPr>
          <w:bCs/>
          <w:iCs/>
          <w:highlight w:val="white"/>
        </w:rPr>
        <w:t xml:space="preserve">Э</w:t>
      </w:r>
      <w:r>
        <w:rPr>
          <w:bCs/>
          <w:iCs/>
          <w:highlight w:val="white"/>
        </w:rPr>
        <w:t xml:space="preserve">митента имеется обязанность по раскрытию информации</w:t>
      </w:r>
      <w:r>
        <w:rPr>
          <w:bCs/>
          <w:iCs/>
          <w:highlight w:val="white"/>
        </w:rPr>
        <w:t xml:space="preserve">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А</w:t>
      </w:r>
      <w:r>
        <w:rPr>
          <w:b/>
          <w:bCs/>
          <w:i/>
          <w:iCs/>
          <w:highlight w:val="white"/>
        </w:rPr>
        <w:t xml:space="preserve">дрес страницы в сети Интернет, на которой раскрыты тексты решен</w:t>
      </w:r>
      <w:r>
        <w:rPr>
          <w:b/>
          <w:bCs/>
          <w:i/>
          <w:iCs/>
          <w:highlight w:val="white"/>
        </w:rPr>
        <w:t xml:space="preserve">ий о выпуске таких ценных бумаг: </w:t>
      </w:r>
      <w:r>
        <w:rPr>
          <w:bCs/>
          <w:iCs/>
          <w:highlight w:val="white"/>
        </w:rPr>
        <w:t xml:space="preserve">https://e-disclosure.ru/portal/files.aspx?id=3207&amp;type=7</w:t>
      </w:r>
      <w:r>
        <w:rPr>
          <w:bCs/>
          <w:iCs/>
          <w:highlight w:val="white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5.7. Сведения о неисполнении эмитентом обязательств по ценным бумагам, за исключением акций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spacing w:before="240"/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Обязательства эмитента по ценным бумагам (за </w:t>
      </w:r>
      <w:r>
        <w:rPr>
          <w:b/>
          <w:bCs/>
          <w:i/>
          <w:iCs/>
          <w:highlight w:val="white"/>
        </w:rPr>
        <w:t xml:space="preserve">исключением обязательств по выплате объявленных дивидендов), срок исполнения которых наступил, которые не исполнены или исполнены ненадлежащим образом, в том числе по вине эмитента (просрочка должника) или вине владельца ценных бумаг (просрочка кредитора):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Обязательства Эмитента срок исполнения которых наступил, которые не исполнены или исполнены ненадлежащим образом, отсутствуют.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 xml:space="preserve">5.8. Сведения о регистраторе, осуществляющем ведение реестра владельцев акций эмитента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outlineLvl w:val="2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Постановлению Правительства Российской Федерации от 04.07.2023 № 1102, информация в данном пункте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5.9. Информация об аудиторе эмитента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Информация в отношении ау</w:t>
      </w:r>
      <w:r>
        <w:rPr>
          <w:b/>
          <w:i/>
          <w:highlight w:val="white"/>
        </w:rPr>
        <w:t xml:space="preserve">дитора (аудиторской организации)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5004"/>
        <w:gridCol w:w="4352"/>
      </w:tblGrid>
      <w:tr>
        <w:trPr>
          <w:jc w:val="center"/>
          <w:trHeight w:val="45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Полное фирменное наименование</w:t>
            </w:r>
            <w:r>
              <w:rPr>
                <w:highlight w:val="whit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Общество с ограниченной ответственностью «Центр аудиторских технологий и решений – аудиторски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 услуги»</w:t>
            </w:r>
            <w:r>
              <w:rPr>
                <w:highlight w:val="white"/>
              </w:rPr>
              <w:t xml:space="preserve">        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67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Сокращенное фирменное наименование</w:t>
            </w:r>
            <w:r>
              <w:rPr>
                <w:highlight w:val="whit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ООО «ЦАТР – аудиторские услуги»</w:t>
            </w:r>
            <w:r>
              <w:rPr>
                <w:rStyle w:val="1264"/>
                <w:highlight w:val="white"/>
              </w:rPr>
              <w:footnoteReference w:id="14"/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ИНН</w:t>
            </w:r>
            <w:r>
              <w:rPr>
                <w:highlight w:val="whit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7709383532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249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ОГРН</w:t>
            </w:r>
            <w:r>
              <w:rPr>
                <w:highlight w:val="whit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1027739707203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3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Место нахождения аудиторской организации</w:t>
            </w:r>
            <w:r>
              <w:rPr>
                <w:highlight w:val="whit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Россия, 115035, Москва, Садовническая набережная, д</w:t>
            </w:r>
            <w:r>
              <w:rPr>
                <w:highlight w:val="white"/>
              </w:rPr>
              <w:t xml:space="preserve">ом 75</w:t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Отчетный год (годы) и (или) иной отчетный период (периоды) из числа последних трех завершенных отчетных лет и текущего года, за который (за которые) аудитором проводилась (будет проводиться) проверка отчетности эмитента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202</w:t>
      </w:r>
      <w:r>
        <w:rPr>
          <w:highlight w:val="white"/>
        </w:rPr>
        <w:t xml:space="preserve">2, 2023, 2024 и 2025 </w:t>
      </w:r>
      <w:r>
        <w:rPr>
          <w:highlight w:val="white"/>
        </w:rPr>
        <w:t xml:space="preserve">годы.</w:t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Аудитор провел аудиторскую проверку в отношении: 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2022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консолидированной финансовой отчетности Группы АО «Россельхозбанк»                          за 2022 год,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 за 2022 год,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форм бухгалтерской (</w:t>
      </w:r>
      <w:r>
        <w:rPr>
          <w:highlight w:val="white"/>
        </w:rPr>
        <w:t xml:space="preserve">финансовой) отчетности Банка за 2022 год, подготовленной в соответствии с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</w:t>
      </w:r>
      <w:r>
        <w:rPr>
          <w:highlight w:val="white"/>
        </w:rPr>
        <w:t xml:space="preserve"> от </w:t>
      </w:r>
      <w:r>
        <w:rPr>
          <w:highlight w:val="white"/>
        </w:rPr>
        <w:t xml:space="preserve">29.12.2022 «О требованиях к раскрытию кре</w:t>
      </w:r>
      <w:r>
        <w:rPr>
          <w:highlight w:val="white"/>
        </w:rPr>
        <w:t xml:space="preserve">дитными организациями (головными кредитными организациями банковских групп) отчетности и информации в 2023 году» и изложенных в Информационном письме Банка России от 30.12.2022 № ИН-03-23/158 «О требованиях к раскрытию отчетности и информации в 2023 году»;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highlight w:val="white"/>
        </w:rPr>
        <w:t xml:space="preserve">3</w:t>
      </w:r>
      <w:r>
        <w:rPr>
          <w:highlight w:val="white"/>
        </w:rPr>
        <w:t xml:space="preserve">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консолидированной финансовой отчетности Группы АО «Россельхозбанк»                  за 202</w:t>
      </w:r>
      <w:r>
        <w:rPr>
          <w:highlight w:val="white"/>
        </w:rPr>
        <w:t xml:space="preserve">3</w:t>
      </w:r>
      <w:r>
        <w:rPr>
          <w:highlight w:val="white"/>
        </w:rPr>
        <w:t xml:space="preserve"> год,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за 2023 год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публикуемой отчетности Банка за 2023 год, подготовленной в соответствии с</w:t>
      </w:r>
      <w:r>
        <w:rPr>
          <w:highlight w:val="white"/>
        </w:rPr>
        <w:t xml:space="preserve">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 от 26.12.2023 «О требованиях к раскрытию кредитными организациями (голов</w:t>
      </w:r>
      <w:r>
        <w:rPr>
          <w:highlight w:val="white"/>
        </w:rPr>
        <w:t xml:space="preserve">ными кредитными организациями банковских групп) отчетности и информации в 2024 году» и изложенных в Информационном письме Банка России от 16.01.2024 № ИН-03-23/2 «О требованиях к раскрытию и представлению в Банк России отчетности и информации в 2024 году»;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консолидированной финансовой отчетности Группы АО «Россельхозбанк»                  за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год,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за 2024 год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highlight w:val="white"/>
        </w:rPr>
      </w:pPr>
      <w:r>
        <w:rPr>
          <w:highlight w:val="white"/>
        </w:rPr>
        <w:t xml:space="preserve">- публикуемой отчетности Банка за 2024 год, подготовленной в соответствии с</w:t>
      </w:r>
      <w:r>
        <w:rPr>
          <w:highlight w:val="white"/>
        </w:rPr>
        <w:t xml:space="preserve">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 от 24.12.2024 «О требованиях к раскрытию кредитными организациями (голов</w:t>
      </w:r>
      <w:r>
        <w:rPr>
          <w:highlight w:val="white"/>
        </w:rPr>
        <w:t xml:space="preserve">ными кредитными организациями банковских групп) отчетности и информации в 2025 году» и изложенных в Информационном письме Банка России от 22.01.2025 № </w:t>
      </w:r>
      <w:r>
        <w:rPr>
          <w:highlight w:val="white"/>
        </w:rPr>
        <w:t xml:space="preserve">Н-03-23/70</w:t>
      </w:r>
      <w:r>
        <w:rPr>
          <w:highlight w:val="white"/>
        </w:rPr>
        <w:t xml:space="preserve"> «О требованиях к раскрытию и представлению в Банк России отчетности и информации в 2025 году».</w:t>
      </w:r>
      <w:r>
        <w:rPr>
          <w:rFonts w:ascii="Arial" w:hAnsi="Arial" w:eastAsia="Arial" w:cs="Arial"/>
          <w:sz w:val="24"/>
          <w:highlight w:val="white"/>
        </w:rPr>
      </w:r>
      <w:r>
        <w:rPr>
          <w:highlight w:val="white"/>
        </w:rPr>
      </w:r>
    </w:p>
    <w:p>
      <w:pPr>
        <w:ind w:firstLine="709"/>
        <w:rPr>
          <w:rFonts w:eastAsia="Calibri"/>
          <w:b/>
          <w:highlight w:val="white"/>
          <w:u w:val="single"/>
        </w:rPr>
      </w:pPr>
      <w:r>
        <w:rPr>
          <w:rFonts w:eastAsia="Calibri"/>
          <w:b/>
          <w:highlight w:val="white"/>
          <w:u w:val="single"/>
        </w:rPr>
      </w:r>
      <w:r>
        <w:rPr>
          <w:rFonts w:eastAsia="Calibri"/>
          <w:b/>
          <w:highlight w:val="white"/>
          <w:u w:val="single"/>
        </w:rPr>
      </w:r>
      <w:r>
        <w:rPr>
          <w:rFonts w:eastAsia="Calibri"/>
          <w:b/>
          <w:highlight w:val="white"/>
          <w:u w:val="singl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Аудитор провел обзорную проверку в отношении: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кончившихся 31 марта 2022 года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</w:t>
      </w:r>
      <w:r>
        <w:rPr>
          <w:highlight w:val="white"/>
        </w:rPr>
        <w:t xml:space="preserve">30 июня 2022 года, подготовленной в соответствии с Международными стандартами финансовой отчетности.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9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2022 года,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202</w:t>
      </w:r>
      <w:r>
        <w:rPr>
          <w:highlight w:val="white"/>
        </w:rPr>
        <w:t xml:space="preserve">2</w:t>
      </w:r>
      <w:r>
        <w:rPr>
          <w:highlight w:val="white"/>
        </w:rPr>
        <w:t xml:space="preserve">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</w:t>
      </w:r>
      <w:r>
        <w:rPr>
          <w:highlight w:val="white"/>
        </w:rPr>
        <w:t xml:space="preserve">2</w:t>
      </w:r>
      <w:r>
        <w:rPr>
          <w:highlight w:val="white"/>
        </w:rPr>
        <w:t xml:space="preserve"> года, </w:t>
      </w:r>
      <w:r>
        <w:rPr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2</w:t>
      </w:r>
      <w:r>
        <w:rPr>
          <w:highlight w:val="white"/>
        </w:rPr>
        <w:t xml:space="preserve">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6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2</w:t>
      </w:r>
      <w:r>
        <w:rPr>
          <w:highlight w:val="white"/>
        </w:rPr>
        <w:t xml:space="preserve"> года,</w:t>
      </w:r>
      <w:r>
        <w:rPr>
          <w:highlight w:val="white"/>
        </w:rPr>
        <w:t xml:space="preserve">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9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2022 года,</w:t>
      </w:r>
      <w:r>
        <w:rPr>
          <w:highlight w:val="white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highlight w:val="white"/>
        </w:rPr>
        <w:t xml:space="preserve"> АО «Россельхозбанк» за 9</w:t>
      </w:r>
      <w:r>
        <w:rPr>
          <w:highlight w:val="white"/>
        </w:rPr>
        <w:t xml:space="preserve">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2022 года,</w:t>
      </w:r>
      <w:r>
        <w:rPr>
          <w:highlight w:val="white"/>
        </w:rPr>
        <w:t xml:space="preserve">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</w:t>
      </w:r>
      <w:r>
        <w:rPr>
          <w:highlight w:val="white"/>
        </w:rPr>
        <w:t xml:space="preserve">3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3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9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</w:t>
      </w:r>
      <w:r>
        <w:rPr>
          <w:highlight w:val="white"/>
        </w:rPr>
        <w:t xml:space="preserve">3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2023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2023 года, </w:t>
      </w:r>
      <w:r>
        <w:rPr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2023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6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2023 года,</w:t>
      </w:r>
      <w:r>
        <w:rPr>
          <w:highlight w:val="white"/>
        </w:rPr>
        <w:t xml:space="preserve"> 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9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2023 года,</w:t>
      </w:r>
      <w:r>
        <w:rPr>
          <w:highlight w:val="white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highlight w:val="white"/>
        </w:rPr>
        <w:t xml:space="preserve"> АО «Россельхозбанк» за 9</w:t>
      </w:r>
      <w:r>
        <w:rPr>
          <w:highlight w:val="white"/>
        </w:rPr>
        <w:t xml:space="preserve"> месяцев,</w:t>
      </w:r>
      <w:r>
        <w:rPr>
          <w:highlight w:val="white"/>
        </w:rPr>
        <w:t xml:space="preserve">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сентября 2023 года,</w:t>
      </w:r>
      <w:r>
        <w:rPr>
          <w:highlight w:val="white"/>
        </w:rPr>
        <w:t xml:space="preserve"> подготовленной в соответствии с Международными ст</w:t>
      </w:r>
      <w:r>
        <w:rPr>
          <w:highlight w:val="white"/>
        </w:rPr>
        <w:t xml:space="preserve">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</w:t>
      </w:r>
      <w:r>
        <w:rPr>
          <w:highlight w:val="white"/>
        </w:rPr>
        <w:t xml:space="preserve">9</w:t>
      </w:r>
      <w:r>
        <w:rPr>
          <w:highlight w:val="white"/>
        </w:rPr>
        <w:t xml:space="preserve"> месяцев,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</w:t>
      </w:r>
      <w:r>
        <w:rPr>
          <w:highlight w:val="white"/>
        </w:rPr>
        <w:t xml:space="preserve">сентября</w:t>
      </w:r>
      <w:r>
        <w:rPr>
          <w:highlight w:val="white"/>
        </w:rPr>
        <w:t xml:space="preserve">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2024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2024 года, </w:t>
      </w:r>
      <w:r>
        <w:rPr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на основе промежуточной сокращенной консолидированной финансовой отчетности Группы </w:t>
      </w:r>
      <w:r>
        <w:rPr>
          <w:highlight w:val="white"/>
        </w:rPr>
        <w:br/>
        <w:t xml:space="preserve">АО «Россельхозбанк» за 6 месяцев,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июня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в соответствии с Международными ст</w:t>
      </w:r>
      <w:r>
        <w:rPr>
          <w:highlight w:val="white"/>
        </w:rPr>
        <w:t xml:space="preserve">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</w:t>
      </w:r>
      <w:r>
        <w:rPr>
          <w:highlight w:val="white"/>
        </w:rPr>
        <w:t xml:space="preserve">9</w:t>
      </w:r>
      <w:r>
        <w:rPr>
          <w:highlight w:val="white"/>
        </w:rPr>
        <w:t xml:space="preserve"> месяцев, 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30 </w:t>
      </w:r>
      <w:r>
        <w:rPr>
          <w:highlight w:val="white"/>
        </w:rPr>
        <w:t xml:space="preserve">сентября</w:t>
      </w:r>
      <w:r>
        <w:rPr>
          <w:highlight w:val="white"/>
        </w:rPr>
        <w:t xml:space="preserve">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на основе промежуточной сокращенной консолидированн</w:t>
      </w:r>
      <w:r>
        <w:rPr>
          <w:highlight w:val="white"/>
        </w:rPr>
        <w:t xml:space="preserve">ой финансовой отчетности Группы </w:t>
      </w:r>
      <w:r>
        <w:rPr>
          <w:highlight w:val="white"/>
        </w:rPr>
        <w:t xml:space="preserve">АО «Россельхозбанк» за </w:t>
      </w:r>
      <w:r>
        <w:rPr>
          <w:highlight w:val="white"/>
        </w:rPr>
        <w:t xml:space="preserve">9 </w:t>
      </w:r>
      <w:r>
        <w:rPr>
          <w:highlight w:val="white"/>
        </w:rPr>
        <w:t xml:space="preserve">месяцев, окончившиеся 30 </w:t>
      </w:r>
      <w:r>
        <w:rPr>
          <w:highlight w:val="white"/>
        </w:rPr>
        <w:t xml:space="preserve">сентября</w:t>
      </w:r>
      <w:r>
        <w:rPr>
          <w:highlight w:val="white"/>
        </w:rPr>
        <w:t xml:space="preserve">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года, подготовленной в соответствии с Международными ст</w:t>
      </w:r>
      <w:r>
        <w:rPr>
          <w:highlight w:val="white"/>
        </w:rPr>
        <w:t xml:space="preserve">андартами финансовой отчетности;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2025</w:t>
      </w:r>
      <w:r>
        <w:rPr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2025 года, </w:t>
      </w:r>
      <w:r>
        <w:rPr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highlight w:val="white"/>
        </w:rPr>
        <w:t xml:space="preserve">й финансовой отчетности Группы </w:t>
      </w:r>
      <w:r>
        <w:rPr>
          <w:highlight w:val="white"/>
        </w:rPr>
        <w:t xml:space="preserve">АО «Россельхозбанк» за 3 месяца, </w:t>
      </w:r>
      <w:r>
        <w:rPr>
          <w:highlight w:val="white"/>
        </w:rPr>
        <w:t xml:space="preserve">закончивши</w:t>
      </w:r>
      <w:r>
        <w:rPr>
          <w:highlight w:val="white"/>
        </w:rPr>
        <w:t xml:space="preserve">хся</w:t>
      </w:r>
      <w:r>
        <w:rPr>
          <w:highlight w:val="white"/>
        </w:rPr>
        <w:t xml:space="preserve"> 31 марта 2025 года, </w:t>
      </w:r>
      <w:r>
        <w:rPr>
          <w:highlight w:val="white"/>
        </w:rPr>
        <w:t xml:space="preserve">подготовленной в соответствии с Международными стандартами финансовой отчетности.</w:t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iCs/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Аудитор будет проводить аудиторскую проверку</w:t>
      </w:r>
      <w:r>
        <w:rPr>
          <w:highlight w:val="white"/>
          <w:u w:val="single"/>
        </w:rPr>
        <w:t xml:space="preserve"> </w:t>
      </w:r>
      <w:r>
        <w:rPr>
          <w:highlight w:val="white"/>
          <w:u w:val="single"/>
        </w:rPr>
        <w:t xml:space="preserve">в отношении</w:t>
      </w:r>
      <w:r>
        <w:rPr>
          <w:highlight w:val="white"/>
          <w:u w:val="single"/>
        </w:rPr>
        <w:t xml:space="preserve">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tabs>
          <w:tab w:val="left" w:pos="567" w:leader="none"/>
        </w:tabs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- </w:t>
      </w:r>
      <w:r>
        <w:rPr>
          <w:iCs/>
          <w:highlight w:val="white"/>
        </w:rPr>
        <w:t xml:space="preserve">годовой бухгалтерской (финансовой) отчетности Банка за 2025</w:t>
      </w:r>
      <w:r>
        <w:rPr>
          <w:iCs/>
          <w:highlight w:val="white"/>
        </w:rPr>
        <w:t xml:space="preserve"> год, составленной в соответствии с требованиями законодательства Российской Федерации, включая нормативные акты Центрального банка Российской Федерации;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 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 год,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tabs>
          <w:tab w:val="num" w:pos="1418" w:leader="none"/>
        </w:tabs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 обобщенной финансовой отчетности Банка за 2025 </w:t>
      </w:r>
      <w:r>
        <w:rPr>
          <w:sz w:val="24"/>
          <w:szCs w:val="24"/>
          <w:highlight w:val="white"/>
        </w:rPr>
        <w:t xml:space="preserve">год, </w:t>
      </w:r>
      <w:r>
        <w:rPr>
          <w:sz w:val="24"/>
          <w:szCs w:val="24"/>
          <w:highlight w:val="white"/>
        </w:rPr>
        <w:t xml:space="preserve">подготовленной на основе годовой бухгалтерской (финансовой) отчетности за 2025 год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tabs>
          <w:tab w:val="num" w:pos="1418" w:leader="none"/>
        </w:tabs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 обобщенной консолидированной финансовой отчетности Группы </w:t>
        <w:br/>
        <w:t xml:space="preserve">АО «Россельхозбанк» за 2025 год, </w:t>
      </w:r>
      <w:r>
        <w:rPr>
          <w:sz w:val="24"/>
          <w:szCs w:val="24"/>
          <w:highlight w:val="white"/>
        </w:rPr>
        <w:t xml:space="preserve">подготовленной на основе консолидированной финансовой отчетности </w:t>
      </w:r>
      <w:r>
        <w:rPr>
          <w:sz w:val="24"/>
          <w:szCs w:val="24"/>
          <w:highlight w:val="white"/>
        </w:rPr>
        <w:t xml:space="preserve">Группы АО «Россельхозбанк» за 2025 год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num" w:pos="1418" w:leader="none"/>
        </w:tabs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Аудитор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будет проводить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обзорн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ую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в отношении: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6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color w:val="000000"/>
          <w:highlight w:val="white"/>
        </w:rPr>
        <w:t xml:space="preserve">закончивши</w:t>
      </w:r>
      <w:r>
        <w:rPr>
          <w:color w:val="000000"/>
          <w:highlight w:val="white"/>
        </w:rPr>
        <w:t xml:space="preserve">х</w:t>
      </w:r>
      <w:r>
        <w:rPr>
          <w:color w:val="000000"/>
          <w:highlight w:val="white"/>
        </w:rPr>
        <w:t xml:space="preserve">ся 30 июня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 обобщенной (раскрываемой)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6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color w:val="000000"/>
          <w:highlight w:val="white"/>
        </w:rPr>
        <w:t xml:space="preserve">закончивши</w:t>
      </w:r>
      <w:r>
        <w:rPr>
          <w:color w:val="000000"/>
          <w:highlight w:val="white"/>
        </w:rPr>
        <w:t xml:space="preserve">х</w:t>
      </w:r>
      <w:r>
        <w:rPr>
          <w:color w:val="000000"/>
          <w:highlight w:val="white"/>
        </w:rPr>
        <w:t xml:space="preserve">ся 30 июня 2025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на основе промежуточной сокращенной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в соответствии с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9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color w:val="000000"/>
          <w:highlight w:val="white"/>
        </w:rPr>
        <w:t xml:space="preserve">закончивши</w:t>
      </w:r>
      <w:r>
        <w:rPr>
          <w:color w:val="000000"/>
          <w:highlight w:val="white"/>
        </w:rPr>
        <w:t xml:space="preserve">х</w:t>
      </w:r>
      <w:r>
        <w:rPr>
          <w:color w:val="000000"/>
          <w:highlight w:val="white"/>
        </w:rPr>
        <w:t xml:space="preserve">ся 30 сентября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 обобщенной (раскрываемой)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color w:val="000000"/>
          <w:highlight w:val="white"/>
        </w:rPr>
        <w:t xml:space="preserve">закончивши</w:t>
      </w:r>
      <w:r>
        <w:rPr>
          <w:color w:val="000000"/>
          <w:highlight w:val="white"/>
        </w:rPr>
        <w:t xml:space="preserve">х</w:t>
      </w:r>
      <w:r>
        <w:rPr>
          <w:color w:val="000000"/>
          <w:highlight w:val="white"/>
        </w:rPr>
        <w:t xml:space="preserve">ся 30 сентября 2025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на основе промежуточной сокращенной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в соответствии с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tbl>
      <w:tblPr>
        <w:tblW w:w="9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95"/>
        <w:gridCol w:w="5636"/>
      </w:tblGrid>
      <w:tr>
        <w:trPr>
          <w:trHeight w:val="340"/>
        </w:trPr>
        <w:tblPrEx/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Контракт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Дата заключения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Описание услуг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801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BAS-2022-00083 (РСХБ-18/253-2022)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27.06.2022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Консультационные услуги по предоставлению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екомендаций в части совершенствования методологии оценки ожидаемых кредитных убытков в соответствии с МСФО 9 по требованиям к корпоративным заемщикам и индивидуальным предпринимателям и портфелям дочерних обществ для нужд                               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277"/>
        </w:trPr>
        <w:tblPrEx/>
        <w:tc>
          <w:tcPr>
            <w:tcW w:w="226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РСХБ-18/331-2022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(GFS-2022-00133)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15.07.2022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эмиссией биржевых неконвертируемых облигаций с централизованным учетом прав, размещаемых путем открытой подписки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225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EX22080400027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31.08.2022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Оценка функции внутреннего аудита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781"/>
        </w:trPr>
        <w:tblPrEx/>
        <w:tc>
          <w:tcPr>
            <w:tcW w:w="226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 оказания аудиторских услуг от 26.02.2019 № GFS-2019-00027, ДС к договору №5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2022, ДС к договору №6 от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ДС к договору №7 от 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26.02.2019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08.12.2022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20.12.2022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Аудит в соответств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ии со статьей 50 Федерального закона от 29.11.2001 № 156-ФЗ «Об инвестиционных фондах», Федеральным законом от 30.12.2008 № 307-ФЭ «Об аудиторской деятельности» за 2022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90"/>
        </w:trPr>
        <w:tblPrEx/>
        <w:tc>
          <w:tcPr>
            <w:tcW w:w="226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удит в соответствии со 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ей 50 Федерального закона от 29.11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2001 № 156-ФЗ «Об инвестиционных 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дах», Федеральным законом от 30.12.2008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307-ФЗ «Об аудиторской деятельности» за 2023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910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EX23020900071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2022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076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РСХБ-18/222-2023/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GFS-2023-00155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07.08.2023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обновлением Проспекта ценных бумаг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70"/>
        </w:trPr>
        <w:tblPrEx/>
        <w:tc>
          <w:tcPr>
            <w:tcW w:w="226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32413215752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595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29.02.2024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2023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04"/>
        </w:trPr>
        <w:tblPrEx/>
        <w:tc>
          <w:tcPr>
            <w:tcW w:w="2263" w:type="dxa"/>
            <w:vMerge w:val="restart"/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1-0-05/24</w:t>
            </w:r>
            <w:r>
              <w:rPr>
                <w:highlight w:val="white"/>
              </w:rPr>
            </w:r>
          </w:p>
        </w:tc>
        <w:tc>
          <w:tcPr>
            <w:tcW w:w="1595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28.12.2024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Предоставление консультационных налоговых услуг по вопросам реструктуризации деятельности Общества для наиболее эффективной и коммерчески целесообразной коммерциализации разносторонних наработок и опыта Общества, накопленных в ИТ-сфере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62"/>
        </w:trPr>
        <w:tblPrEx/>
        <w:tc>
          <w:tcPr>
            <w:tcW w:w="226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32514491845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2024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Ф</w:t>
      </w:r>
      <w:r>
        <w:rPr>
          <w:b/>
          <w:i/>
          <w:highlight w:val="white"/>
        </w:rPr>
        <w:t xml:space="preserve">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</w:t>
      </w:r>
      <w:r>
        <w:rPr>
          <w:b/>
          <w:i/>
          <w:highlight w:val="white"/>
        </w:rPr>
        <w:t xml:space="preserve">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493"/>
      </w:tblGrid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98"/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долей участия аудитора (лиц, занимающих должности в органах управления и органах контроля за финансово-хозяйственной деятельностью аудиторской организации) в уставном капитале эмитента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не имеется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не предоставлялись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не имеется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98"/>
              <w:ind w:firstLine="0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сведения о лицах, занимающих д</w:t>
            </w:r>
            <w:r>
              <w:rPr>
                <w:sz w:val="24"/>
                <w:szCs w:val="24"/>
                <w:highlight w:val="white"/>
              </w:rPr>
              <w:t xml:space="preserve">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98"/>
              <w:ind w:firstLine="0"/>
              <w:jc w:val="left"/>
              <w:rPr>
                <w:b/>
                <w:i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должностные лица Эмитента не являются одновременно должностными лицами аудитора </w:t>
            </w:r>
            <w:r>
              <w:rPr>
                <w:b/>
                <w:i/>
                <w:sz w:val="24"/>
                <w:szCs w:val="24"/>
                <w:highlight w:val="white"/>
              </w:rPr>
            </w:r>
            <w:r>
              <w:rPr>
                <w:b/>
                <w:i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рамках реализации задачи по выявлению конфликтов интересов в деятельности               АО «Россельхозбанк» Банк осуществляет меропр</w:t>
      </w:r>
      <w:r>
        <w:rPr>
          <w:highlight w:val="white"/>
        </w:rPr>
        <w:t xml:space="preserve">иятия текущего мониторинга, контроль принятия мер, предусмотренных Порядком предотвращения конфликтов интересов                      АО «Россельхозбанк» № 538-П, а также реализации Антикоррупционной политики                             АО «Россельхозбанк».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Кроме того, возникновение деловых отношений между АО «Россельхозбан</w:t>
      </w:r>
      <w:r>
        <w:rPr>
          <w:highlight w:val="white"/>
        </w:rPr>
        <w:t xml:space="preserve">к» и независимым аудитором с точки зрения приобретения Банком у последнего товаров, работ, услуг осуществляется только после заключения договора по итогам проведения Банком соответствующей закупочной процедуры в соответствии с требованиями  Федерального за</w:t>
      </w:r>
      <w:r>
        <w:rPr>
          <w:highlight w:val="white"/>
        </w:rPr>
        <w:t xml:space="preserve">кона от 18.07.2011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рамках информирования заинтересованных лиц о нетерпимом отношении к коррупции Банк обеспечивает включение антикоррупционных оговорок в заключаемые договоры (соглашения) на оказание аудиторских услуг.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Ф</w:t>
      </w:r>
      <w:r>
        <w:rPr>
          <w:b/>
          <w:i/>
          <w:highlight w:val="white"/>
        </w:rPr>
        <w:t xml:space="preserve">актический размер </w:t>
      </w:r>
      <w:r>
        <w:rPr>
          <w:b/>
          <w:i/>
          <w:highlight w:val="white"/>
        </w:rPr>
        <w:t xml:space="preserve">вознаграждения, выплаченного эмитентом аудитору эмитента за аудит (проверку), в том числе обязательный, отчетности эмитента за последний завершенный отчетный год, а также за оказание сопутствующих аудиту и прочих связанных с аудиторской деятельностью услу: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78 656 589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13 109 431,50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Размер вознаграждения за оказанные аудитором эмитента услуги, выплата которого от</w:t>
      </w:r>
      <w:r>
        <w:rPr>
          <w:b/>
          <w:i/>
          <w:highlight w:val="white"/>
        </w:rPr>
        <w:t xml:space="preserve">ложена или 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>
        <w:rPr>
          <w:highlight w:val="white"/>
        </w:rPr>
        <w:t xml:space="preserve">Отсутствует.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540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Фактический размер вознаграждения, выплаченного эмитентом и подконтрольными эмитенту организациями, имеющими для него существен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ное значение, указанному аудитору за аудит (проверку), в том числе обязательный, консолидированной финансовой отчетности эмитента за последний завершенный отчетный год, и за оказание сопутствующих аудиту и прочих связанных с аудиторской деятельностью услуг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:</w:t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78 656 589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13 109 431,50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98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Банк не имеет подконтрольных организаций, имеющих для него существенное значение.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98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Описывается порядок выбора аудитора эмитентом: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АО «Россельхозбанк» проводит открытый конкурс </w:t>
      </w:r>
      <w:r>
        <w:rPr>
          <w:highlight w:val="white"/>
        </w:rPr>
        <w:t xml:space="preserve">в электронной форме </w:t>
      </w:r>
      <w:r>
        <w:rPr>
          <w:highlight w:val="white"/>
        </w:rPr>
        <w:t xml:space="preserve">по отбору аудиторской организации для проведения ежегодного аудита </w:t>
      </w:r>
      <w:r>
        <w:rPr>
          <w:highlight w:val="white"/>
        </w:rPr>
        <w:t xml:space="preserve">Э</w:t>
      </w:r>
      <w:r>
        <w:rPr>
          <w:highlight w:val="white"/>
        </w:rPr>
        <w:t xml:space="preserve">митента.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соответствии с Федеральным законом от 30.12.2008 № 307-ФЗ «Об аудиторской деятельности» договор на проведение обязательного аудита бухгалтерской (финансовой) отчетности заключался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результатам проведения открытого конкурса в электронной форме в порядке</w:t>
      </w:r>
      <w:r>
        <w:rPr>
          <w:highlight w:val="white"/>
        </w:rPr>
        <w:t xml:space="preserve">, </w:t>
      </w:r>
      <w:r>
        <w:rPr>
          <w:highlight w:val="white"/>
        </w:rPr>
        <w:t xml:space="preserve">предусмотренном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Не менее, чем за 15 календарных дней до дня проведения </w:t>
      </w:r>
      <w:r>
        <w:rPr>
          <w:highlight w:val="white"/>
        </w:rPr>
        <w:t xml:space="preserve">открытого </w:t>
      </w:r>
      <w:r>
        <w:rPr>
          <w:highlight w:val="white"/>
        </w:rPr>
        <w:t xml:space="preserve">конкурса</w:t>
      </w:r>
      <w:r>
        <w:rPr>
          <w:highlight w:val="white"/>
        </w:rPr>
        <w:t xml:space="preserve"> в электронной форме (далее – конкурс)</w:t>
      </w:r>
      <w:r>
        <w:rPr>
          <w:highlight w:val="white"/>
        </w:rPr>
        <w:t xml:space="preserve">, Эмитент в установленном порядке публикует извещение о проведении конкурса, </w:t>
      </w:r>
      <w:r>
        <w:rPr>
          <w:highlight w:val="white"/>
        </w:rPr>
        <w:t xml:space="preserve">предварительно согласованное с </w:t>
      </w:r>
      <w:r>
        <w:rPr>
          <w:highlight w:val="white"/>
        </w:rPr>
        <w:t xml:space="preserve">Федеральн</w:t>
      </w:r>
      <w:r>
        <w:rPr>
          <w:highlight w:val="white"/>
        </w:rPr>
        <w:t xml:space="preserve">ым</w:t>
      </w:r>
      <w:r>
        <w:rPr>
          <w:highlight w:val="white"/>
        </w:rPr>
        <w:t xml:space="preserve"> агентств</w:t>
      </w:r>
      <w:r>
        <w:rPr>
          <w:highlight w:val="white"/>
        </w:rPr>
        <w:t xml:space="preserve">ом</w:t>
      </w:r>
      <w:r>
        <w:rPr>
          <w:highlight w:val="white"/>
        </w:rPr>
        <w:t xml:space="preserve"> по управлению государственным имуществом (далее – Росимущество)</w:t>
      </w:r>
      <w:r>
        <w:rPr>
          <w:rStyle w:val="1264"/>
          <w:highlight w:val="white"/>
        </w:rPr>
        <w:footnoteReference w:id="15"/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котором указываются основные условия проведения конкурса.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Выбранная по итогам открытого конкурса аудиторская организация последовательно согласовывается Правлением, Наблюдательным советом Банка и </w:t>
      </w:r>
      <w:r>
        <w:rPr>
          <w:highlight w:val="white"/>
        </w:rPr>
        <w:t xml:space="preserve">выносится на утверждение годового общего собрания</w:t>
      </w:r>
      <w:r>
        <w:rPr>
          <w:highlight w:val="white"/>
        </w:rPr>
        <w:t xml:space="preserve"> акционеров Банка (в соответствии с п. 101 Устава Банка и п. 3.3, 3.6 Положения о Комитете по аудиту Наблюдательного совета Банка, утвержденного Наблюдательным советом Банка (протокол от 27.06.2017 № 11).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30 июня 2022 года ООО «ЦАТР – аудиторские услуги» утвержден аудитором </w:t>
      </w:r>
      <w:r>
        <w:rPr>
          <w:highlight w:val="white"/>
        </w:rPr>
        <w:br/>
        <w:t xml:space="preserve">АО «Россельхозбанк» для проведения обязательной ежегодной аудиторской проверки за 2022 год (Распоряжение Росимущества от 30.06.2022 № 344-р).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30 июня 2023 года ООО «ЦАТР – аудиторские услуги» утвержден аудитором </w:t>
      </w:r>
      <w:r>
        <w:rPr>
          <w:highlight w:val="white"/>
        </w:rPr>
        <w:br/>
        <w:t xml:space="preserve">АО «Россельхозбанк» для проведения обязательной ежегодной аудиторской проверки за 2023 год (Распоряжение Росимущества от 30.06.2023 № 828-р).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28 июня 2024 года ООО «ЦАТР – аудиторские услуги» утвержден аудитором </w:t>
      </w:r>
      <w:r>
        <w:rPr>
          <w:highlight w:val="white"/>
        </w:rPr>
        <w:br/>
        <w:t xml:space="preserve">АО «Россельхозбанк» для проведения обязательной ежегодной аудиторской проверки за 202</w:t>
      </w:r>
      <w:r>
        <w:rPr>
          <w:highlight w:val="white"/>
        </w:rPr>
        <w:t xml:space="preserve">4</w:t>
      </w:r>
      <w:r>
        <w:rPr>
          <w:highlight w:val="white"/>
        </w:rPr>
        <w:t xml:space="preserve"> год (Распоряжение Росимущества от 28.06.2024 № 1586-р).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30 июня 2025 года ООО «ЦАТР – аудиторские услуги» утвержден аудитором </w:t>
      </w:r>
      <w:r>
        <w:rPr>
          <w:highlight w:val="white"/>
        </w:rPr>
        <w:br/>
        <w:t xml:space="preserve">АО «Россельхозбанк» для проведения обязательной ежегодной аудиторской проверки за 2025</w:t>
      </w:r>
      <w:r>
        <w:rPr>
          <w:highlight w:val="white"/>
        </w:rPr>
        <w:t xml:space="preserve"> год (Распоряжение Росимущества от 30.06.2025 № 1279-р).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5.10. Иная информация об эмитенте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Иная информация отсутствует.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/>
          <w:iCs/>
          <w:highlight w:val="white"/>
        </w:rPr>
        <w:br w:type="page" w:clear="all"/>
      </w:r>
      <w:r>
        <w:rPr>
          <w:b/>
          <w:bCs/>
          <w:iCs/>
          <w:highlight w:val="white"/>
        </w:rPr>
        <w:t xml:space="preserve">Раздел 6. Консолидированная финансовая отчетность (финансовая отчетность), бухгалтерская (финансовая) отчетность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6.1. Консолидированная финансовая отчетность (финансовая отчетность)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Г</w:t>
      </w:r>
      <w:r>
        <w:rPr>
          <w:b/>
          <w:bCs/>
          <w:i/>
          <w:iCs/>
          <w:highlight w:val="white"/>
        </w:rPr>
        <w:t xml:space="preserve">одовая консолидированная финансовая отчетность (финансовая отчетность) эмитента за три последних завершенных отчетных года</w:t>
      </w:r>
      <w:r>
        <w:rPr>
          <w:b/>
          <w:bCs/>
          <w:i/>
          <w:iCs/>
          <w:highlight w:val="white"/>
        </w:rPr>
        <w:t xml:space="preserve">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tbl>
      <w:tblPr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3"/>
        <w:gridCol w:w="3830"/>
      </w:tblGrid>
      <w:tr>
        <w:trPr>
          <w:jc w:val="center"/>
        </w:trPr>
        <w:tblPrEx/>
        <w:tc>
          <w:tcPr>
            <w:tcW w:w="56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83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Ссылка/Приложение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69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83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консолидированной финансовой отчетности Акционерного общества «Российский Сельскохозяйственный банк» и его дочерних организаций за 2022 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830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соответствии </w:t>
            </w:r>
            <w:r>
              <w:rPr>
                <w:highlight w:val="white"/>
              </w:rPr>
              <w:t xml:space="preserve">с абзацем 12 пункта 1 </w:t>
            </w:r>
            <w:r>
              <w:rPr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24.12.2024              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highlight w:val="white"/>
              </w:rPr>
              <w:t xml:space="preserve">П</w:t>
            </w:r>
            <w:r>
              <w:rPr>
                <w:highlight w:val="white"/>
              </w:rPr>
              <w:t xml:space="preserve">риложение 1 к Проспекту </w:t>
            </w:r>
            <w:r>
              <w:rPr>
                <w:highlight w:val="white"/>
              </w:rPr>
              <w:t xml:space="preserve">не раскрывается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Консолидированный отчет о финансовом положении по состоянию на 31 декабря 2022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935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575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прибылях и убытках и прочем совокупном доходе за год, закончившийся 31 декабря 2022 г.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373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об изменениях капитала за год, закончившийся  31 декабря 2022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1.5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8"/>
            </w:tblGrid>
            <w:tr>
              <w:trPr>
                <w:trHeight w:val="423"/>
              </w:trPr>
              <w:tblPrEx/>
              <w:tc>
                <w:tcPr>
                  <w:tcW w:w="5278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движении денежных средств за год, закончившийся 31 декабря 2022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0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1.6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Примечания к консолидированной финансовой отчетности – 31 декабря 2022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консолидированной финансовой отчетности Акционерного общества «Российский Сельскохозяйственный банк» и его д</w:t>
            </w:r>
            <w:r>
              <w:rPr>
                <w:b/>
                <w:highlight w:val="white"/>
              </w:rPr>
              <w:t xml:space="preserve">очерних организаций за 2023 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/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2.1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2.2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Консолидированный отчет о финансовом положении по состоянию на 31 декабря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2.3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575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прибылях и убытках и прочем совокупном доходе за год, закончившийся 31 декабря 202</w:t>
                  </w:r>
                  <w:r>
                    <w:rPr>
                      <w:i/>
                      <w:highlight w:val="white"/>
                    </w:rPr>
                    <w:t xml:space="preserve">3</w:t>
                  </w:r>
                  <w:r>
                    <w:rPr>
                      <w:i/>
                      <w:highlight w:val="white"/>
                    </w:rPr>
                    <w:t xml:space="preserve"> г.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2.4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373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об изменениях капитала за год, закончившийся  31 декабря 202</w:t>
                  </w:r>
                  <w:r>
                    <w:rPr>
                      <w:i/>
                      <w:highlight w:val="white"/>
                    </w:rPr>
                    <w:t xml:space="preserve">3</w:t>
                  </w:r>
                  <w:r>
                    <w:rPr>
                      <w:i/>
                      <w:highlight w:val="white"/>
                    </w:rPr>
                    <w:t xml:space="preserve">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2.5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8"/>
            </w:tblGrid>
            <w:tr>
              <w:trPr>
                <w:trHeight w:val="423"/>
              </w:trPr>
              <w:tblPrEx/>
              <w:tc>
                <w:tcPr>
                  <w:tcW w:w="5278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движении денежных средств за год, закончившийся 31 декабря 202</w:t>
                  </w:r>
                  <w:r>
                    <w:rPr>
                      <w:i/>
                      <w:highlight w:val="white"/>
                    </w:rPr>
                    <w:t xml:space="preserve">3</w:t>
                  </w:r>
                  <w:r>
                    <w:rPr>
                      <w:i/>
                      <w:highlight w:val="white"/>
                    </w:rPr>
                    <w:t xml:space="preserve">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2.6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Примечания к консолидированной финансовой отчетности – 31 декабря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консолидированной финансовой отчетности Акционерного общества «Российский Сельскохозяйственный банк» и </w:t>
            </w:r>
            <w:r>
              <w:rPr>
                <w:b/>
                <w:highlight w:val="white"/>
              </w:rPr>
              <w:t xml:space="preserve">его дочерних организаций за 2024</w:t>
            </w:r>
            <w:r>
              <w:rPr>
                <w:b/>
                <w:highlight w:val="white"/>
              </w:rPr>
              <w:t xml:space="preserve"> 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/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3.1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3.2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Консолидированный отчет о финансовом положении по состоянию на 31 декабря 2024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3.3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575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прибылях и убытках и прочем совокупном доходе за год, закончившийся 31 декабря 2024</w:t>
                  </w:r>
                  <w:r>
                    <w:rPr>
                      <w:i/>
                      <w:highlight w:val="white"/>
                    </w:rPr>
                    <w:t xml:space="preserve"> г.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3.4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0"/>
            </w:tblGrid>
            <w:tr>
              <w:trPr>
                <w:trHeight w:val="373"/>
              </w:trPr>
              <w:tblPrEx/>
              <w:tc>
                <w:tcPr>
                  <w:tcW w:w="5420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об изменениях капитала за год, закончившийся  31 декабря 2024</w:t>
                  </w:r>
                  <w:r>
                    <w:rPr>
                      <w:i/>
                      <w:highlight w:val="white"/>
                    </w:rPr>
                    <w:t xml:space="preserve">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3.5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8"/>
            </w:tblGrid>
            <w:tr>
              <w:trPr>
                <w:trHeight w:val="423"/>
              </w:trPr>
              <w:tblPrEx/>
              <w:tc>
                <w:tcPr>
                  <w:tcW w:w="5278" w:type="dxa"/>
                  <w:noWrap w:val="false"/>
                  <w:textDirection w:val="lrTb"/>
                </w:tcPr>
                <w:p>
                  <w:pPr>
                    <w:ind w:left="-120"/>
                    <w:jc w:val="both"/>
                    <w:rPr>
                      <w:i/>
                      <w:highlight w:val="white"/>
                    </w:rPr>
                  </w:pPr>
                  <w:r>
                    <w:rPr>
                      <w:i/>
                      <w:highlight w:val="white"/>
                    </w:rPr>
                    <w:t xml:space="preserve">Консолидированный отчет о движении денежных средств за год, закончившийся 31 декабря 2024</w:t>
                  </w:r>
                  <w:r>
                    <w:rPr>
                      <w:i/>
                      <w:highlight w:val="white"/>
                    </w:rPr>
                    <w:t xml:space="preserve"> г. </w:t>
                  </w:r>
                  <w:r>
                    <w:rPr>
                      <w:i/>
                      <w:highlight w:val="white"/>
                    </w:rPr>
                  </w:r>
                  <w:r>
                    <w:rPr>
                      <w:i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138"/>
        </w:trPr>
        <w:tblPrEx/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3.6</w:t>
            </w:r>
            <w:r>
              <w:rPr>
                <w:highlight w:val="white"/>
              </w:rPr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Примечания к консолидированной финансовой отчетности – 31 декабря 2024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3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i/>
          <w:highlight w:val="white"/>
        </w:rPr>
        <w:t xml:space="preserve">На сайте Банка и на странице в сети Интернет раскрыта </w:t>
      </w:r>
      <w:r>
        <w:rPr>
          <w:b/>
          <w:i/>
          <w:highlight w:val="white"/>
        </w:rPr>
        <w:t xml:space="preserve">Обобщенная консолидированная финансовая отчетность</w:t>
      </w:r>
      <w:r>
        <w:rPr>
          <w:b/>
          <w:i/>
          <w:highlight w:val="white"/>
        </w:rPr>
        <w:t xml:space="preserve"> за 2022-2024 годы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61"/>
        <w:gridCol w:w="3935"/>
      </w:tblGrid>
      <w:tr>
        <w:trPr>
          <w:jc w:val="center"/>
          <w:trHeight w:val="564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Ссылка на страницу в сети «Интернет»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780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Обобщенная консолидированная финансовая отчетность Акционерного общества «Российский Сельскохозяйственный банк» и его дочерних организаций за 2022 год и аудиторское заключение независимого аудитора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35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highlight w:val="white"/>
              </w:rPr>
            </w:r>
            <w:hyperlink r:id="rId43" w:tooltip="https://www.e-disclosure.ru/portal/files.aspx?id=3207&amp;type=4" w:history="1">
              <w:r>
                <w:rPr>
                  <w:rStyle w:val="1219"/>
                  <w:highlight w:val="white"/>
                </w:rPr>
                <w:t xml:space="preserve">https://www.e-disclosure.ru/portal/files.aspx?id=3207&amp;type=4</w:t>
              </w:r>
            </w:hyperlink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https://www.rshb.ru/investors/msfo/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587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финансовом положении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прибылях и убытках и прочем совокупном доходе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84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об изменениях капитала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1.5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Примечания к обобщенной консолидированной финансовой отчетности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Обобщенная консолидированная финансовая отчетность Акционерного общества «Российский Сельскохозяйственный банк» и его дочерних организаций за 202</w:t>
            </w:r>
            <w:r>
              <w:rPr>
                <w:b/>
                <w:highlight w:val="white"/>
              </w:rPr>
              <w:t xml:space="preserve">3</w:t>
            </w:r>
            <w:r>
              <w:rPr>
                <w:b/>
                <w:highlight w:val="white"/>
              </w:rPr>
              <w:t xml:space="preserve"> год и аудиторское заключение независимого аудитора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35" w:type="dxa"/>
            <w:vMerge w:val="restart"/>
            <w:noWrap w:val="false"/>
            <w:textDirection w:val="lrTb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highlight w:val="white"/>
              </w:rPr>
            </w:r>
            <w:hyperlink r:id="rId44" w:tooltip="https://www.e-disclosure.ru/portal/files.aspx?id=3207&amp;type=4" w:history="1">
              <w:r>
                <w:rPr>
                  <w:rStyle w:val="1219"/>
                  <w:highlight w:val="white"/>
                </w:rPr>
                <w:t xml:space="preserve">https://www.e-disclosure.ru/portal/files.aspx?id=3207&amp;type=4</w:t>
              </w:r>
            </w:hyperlink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https://www.rshb.ru/investors/msfo/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.2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финансовом положении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.3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прибылях и убытках и прочем совокупном доходе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.4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об изменениях капитала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523"/>
        </w:trPr>
        <w:tblPrEx/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.5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Примечания к обобщенной консолидированной финансовой отчетности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131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Обобщенная консолидированная финансовая отчетность Акционерного общества «Российский Сельскохозяйственный банк» и его дочерних организаций за 202</w:t>
            </w: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  <w:t xml:space="preserve"> год и аудиторское заключение независимого аудитора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35" w:type="dxa"/>
            <w:vMerge w:val="restart"/>
            <w:noWrap w:val="false"/>
            <w:textDirection w:val="lrTb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highlight w:val="white"/>
              </w:rPr>
            </w:r>
            <w:hyperlink r:id="rId45" w:tooltip="https://www.e-disclosure.ru/portal/files.aspx?id=3207&amp;type=4" w:history="1">
              <w:r>
                <w:rPr>
                  <w:rStyle w:val="1219"/>
                  <w:highlight w:val="white"/>
                </w:rPr>
                <w:t xml:space="preserve">https://www.e-disclosure.ru/portal/files.aspx?id=3207&amp;type=4</w:t>
              </w:r>
            </w:hyperlink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https://www.rshb.ru/investors/msfo/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5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159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.2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финансовом положении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13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.3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 прибылях и убытках и прочем совокупном доходе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127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.4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Обобщенный консолидированный отчет об изменениях капитала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111"/>
        </w:trPr>
        <w:tblPrEx/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.5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Примечания к обобщенной консолидированной финансовой отчетности 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firstLine="540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540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П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ромежуточная консолидированная финансовая отчетность (финансовая отчетность) эмитента за отчетный период, состоящий из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3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месяц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а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2025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года:</w:t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8"/>
        <w:gridCol w:w="5868"/>
        <w:gridCol w:w="3827"/>
      </w:tblGrid>
      <w:tr>
        <w:trPr>
          <w:jc w:val="center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Ссылка/Приложение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691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Проме</w:t>
            </w:r>
            <w:r>
              <w:rPr>
                <w:b/>
                <w:highlight w:val="white"/>
              </w:rPr>
              <w:t xml:space="preserve">жуточная финансовая информация </w:t>
            </w:r>
            <w:r>
              <w:rPr>
                <w:b/>
                <w:highlight w:val="white"/>
              </w:rPr>
              <w:t xml:space="preserve">Акционерного общества «Российский Сельскохозяйственный банк» и его дочерних организаций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за </w:t>
            </w:r>
            <w:r>
              <w:rPr>
                <w:b/>
                <w:highlight w:val="white"/>
              </w:rPr>
              <w:t xml:space="preserve">три</w:t>
            </w:r>
            <w:r>
              <w:rPr>
                <w:b/>
                <w:highlight w:val="white"/>
              </w:rPr>
              <w:t xml:space="preserve"> месяц</w:t>
            </w:r>
            <w:r>
              <w:rPr>
                <w:b/>
                <w:highlight w:val="white"/>
              </w:rPr>
              <w:t xml:space="preserve">а</w:t>
            </w:r>
            <w:r>
              <w:rPr>
                <w:b/>
                <w:highlight w:val="white"/>
              </w:rPr>
              <w:t xml:space="preserve">, закончившихся </w:t>
            </w:r>
            <w:r>
              <w:rPr>
                <w:b/>
                <w:highlight w:val="white"/>
              </w:rPr>
              <w:t xml:space="preserve">31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марта </w:t>
            </w:r>
            <w:r>
              <w:rPr>
                <w:b/>
                <w:highlight w:val="white"/>
              </w:rPr>
              <w:t xml:space="preserve">2025 г. и заключение по результатам обзорной проверки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827" w:type="dxa"/>
            <w:vMerge w:val="restart"/>
            <w:noWrap w:val="false"/>
            <w:textDirection w:val="lrTb"/>
            <w:vAlign w:val="center"/>
          </w:tcPr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  <w:t xml:space="preserve">В соответствии </w:t>
            </w:r>
            <w:r>
              <w:rPr>
                <w:color w:val="000000"/>
                <w:highlight w:val="white"/>
              </w:rPr>
              <w:t xml:space="preserve">с абзацем 12 пункта 1 </w:t>
            </w:r>
            <w:r>
              <w:rPr>
                <w:color w:val="000000"/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color w:val="000000"/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color w:val="000000"/>
                <w:highlight w:val="white"/>
              </w:rPr>
              <w:t xml:space="preserve">от </w:t>
            </w:r>
            <w:r>
              <w:rPr>
                <w:color w:val="000000"/>
                <w:highlight w:val="white"/>
              </w:rPr>
              <w:t xml:space="preserve">24.12.2024            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color w:val="000000"/>
                <w:highlight w:val="white"/>
              </w:rPr>
              <w:t xml:space="preserve">П</w:t>
            </w:r>
            <w:r>
              <w:rPr>
                <w:color w:val="000000"/>
                <w:highlight w:val="white"/>
              </w:rPr>
              <w:t xml:space="preserve">риложение 2 к Проспекту </w:t>
            </w:r>
            <w:r>
              <w:rPr>
                <w:color w:val="000000"/>
                <w:highlight w:val="white"/>
              </w:rPr>
              <w:t xml:space="preserve">не раскрывается</w:t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Заключение по результатам обзорной проверки промежуточной финансовой информации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Промежуточный консолидированный отчет о финансовом положении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Промежуточный консолидированный отчет о прибылях и убытках и прочем совокупном доходе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Промежуточный консолидированный отчет об изменениях капитала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1.5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Промежуточный консолидированный отчет о движении денежных средств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55"/>
        </w:trPr>
        <w:tblPrEx/>
        <w:tc>
          <w:tcPr>
            <w:tcW w:w="64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1.6</w:t>
            </w:r>
            <w:r>
              <w:rPr>
                <w:highlight w:val="white"/>
              </w:rPr>
            </w:r>
          </w:p>
        </w:tc>
        <w:tc>
          <w:tcPr>
            <w:tcW w:w="5868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Отдельные примечания к  промежуточной сокращенной консолидированной финансовой отчетности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827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ind w:firstLine="540"/>
        <w:jc w:val="both"/>
        <w:rPr>
          <w:rFonts w:eastAsiaTheme="minorHAnsi"/>
          <w:bCs/>
          <w:iCs/>
          <w:highlight w:val="white"/>
        </w:rPr>
      </w:pPr>
      <w:r>
        <w:rPr>
          <w:rFonts w:eastAsiaTheme="minorHAnsi"/>
          <w:bCs/>
          <w:iCs/>
          <w:highlight w:val="white"/>
          <w:lang w:eastAsia="en-US"/>
        </w:rPr>
      </w:r>
      <w:r>
        <w:rPr>
          <w:rFonts w:eastAsiaTheme="minorHAnsi"/>
          <w:bCs/>
          <w:iCs/>
          <w:highlight w:val="white"/>
          <w:lang w:eastAsia="en-US"/>
        </w:rPr>
      </w:r>
      <w:r>
        <w:rPr>
          <w:rFonts w:eastAsiaTheme="minorHAnsi"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i/>
          <w:highlight w:val="white"/>
        </w:rPr>
        <w:t xml:space="preserve">На сайте Банка и на странице в сети Интернет р</w:t>
      </w:r>
      <w:r>
        <w:rPr>
          <w:b/>
          <w:i/>
          <w:highlight w:val="white"/>
        </w:rPr>
        <w:t xml:space="preserve">аскрыта </w:t>
      </w:r>
      <w:r>
        <w:rPr>
          <w:b/>
          <w:bCs/>
          <w:i/>
          <w:iCs/>
          <w:highlight w:val="white"/>
        </w:rPr>
        <w:t xml:space="preserve">Промежуточная раскрываемая консолидированная финансовая информация</w:t>
      </w:r>
      <w:r>
        <w:rPr>
          <w:b/>
          <w:bCs/>
          <w:i/>
          <w:iCs/>
          <w:highlight w:val="white"/>
        </w:rPr>
        <w:t xml:space="preserve"> эмитента за отчетный период, состоящий из</w:t>
      </w:r>
      <w:r>
        <w:rPr>
          <w:b/>
          <w:bCs/>
          <w:i/>
          <w:iCs/>
          <w:highlight w:val="white"/>
        </w:rPr>
        <w:t xml:space="preserve"> 3</w:t>
      </w:r>
      <w:r>
        <w:rPr>
          <w:b/>
          <w:bCs/>
          <w:i/>
          <w:iCs/>
          <w:highlight w:val="white"/>
        </w:rPr>
        <w:t xml:space="preserve"> месяц</w:t>
      </w:r>
      <w:r>
        <w:rPr>
          <w:b/>
          <w:bCs/>
          <w:i/>
          <w:iCs/>
          <w:highlight w:val="white"/>
        </w:rPr>
        <w:t xml:space="preserve">ев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</w:rPr>
        <w:t xml:space="preserve">2025</w:t>
      </w:r>
      <w:r>
        <w:rPr>
          <w:b/>
          <w:bCs/>
          <w:i/>
          <w:iCs/>
          <w:highlight w:val="white"/>
        </w:rPr>
        <w:t xml:space="preserve"> года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61"/>
        <w:gridCol w:w="3935"/>
      </w:tblGrid>
      <w:tr>
        <w:trPr>
          <w:jc w:val="center"/>
          <w:trHeight w:val="564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Ссылка на страницу в сети «Интернет»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93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780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Обобщенная промежуточная консолидированная финансовая информация Акционерного общества «Российский Сельскохозяйственный банк» и его дочерних организаций за три месяца, закончившихся 31 марта 2025 г. и заключение по результатам обзорной проверки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35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highlight w:val="white"/>
              </w:rPr>
            </w:r>
            <w:hyperlink r:id="rId46" w:tooltip="https://www.e-disclosure.ru/portal/files.aspx?id=3207&amp;type=4" w:history="1">
              <w:r>
                <w:rPr>
                  <w:rStyle w:val="1219"/>
                  <w:highlight w:val="white"/>
                </w:rPr>
                <w:t xml:space="preserve">https://www.e-disclosure.ru/portal/files.aspx?id=3207&amp;type=4</w:t>
              </w:r>
            </w:hyperlink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https://www.rshb.ru/investors/msfo/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jc w:val="center"/>
          <w:trHeight w:val="527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Заключение по результатам обзорной проверки обобщенной промежуточной консолидированной финансовой информации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451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Обобщенный промежуточный консолидированный отчет о финансовом положении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Обобщенный промежуточный консолидированный отчет о прибылях и убытках и прочем совокупном доходе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jc w:val="center"/>
          <w:trHeight w:val="84"/>
        </w:trPr>
        <w:tblPrEx/>
        <w:tc>
          <w:tcPr>
            <w:tcW w:w="710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Отдельные примечания к обобщенной промежуточной консолидированной финансовой отчетности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935" w:type="dxa"/>
            <w:vMerge w:val="continue"/>
            <w:noWrap w:val="false"/>
            <w:textDirection w:val="lrTb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firstLine="540"/>
        <w:jc w:val="both"/>
        <w:rPr>
          <w:rFonts w:eastAsiaTheme="minorHAnsi"/>
          <w:bCs/>
          <w:iCs/>
          <w:highlight w:val="white"/>
        </w:rPr>
      </w:pPr>
      <w:r>
        <w:rPr>
          <w:rFonts w:eastAsiaTheme="minorHAnsi"/>
          <w:bCs/>
          <w:iCs/>
          <w:highlight w:val="white"/>
          <w:lang w:eastAsia="en-US"/>
        </w:rPr>
      </w:r>
      <w:r>
        <w:rPr>
          <w:rFonts w:eastAsiaTheme="minorHAnsi"/>
          <w:bCs/>
          <w:iCs/>
          <w:highlight w:val="white"/>
          <w:lang w:eastAsia="en-US"/>
        </w:rPr>
      </w:r>
      <w:r>
        <w:rPr>
          <w:rFonts w:eastAsiaTheme="minorHAnsi"/>
          <w:bCs/>
          <w:iCs/>
          <w:highlight w:val="white"/>
        </w:rPr>
      </w:r>
    </w:p>
    <w:p>
      <w:pPr>
        <w:ind w:firstLine="540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Промежуточная консолидированная финансовая отчетность (финансовая отчетность) эмитента за отчетный период, состоящий из 6 месяцев 2025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года:</w:t>
      </w:r>
      <w:r>
        <w:rPr>
          <w:rFonts w:eastAsiaTheme="minorHAnsi"/>
          <w:b/>
          <w:bCs/>
          <w:i/>
          <w:iCs/>
          <w:highlight w:val="white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rFonts w:eastAsiaTheme="minorHAnsi"/>
          <w:bCs/>
          <w:iCs/>
          <w:highlight w:val="white"/>
          <w:lang w:eastAsia="en-US"/>
        </w:rPr>
        <w:t xml:space="preserve">Не приводится, </w:t>
      </w:r>
      <w:r>
        <w:rPr>
          <w:rFonts w:eastAsiaTheme="minorHAnsi"/>
          <w:bCs/>
          <w:iCs/>
          <w:highlight w:val="white"/>
          <w:lang w:eastAsia="en-US"/>
        </w:rPr>
        <w:t xml:space="preserve">срок составления отчетности не наступил.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Промежуточная консолидированная финансовая отчетность (финансовая отчетность) эмитента за отчетный период, состоящий из </w:t>
      </w:r>
      <w:r>
        <w:rPr>
          <w:b/>
          <w:bCs/>
          <w:i/>
          <w:iCs/>
          <w:highlight w:val="white"/>
        </w:rPr>
        <w:t xml:space="preserve">9</w:t>
      </w:r>
      <w:r>
        <w:rPr>
          <w:b/>
          <w:bCs/>
          <w:i/>
          <w:iCs/>
          <w:highlight w:val="white"/>
        </w:rPr>
        <w:t xml:space="preserve"> месяц</w:t>
      </w:r>
      <w:r>
        <w:rPr>
          <w:b/>
          <w:bCs/>
          <w:i/>
          <w:iCs/>
          <w:highlight w:val="white"/>
        </w:rPr>
        <w:t xml:space="preserve">ев</w:t>
      </w:r>
      <w:r>
        <w:rPr>
          <w:b/>
          <w:bCs/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</w:rPr>
        <w:t xml:space="preserve">2025</w:t>
      </w:r>
      <w:r>
        <w:rPr>
          <w:b/>
          <w:bCs/>
          <w:i/>
          <w:iCs/>
          <w:highlight w:val="white"/>
        </w:rPr>
        <w:t xml:space="preserve"> года: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rFonts w:eastAsiaTheme="minorHAnsi"/>
          <w:bCs/>
          <w:iCs/>
          <w:highlight w:val="white"/>
          <w:lang w:eastAsia="en-US"/>
        </w:rPr>
        <w:t xml:space="preserve">Не приводится, </w:t>
      </w:r>
      <w:r>
        <w:rPr>
          <w:rFonts w:eastAsiaTheme="minorHAnsi"/>
          <w:bCs/>
          <w:iCs/>
          <w:highlight w:val="white"/>
          <w:lang w:eastAsia="en-US"/>
        </w:rPr>
        <w:t xml:space="preserve">срок составления отчетности не наступил.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6.2. Бухгалтерская (финансовая) отчетность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Г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одовая бухгалтерская (финансовая) отчетность за 3 последних завершенных отчетных года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:</w:t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402"/>
      </w:tblGrid>
      <w:tr>
        <w:trPr>
          <w:jc w:val="center"/>
        </w:trPr>
        <w:tblPrEx/>
        <w:tc>
          <w:tcPr>
            <w:tcW w:w="84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Ссылка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84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000"/>
        </w:trPr>
        <w:tblPrEx/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годовой бухгалтерской (финансовой) отчетности Акционерного общества «Российский Сельскохозяйственный банк» за 202</w:t>
            </w:r>
            <w:r>
              <w:rPr>
                <w:b/>
                <w:highlight w:val="white"/>
              </w:rPr>
              <w:t xml:space="preserve">1 </w:t>
            </w:r>
            <w:r>
              <w:rPr>
                <w:b/>
                <w:highlight w:val="white"/>
              </w:rPr>
              <w:t xml:space="preserve">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  <w:vAlign w:val="center"/>
          </w:tcPr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  <w:t xml:space="preserve">В соответствии </w:t>
            </w:r>
            <w:r>
              <w:rPr>
                <w:color w:val="000000"/>
                <w:highlight w:val="white"/>
              </w:rPr>
              <w:t xml:space="preserve">с абзацем 12 пункта 1 </w:t>
            </w:r>
            <w:r>
              <w:rPr>
                <w:color w:val="000000"/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color w:val="000000"/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color w:val="000000"/>
                <w:highlight w:val="white"/>
              </w:rPr>
              <w:t xml:space="preserve">от </w:t>
            </w:r>
            <w:r>
              <w:rPr>
                <w:color w:val="000000"/>
                <w:highlight w:val="white"/>
              </w:rPr>
              <w:t xml:space="preserve">24.12.2024            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color w:val="000000"/>
                <w:highlight w:val="white"/>
              </w:rPr>
              <w:t xml:space="preserve">П</w:t>
            </w:r>
            <w:r>
              <w:rPr>
                <w:color w:val="000000"/>
                <w:highlight w:val="white"/>
              </w:rPr>
              <w:t xml:space="preserve">риложение 3 к Проспекту </w:t>
            </w:r>
            <w:r>
              <w:rPr>
                <w:color w:val="000000"/>
                <w:highlight w:val="white"/>
              </w:rPr>
              <w:t xml:space="preserve">не раскрывается</w:t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2022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2022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           1 января 2023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1.5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2023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1.6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показателе финансового рычага и нормативе краткосрочной ликвидности  (публикуемая форма) по состоянию на          1 января 2023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1.7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движении денежных средств (публикуемая форма) по состоянию на          1 января 2023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1.8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Пояснения к годовой бухгалтерской (финансовой) отчетности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82"/>
        </w:trPr>
        <w:tblPrEx/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годовой бухгалтерской (финансовой) отчетности Акционерного общества «Российский Сельскохозяйственный банк» за 2023</w:t>
            </w:r>
            <w:r>
              <w:rPr>
                <w:b/>
                <w:highlight w:val="white"/>
              </w:rPr>
              <w:t xml:space="preserve"> 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  <w:vAlign w:val="center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2.1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2.2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2.3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2.4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          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2.5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2.6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показателе финансового рычага и нормативе краткосрочной ликвидности  (публикуемая форма) по состоянию на         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2.7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движении денежных средств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2.8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Пояснения к годовой бухгалтерской (финансовой) отчетности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39"/>
        </w:trPr>
        <w:tblPrEx/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годовой бухгалтерской (финансовой) отчетности Акционерного общества «Российский Сельскохозяйственный банк» за 2024</w:t>
            </w:r>
            <w:r>
              <w:rPr>
                <w:b/>
                <w:highlight w:val="white"/>
              </w:rPr>
              <w:t xml:space="preserve"> год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402" w:type="dxa"/>
            <w:vMerge w:val="continue"/>
            <w:tcBorders>
              <w:top w:val="none" w:color="000000" w:sz="4" w:space="0"/>
            </w:tcBorders>
            <w:noWrap w:val="false"/>
            <w:textDirection w:val="lrTb"/>
            <w:vAlign w:val="center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3.1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3.2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2024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3.3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2024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3.4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           1 января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3.5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3.6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показателе финансового рычага и нормативе краткосрочной ликвидности  (публикуемая форма) по состоянию на          1 января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3.7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движении денежных средств (публикуемая форма) по состоянию на 1 января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/>
        </w:tc>
      </w:tr>
      <w:tr>
        <w:trPr>
          <w:jc w:val="center"/>
          <w:trHeight w:val="105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3.8</w:t>
            </w:r>
            <w:r>
              <w:rPr>
                <w:highlight w:val="white"/>
              </w:rPr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Пояснения к годовой бухгалтерской (финансовой) отчетности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</w:tbl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i/>
          <w:highlight w:val="white"/>
        </w:rPr>
        <w:t xml:space="preserve">На сайте Банка и на странице в сети Интернет раскрыта Бухгалтерская (финансовая) отчетность </w:t>
      </w:r>
      <w:r>
        <w:rPr>
          <w:b/>
          <w:i/>
          <w:highlight w:val="white"/>
        </w:rPr>
        <w:t xml:space="preserve">за</w:t>
      </w:r>
      <w:r>
        <w:rPr>
          <w:b/>
          <w:i/>
          <w:highlight w:val="white"/>
        </w:rPr>
        <w:t xml:space="preserve"> 2022-</w:t>
      </w:r>
      <w:r>
        <w:rPr>
          <w:b/>
          <w:i/>
          <w:highlight w:val="white"/>
        </w:rPr>
        <w:t xml:space="preserve">2024</w:t>
      </w:r>
      <w:r>
        <w:rPr>
          <w:b/>
          <w:i/>
          <w:highlight w:val="white"/>
        </w:rPr>
        <w:t xml:space="preserve"> год</w:t>
      </w:r>
      <w:r>
        <w:rPr>
          <w:b/>
          <w:i/>
          <w:highlight w:val="white"/>
        </w:rPr>
        <w:t xml:space="preserve">ы</w:t>
      </w:r>
      <w:r>
        <w:rPr>
          <w:b/>
          <w:i/>
          <w:highlight w:val="white"/>
        </w:rPr>
        <w:t xml:space="preserve"> с изъятиями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68"/>
        <w:gridCol w:w="3783"/>
      </w:tblGrid>
      <w:tr>
        <w:trPr>
          <w:jc w:val="center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783" w:type="dxa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Ссылка на страницу в сети «Интернет»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78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537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</w:t>
            </w:r>
            <w:r>
              <w:rPr>
                <w:b/>
                <w:highlight w:val="white"/>
              </w:rPr>
              <w:t xml:space="preserve"> публикуемой</w:t>
            </w:r>
            <w:r>
              <w:rPr>
                <w:b/>
                <w:highlight w:val="white"/>
              </w:rPr>
              <w:t xml:space="preserve"> отчетности Акционерного общества «Российский Сельскохозяйственный банк» за 2022 год</w:t>
            </w: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highlight w:val="white"/>
              </w:rPr>
            </w:r>
          </w:p>
        </w:tc>
        <w:tc>
          <w:tcPr>
            <w:tcW w:w="3783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https://www.e-disclosure.ru/portal/files.aspx?id=3207&amp;type=3</w:t>
            </w:r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hyperlink r:id="rId47" w:tooltip="https://www.rshb.ru/investors/reports_year/" w:history="1">
              <w:r>
                <w:rPr>
                  <w:rStyle w:val="1219"/>
                  <w:highlight w:val="white"/>
                </w:rPr>
                <w:t xml:space="preserve">https://www.rshb.ru/investors/reports_year/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300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</w:t>
            </w: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70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1.3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</w:t>
            </w: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22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1.4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71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1.5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1076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1.6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</w:t>
            </w:r>
            <w:r>
              <w:rPr>
                <w:i/>
                <w:highlight w:val="white"/>
              </w:rPr>
              <w:t xml:space="preserve">нормативе</w:t>
            </w:r>
            <w:r>
              <w:rPr>
                <w:i/>
                <w:highlight w:val="white"/>
              </w:rPr>
              <w:t xml:space="preserve"> финансового рычага и нормативе краткосрочной ликвидности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1.7.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Примечание. Принципы сос</w:t>
            </w:r>
            <w:r>
              <w:rPr>
                <w:i/>
                <w:highlight w:val="white"/>
              </w:rPr>
              <w:t xml:space="preserve">тавления публикуемой отчетности </w:t>
            </w:r>
            <w:r>
              <w:rPr>
                <w:i/>
                <w:highlight w:val="white"/>
              </w:rPr>
              <w:t xml:space="preserve">Акционерного общества «Российский Сельскохозяйственный банк»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за 2022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b/>
                <w:highlight w:val="white"/>
              </w:rPr>
              <w:t xml:space="preserve">Аудиторское заключение независимого аудитора о публикуемой отчетности Акционерного общества «Российский Сельскохозяйственный банк» за 202</w:t>
            </w:r>
            <w:r>
              <w:rPr>
                <w:b/>
                <w:highlight w:val="white"/>
              </w:rPr>
              <w:t xml:space="preserve">3</w:t>
            </w:r>
            <w:r>
              <w:rPr>
                <w:b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restart"/>
            <w:noWrap w:val="false"/>
            <w:textDirection w:val="lrTb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https://www.e-disclosure.ru/portal/files.aspx?id=3207&amp;type=3</w:t>
            </w:r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hyperlink r:id="rId48" w:tooltip="https://www.rshb.ru/investors/reports_year/" w:history="1">
              <w:r>
                <w:rPr>
                  <w:rStyle w:val="1219"/>
                  <w:highlight w:val="white"/>
                </w:rPr>
                <w:t xml:space="preserve">https://www.rshb.ru/investors/reports_year/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.1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.2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.3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.4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.5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.6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</w:t>
            </w:r>
            <w:r>
              <w:rPr>
                <w:i/>
                <w:highlight w:val="white"/>
              </w:rPr>
              <w:t xml:space="preserve">нормативе</w:t>
            </w:r>
            <w:r>
              <w:rPr>
                <w:i/>
                <w:highlight w:val="white"/>
              </w:rPr>
              <w:t xml:space="preserve"> финансового рычага и нормативе краткосрочной ликвидности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jc w:val="center"/>
          <w:trHeight w:val="866"/>
        </w:trPr>
        <w:tblPrEx/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2</w:t>
            </w:r>
            <w:r>
              <w:rPr>
                <w:i/>
                <w:highlight w:val="white"/>
              </w:rPr>
              <w:t xml:space="preserve">.7.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Примечание. Принципы сос</w:t>
            </w:r>
            <w:r>
              <w:rPr>
                <w:i/>
                <w:highlight w:val="white"/>
              </w:rPr>
              <w:t xml:space="preserve">тавления публикуемой отчетности </w:t>
            </w:r>
            <w:r>
              <w:rPr>
                <w:i/>
                <w:highlight w:val="white"/>
              </w:rPr>
              <w:t xml:space="preserve">Акционерного общества «Российский Сельскохозяйственный банк»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за 202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50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 w:val="0"/>
                <w:iCs w:val="0"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</w:r>
            <w:r>
              <w:rPr>
                <w:b/>
                <w:highlight w:val="white"/>
              </w:rPr>
              <w:t xml:space="preserve">Аудиторское заключение независимого аудитора о публикуемой отчетности Акционерного общества «Российский Сельскохозяйственный банк» за 202</w:t>
            </w:r>
            <w:r>
              <w:rPr>
                <w:b/>
                <w:highlight w:val="white"/>
              </w:rPr>
              <w:t xml:space="preserve">4</w:t>
            </w:r>
            <w:r>
              <w:rPr>
                <w:b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restart"/>
            <w:noWrap w:val="false"/>
            <w:textDirection w:val="lrTb"/>
          </w:tcPr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https://www.e-disclosure.ru/portal/files.aspx?id=3207&amp;type=3</w:t>
            </w:r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hyperlink r:id="rId49" w:tooltip="https://www.rshb.ru/investors/reports_year/" w:history="1">
              <w:r>
                <w:rPr>
                  <w:rStyle w:val="1219"/>
                  <w:highlight w:val="white"/>
                </w:rPr>
                <w:t xml:space="preserve">https://www.rshb.ru/investors/reports_year/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3.1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Аудиторское заключение независимого аудитора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5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3.2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за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6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3.3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202</w:t>
            </w:r>
            <w:r>
              <w:rPr>
                <w:i/>
                <w:highlight w:val="white"/>
              </w:rPr>
              <w:t xml:space="preserve">4</w:t>
            </w:r>
            <w:r>
              <w:rPr>
                <w:i/>
                <w:highlight w:val="white"/>
              </w:rPr>
              <w:t xml:space="preserve"> год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2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3.4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3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3.5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1 января 2025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1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3.6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нормативах, </w:t>
            </w:r>
            <w:r>
              <w:rPr>
                <w:i/>
                <w:highlight w:val="white"/>
              </w:rPr>
              <w:t xml:space="preserve">нормативе</w:t>
            </w:r>
            <w:r>
              <w:rPr>
                <w:i/>
                <w:highlight w:val="white"/>
              </w:rPr>
              <w:t xml:space="preserve"> финансового рычага и нормативе краткосрочной ликвидности (публикуемая форма) по состоянию на 1 января 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 </w:t>
            </w:r>
            <w:r>
              <w:rPr>
                <w:i/>
                <w:highlight w:val="white"/>
              </w:rPr>
              <w:t xml:space="preserve">(с изъятиями)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</w:tr>
      <w:tr>
        <w:trPr>
          <w:trHeight w:val="112"/>
        </w:trPr>
        <w:tblPrEx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3.7. 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Примечание. Принципы сос</w:t>
            </w:r>
            <w:r>
              <w:rPr>
                <w:i/>
                <w:highlight w:val="white"/>
              </w:rPr>
              <w:t xml:space="preserve">тавления публикуемой отчетности </w:t>
            </w:r>
            <w:r>
              <w:rPr>
                <w:i/>
                <w:highlight w:val="white"/>
              </w:rPr>
              <w:t xml:space="preserve">Акционерного общества «Российский Сельскохозяйственный банк»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за 2024</w:t>
            </w:r>
            <w:r>
              <w:rPr>
                <w:i/>
                <w:highlight w:val="white"/>
              </w:rPr>
              <w:t xml:space="preserve"> год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783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П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ромежуточная бухгалтерская (финансовая) отчетность эмитента, составленная за последний завершенный о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тчетный период, состоящий из 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3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месяца 2025</w:t>
      </w:r>
      <w:r>
        <w:rPr>
          <w:rFonts w:eastAsiaTheme="minorHAnsi"/>
          <w:b/>
          <w:bCs/>
          <w:i/>
          <w:iCs/>
          <w:highlight w:val="white"/>
          <w:lang w:eastAsia="en-US"/>
        </w:rPr>
        <w:t xml:space="preserve"> года:</w:t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3"/>
        <w:gridCol w:w="5476"/>
        <w:gridCol w:w="3685"/>
      </w:tblGrid>
      <w:tr>
        <w:trPr>
          <w:jc w:val="center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368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Ссылка/Приложение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3685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411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на 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restart"/>
            <w:noWrap w:val="false"/>
            <w:textDirection w:val="lrTb"/>
            <w:vAlign w:val="center"/>
          </w:tcPr>
          <w:p>
            <w:pPr>
              <w:rPr>
                <w:color w:val="000000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  <w:t xml:space="preserve">В соответствии </w:t>
            </w:r>
            <w:r>
              <w:rPr>
                <w:color w:val="000000"/>
                <w:highlight w:val="white"/>
              </w:rPr>
              <w:t xml:space="preserve">с абзацем 12 пункта 1 </w:t>
            </w:r>
            <w:r>
              <w:rPr>
                <w:color w:val="000000"/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color w:val="000000"/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color w:val="000000"/>
                <w:highlight w:val="white"/>
              </w:rPr>
              <w:t xml:space="preserve">от </w:t>
            </w:r>
            <w:r>
              <w:rPr>
                <w:color w:val="000000"/>
                <w:highlight w:val="white"/>
              </w:rPr>
              <w:t xml:space="preserve">24.12.2024            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color w:val="000000"/>
                <w:highlight w:val="white"/>
              </w:rPr>
              <w:t xml:space="preserve">П</w:t>
            </w:r>
            <w:r>
              <w:rPr>
                <w:color w:val="000000"/>
                <w:highlight w:val="white"/>
              </w:rPr>
              <w:t xml:space="preserve">риложение 4 к Проспекту </w:t>
            </w:r>
            <w:r>
              <w:rPr>
                <w:color w:val="000000"/>
                <w:highlight w:val="white"/>
              </w:rPr>
              <w:t xml:space="preserve">не раскрывается</w:t>
            </w:r>
            <w:r>
              <w:rPr>
                <w:color w:val="000000"/>
                <w:highlight w:val="white"/>
                <w14:ligatures w14:val="none"/>
              </w:rPr>
            </w:r>
            <w:r>
              <w:rPr>
                <w:color w:val="000000"/>
                <w:highlight w:val="white"/>
                <w14:ligatures w14:val="none"/>
              </w:rPr>
            </w:r>
          </w:p>
        </w:tc>
      </w:tr>
      <w:tr>
        <w:trPr>
          <w:jc w:val="center"/>
          <w:trHeight w:val="276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3</w:t>
            </w:r>
            <w:r>
              <w:rPr>
                <w:i/>
                <w:highlight w:val="white"/>
              </w:rPr>
              <w:t xml:space="preserve"> месяца</w:t>
            </w:r>
            <w:r>
              <w:rPr>
                <w:i/>
                <w:highlight w:val="white"/>
              </w:rPr>
              <w:t xml:space="preserve">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844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рисков, величине резервов на возможные потери по ссудам и иным активам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340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76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нормативах.   показателе финансового рычага и нормативе краткосрочной ликвидности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76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движении денежных средств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76"/>
        </w:trPr>
        <w:tblPrEx/>
        <w:tc>
          <w:tcPr>
            <w:tcW w:w="473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  <w:tc>
          <w:tcPr>
            <w:tcW w:w="547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highlight w:val="white"/>
              </w:rPr>
            </w:r>
            <w:bookmarkStart w:id="22" w:name="_Hlk41051734"/>
            <w:r>
              <w:rPr>
                <w:i/>
                <w:highlight w:val="white"/>
              </w:rPr>
              <w:t xml:space="preserve">Пояснительная информация к промежуточной бухгалтерской (финансовой) отчетности 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           </w:t>
            </w:r>
            <w:r>
              <w:rPr>
                <w:i/>
                <w:highlight w:val="white"/>
              </w:rPr>
              <w:t xml:space="preserve">АО «Россельхозбанк» за 3</w:t>
            </w:r>
            <w:r>
              <w:rPr>
                <w:i/>
                <w:highlight w:val="white"/>
              </w:rPr>
              <w:t xml:space="preserve"> месяца</w:t>
            </w:r>
            <w:r>
              <w:rPr>
                <w:i/>
                <w:highlight w:val="white"/>
              </w:rPr>
              <w:t xml:space="preserve"> 2025</w:t>
            </w:r>
            <w:r>
              <w:rPr>
                <w:i/>
                <w:highlight w:val="white"/>
              </w:rPr>
              <w:t xml:space="preserve"> </w:t>
            </w:r>
            <w:bookmarkEnd w:id="22"/>
            <w:r>
              <w:rPr>
                <w:i/>
                <w:highlight w:val="white"/>
              </w:rPr>
              <w:t xml:space="preserve">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3685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ind w:firstLine="709"/>
        <w:jc w:val="both"/>
        <w:rPr>
          <w:rFonts w:eastAsiaTheme="minorHAnsi"/>
          <w:b/>
          <w:bCs/>
          <w:i/>
          <w:iCs/>
          <w:highlight w:val="white"/>
        </w:rPr>
      </w:pP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  <w:lang w:eastAsia="en-US"/>
        </w:rPr>
      </w:r>
      <w:r>
        <w:rPr>
          <w:rFonts w:eastAsiaTheme="minorHAnsi"/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i/>
          <w:highlight w:val="white"/>
        </w:rPr>
      </w:pPr>
      <w:r>
        <w:rPr>
          <w:b/>
          <w:i/>
          <w:highlight w:val="white"/>
        </w:rPr>
        <w:t xml:space="preserve">На сайте Банка и на странице в сети Интернет раскрыта Бухгалтерская (финансовая) отчетность </w:t>
      </w:r>
      <w:r>
        <w:rPr>
          <w:b/>
          <w:i/>
          <w:highlight w:val="white"/>
        </w:rPr>
        <w:t xml:space="preserve">за 3</w:t>
      </w:r>
      <w:r>
        <w:rPr>
          <w:b/>
          <w:i/>
          <w:highlight w:val="white"/>
        </w:rPr>
        <w:t xml:space="preserve"> месяца</w:t>
      </w:r>
      <w:r>
        <w:rPr>
          <w:b/>
          <w:i/>
          <w:highlight w:val="white"/>
        </w:rPr>
        <w:t xml:space="preserve"> 2025</w:t>
      </w:r>
      <w:r>
        <w:rPr>
          <w:b/>
          <w:i/>
          <w:highlight w:val="white"/>
        </w:rPr>
        <w:t xml:space="preserve"> год с изъятиями</w:t>
      </w:r>
      <w:r>
        <w:rPr>
          <w:b/>
          <w:i/>
          <w:highlight w:val="white"/>
        </w:rPr>
        <w:t xml:space="preserve">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5156"/>
        <w:gridCol w:w="4111"/>
      </w:tblGrid>
      <w:tr>
        <w:trPr>
          <w:jc w:val="center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пп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highlight w:val="white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Ссылка на страницу в сети «Интернет»</w:t>
            </w:r>
            <w:r>
              <w:rPr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411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Бухгалтерский баланс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  <w:vAlign w:val="center"/>
          </w:tcPr>
          <w:p>
            <w:pPr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https://www.e-disclosure.ru/portal/files.aspx?id=3207&amp;type=3</w:t>
            </w:r>
            <w:r>
              <w:rPr>
                <w:rStyle w:val="1219"/>
                <w:highlight w:val="white"/>
              </w:rPr>
              <w:t xml:space="preserve">,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  <w:p>
            <w:pPr>
              <w:rPr>
                <w:rStyle w:val="1219"/>
                <w:highlight w:val="white"/>
              </w:rPr>
            </w:pPr>
            <w:r>
              <w:rPr>
                <w:rStyle w:val="1219"/>
                <w:highlight w:val="white"/>
              </w:rPr>
              <w:t xml:space="preserve">https://www.rshb.ru/investors/reports_rsbu</w:t>
            </w:r>
            <w:r>
              <w:rPr>
                <w:rStyle w:val="1219"/>
                <w:highlight w:val="white"/>
              </w:rPr>
              <w:t xml:space="preserve">/</w:t>
            </w:r>
            <w:r>
              <w:rPr>
                <w:rStyle w:val="1219"/>
                <w:highlight w:val="white"/>
              </w:rPr>
            </w:r>
            <w:r>
              <w:rPr>
                <w:rStyle w:val="1219"/>
                <w:highlight w:val="white"/>
              </w:rPr>
            </w:r>
          </w:p>
        </w:tc>
      </w:tr>
      <w:tr>
        <w:trPr>
          <w:jc w:val="center"/>
          <w:trHeight w:val="276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 финансовых результатах (публикуемая форма) за 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месяца</w:t>
            </w:r>
            <w:r>
              <w:rPr>
                <w:i/>
                <w:highlight w:val="white"/>
              </w:rPr>
              <w:t xml:space="preserve">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844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уровне достаточности капитала для покрытия рисков, величине резервов на возможные потери по ссудам и иным активам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340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Отчет об изменениях в капитале кредитной организации (публикуемая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76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Сведения об обязательных нормативах.   показателе финансового рычага и нормативе краткосрочной ликвидности (</w:t>
            </w:r>
            <w:r>
              <w:rPr>
                <w:i/>
                <w:highlight w:val="white"/>
              </w:rPr>
              <w:t xml:space="preserve">публикуемая форма) на </w:t>
            </w:r>
            <w:r>
              <w:rPr>
                <w:i/>
                <w:highlight w:val="white"/>
              </w:rPr>
              <w:t xml:space="preserve">01.04</w:t>
            </w:r>
            <w:r>
              <w:rPr>
                <w:i/>
                <w:highlight w:val="white"/>
              </w:rPr>
              <w:t xml:space="preserve">.202</w:t>
            </w:r>
            <w:r>
              <w:rPr>
                <w:i/>
                <w:highlight w:val="white"/>
              </w:rPr>
              <w:t xml:space="preserve">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jc w:val="center"/>
          <w:trHeight w:val="276"/>
        </w:trPr>
        <w:tblPrEx/>
        <w:tc>
          <w:tcPr>
            <w:tcW w:w="509" w:type="dxa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tcW w:w="5156" w:type="dxa"/>
            <w:noWrap w:val="false"/>
            <w:textDirection w:val="lrTb"/>
          </w:tcPr>
          <w:p>
            <w:pPr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Примечание. Принципы сос</w:t>
            </w:r>
            <w:r>
              <w:rPr>
                <w:i/>
                <w:highlight w:val="white"/>
              </w:rPr>
              <w:t xml:space="preserve">тавления публикуемой отчетности </w:t>
            </w:r>
            <w:r>
              <w:rPr>
                <w:i/>
                <w:highlight w:val="white"/>
              </w:rPr>
              <w:t xml:space="preserve">Акционерного общества «Российский Сельскохозяйственный банк»</w:t>
            </w:r>
            <w:r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за </w:t>
            </w:r>
            <w:r>
              <w:rPr>
                <w:i/>
                <w:highlight w:val="white"/>
              </w:rPr>
              <w:t xml:space="preserve">3</w:t>
            </w:r>
            <w:r>
              <w:rPr>
                <w:i/>
                <w:highlight w:val="white"/>
              </w:rPr>
              <w:t xml:space="preserve"> месяца</w:t>
            </w:r>
            <w:r>
              <w:rPr>
                <w:i/>
                <w:highlight w:val="white"/>
              </w:rPr>
              <w:t xml:space="preserve"> 2025</w:t>
            </w:r>
            <w:r>
              <w:rPr>
                <w:i/>
                <w:highlight w:val="white"/>
              </w:rPr>
              <w:t xml:space="preserve"> г.</w:t>
            </w:r>
            <w:r>
              <w:rPr>
                <w:i/>
                <w:highlight w:val="white"/>
              </w:rPr>
            </w:r>
            <w:r>
              <w:rPr>
                <w:i/>
                <w:highlight w:val="white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</w:p>
        </w:tc>
      </w:tr>
    </w:tbl>
    <w:p>
      <w:pPr>
        <w:spacing w:after="160" w:line="259" w:lineRule="auto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spacing w:after="160" w:line="259" w:lineRule="auto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br w:type="page" w:clear="all"/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Раздел 7. </w:t>
      </w:r>
      <w:r>
        <w:rPr>
          <w:b/>
          <w:bCs/>
          <w:iCs/>
          <w:highlight w:val="white"/>
        </w:rPr>
        <w:t xml:space="preserve">Сведения о ценных бумагах, в отношении которых составлен проспект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1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highlight w:val="white"/>
        </w:rPr>
      </w:pPr>
      <w:r>
        <w:rPr>
          <w:b/>
          <w:bCs/>
          <w:iCs/>
          <w:highlight w:val="white"/>
        </w:rPr>
        <w:t xml:space="preserve">Проспект составлен в отношении Программы биржевых облигаций</w:t>
      </w:r>
      <w:r>
        <w:rPr>
          <w:b/>
          <w:bCs/>
          <w:iCs/>
          <w:highlight w:val="white"/>
        </w:rPr>
        <w:t xml:space="preserve">.</w:t>
      </w:r>
      <w:r>
        <w:rPr>
          <w:b/>
          <w:bCs/>
          <w:iCs/>
          <w:highlight w:val="white"/>
        </w:rPr>
        <w:t xml:space="preserve"> </w:t>
      </w:r>
      <w:r>
        <w:rPr>
          <w:b/>
          <w:bCs/>
          <w:iCs/>
          <w:highlight w:val="white"/>
        </w:rPr>
        <w:t xml:space="preserve">В</w:t>
      </w:r>
      <w:r>
        <w:rPr>
          <w:b/>
          <w:bCs/>
          <w:iCs/>
          <w:highlight w:val="white"/>
        </w:rPr>
        <w:t xml:space="preserve">место сведений, предусмотренных настоящим разделом, указываются сведения о </w:t>
      </w:r>
      <w:r>
        <w:rPr>
          <w:b/>
          <w:bCs/>
          <w:iCs/>
          <w:highlight w:val="white"/>
        </w:rPr>
        <w:t xml:space="preserve">Биржевых облигациях</w:t>
      </w:r>
      <w:r>
        <w:rPr>
          <w:b/>
          <w:bCs/>
          <w:iCs/>
          <w:highlight w:val="white"/>
        </w:rPr>
        <w:t xml:space="preserve">, предусмотренные Программой биржевых облигаций.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7.1. Вид, категория (тип), иные идентификационные признаки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pStyle w:val="1206"/>
        <w:ind w:firstLine="709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</w:r>
      <w:r>
        <w:rPr>
          <w:i/>
          <w:sz w:val="22"/>
          <w:highlight w:val="white"/>
        </w:rPr>
      </w:r>
      <w:r>
        <w:rPr>
          <w:i/>
          <w:sz w:val="22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i/>
          <w:highlight w:val="white"/>
        </w:rPr>
        <w:t xml:space="preserve">Вид ценных бумаг:</w:t>
      </w:r>
      <w:r>
        <w:rPr>
          <w:highlight w:val="white"/>
        </w:rPr>
        <w:t xml:space="preserve"> </w:t>
      </w:r>
      <w:r>
        <w:rPr>
          <w:bCs/>
          <w:iCs/>
          <w:color w:val="auto"/>
          <w:highlight w:val="white"/>
        </w:rPr>
        <w:t xml:space="preserve">Биржевые облигации.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 xml:space="preserve">Идентификационные признаки облигаций, размещаемых в рамках Программы биржевых облигаций: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bCs/>
          <w:iCs/>
          <w:highlight w:val="white"/>
        </w:rPr>
        <w:t xml:space="preserve">биржевые облигации процентные и/или дисконтные неконвертируемые бездокументарные с централизованным учетом прав, размещаемые в рамках Программы биржевых облигаций серии 002P.</w:t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</w:rPr>
      </w:pP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  <w:r>
        <w:rPr>
          <w:rFonts w:ascii="Times New Roman" w:hAnsi="Times New Roman" w:cs="Times New Roman"/>
          <w:bCs/>
          <w:iCs/>
          <w:highlight w:val="white"/>
        </w:rPr>
      </w:r>
    </w:p>
    <w:p>
      <w:pPr>
        <w:pStyle w:val="1204"/>
        <w:tabs>
          <w:tab w:val="left" w:pos="567" w:leader="none"/>
        </w:tabs>
        <w:ind w:right="0" w:firstLine="709"/>
        <w:jc w:val="both"/>
        <w:rPr>
          <w:rFonts w:ascii="Times New Roman" w:hAnsi="Times New Roman" w:cs="Times New Roman"/>
          <w:bCs/>
          <w:iCs/>
          <w:highlight w:val="white"/>
          <w:u w:val="single"/>
        </w:rPr>
      </w:pPr>
      <w:r>
        <w:rPr>
          <w:rFonts w:ascii="Times New Roman" w:hAnsi="Times New Roman" w:cs="Times New Roman"/>
          <w:i/>
          <w:highlight w:val="white"/>
        </w:rPr>
        <w:t xml:space="preserve">Серия: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bCs/>
          <w:iCs/>
          <w:highlight w:val="white"/>
        </w:rPr>
        <w:t xml:space="preserve">серия каждого отдельного выпуска Биржевых облигаций указывается в Решении о </w:t>
      </w:r>
      <w:r>
        <w:rPr>
          <w:rFonts w:ascii="Times New Roman" w:hAnsi="Times New Roman" w:cs="Times New Roman"/>
          <w:bCs/>
          <w:iCs/>
          <w:highlight w:val="white"/>
        </w:rPr>
        <w:t xml:space="preserve">выпуске ценных</w:t>
      </w:r>
      <w:r>
        <w:rPr>
          <w:rFonts w:ascii="Times New Roman" w:hAnsi="Times New Roman" w:cs="Times New Roman"/>
          <w:bCs/>
          <w:iCs/>
          <w:highlight w:val="white"/>
        </w:rPr>
        <w:t xml:space="preserve"> бумаг.</w:t>
      </w:r>
      <w:r>
        <w:rPr>
          <w:rFonts w:ascii="Times New Roman" w:hAnsi="Times New Roman" w:cs="Times New Roman"/>
          <w:bCs/>
          <w:iCs/>
          <w:highlight w:val="white"/>
          <w:u w:val="single"/>
        </w:rPr>
      </w:r>
      <w:r>
        <w:rPr>
          <w:rFonts w:ascii="Times New Roman" w:hAnsi="Times New Roman" w:cs="Times New Roman"/>
          <w:bCs/>
          <w:iCs/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hint="eastAsia"/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рамках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Программы</w:t>
      </w:r>
      <w:r>
        <w:rPr>
          <w:highlight w:val="white"/>
        </w:rPr>
        <w:t xml:space="preserve"> биржевых облигаций </w:t>
      </w:r>
      <w:r>
        <w:rPr>
          <w:rFonts w:hint="eastAsia"/>
          <w:highlight w:val="white"/>
        </w:rPr>
        <w:t xml:space="preserve">могут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быть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размещены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Биржевые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облигации</w:t>
      </w:r>
      <w:r>
        <w:rPr>
          <w:highlight w:val="white"/>
        </w:rPr>
        <w:t xml:space="preserve">, </w:t>
      </w:r>
      <w:r>
        <w:rPr>
          <w:rFonts w:hint="eastAsia"/>
          <w:highlight w:val="white"/>
        </w:rPr>
        <w:t xml:space="preserve">предусматривающие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получение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одного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из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указанных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видов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доходов</w:t>
      </w:r>
      <w:r>
        <w:rPr>
          <w:highlight w:val="white"/>
        </w:rPr>
        <w:t xml:space="preserve"> или любого их </w:t>
      </w:r>
      <w:r>
        <w:rPr>
          <w:highlight w:val="white"/>
        </w:rPr>
        <w:t xml:space="preserve">сочетания: купонного</w:t>
      </w:r>
      <w:r>
        <w:rPr>
          <w:highlight w:val="white"/>
        </w:rPr>
        <w:t xml:space="preserve"> </w:t>
      </w:r>
      <w:r>
        <w:rPr>
          <w:rFonts w:hint="eastAsia"/>
          <w:highlight w:val="white"/>
        </w:rPr>
        <w:t xml:space="preserve">дохода</w:t>
      </w:r>
      <w:r>
        <w:rPr>
          <w:highlight w:val="white"/>
        </w:rPr>
        <w:t xml:space="preserve">, </w:t>
      </w:r>
      <w:r>
        <w:rPr>
          <w:rFonts w:hint="eastAsia"/>
          <w:highlight w:val="white"/>
        </w:rPr>
        <w:t xml:space="preserve">дополнительного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дохода, дисконта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/>
          <w:iCs/>
          <w:highlight w:val="white"/>
        </w:rPr>
      </w:pPr>
      <w:r>
        <w:rPr>
          <w:b/>
          <w:bCs/>
          <w:iCs/>
          <w:highlight w:val="white"/>
        </w:rPr>
        <w:t xml:space="preserve">7.2. Указание на способ учета прав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соответствии с Федеральным законом от 22.04.1996 № 39-ФЗ «О рынке ценных бумаг» предусмотрен</w:t>
      </w:r>
      <w:r>
        <w:rPr>
          <w:bCs/>
          <w:iCs/>
          <w:highlight w:val="white"/>
        </w:rPr>
        <w:t xml:space="preserve"> обязательный</w:t>
      </w:r>
      <w:r>
        <w:rPr>
          <w:bCs/>
          <w:iCs/>
          <w:highlight w:val="white"/>
        </w:rPr>
        <w:t xml:space="preserve"> централизованный учет прав на Биржевые облигации.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Депозитарий, осуществляющий централизованный учет прав на Биржевые облигации: </w:t>
      </w:r>
      <w:r>
        <w:rPr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6"/>
        <w:ind w:firstLine="709"/>
        <w:jc w:val="both"/>
        <w:rPr>
          <w:i/>
          <w:color w:val="auto"/>
          <w:highlight w:val="white"/>
        </w:rPr>
      </w:pPr>
      <w:r>
        <w:rPr>
          <w:color w:val="auto"/>
          <w:highlight w:val="white"/>
        </w:rPr>
        <w:t xml:space="preserve">Полное фирменное наименование: </w:t>
      </w:r>
      <w:r>
        <w:rPr>
          <w:bCs/>
          <w:i/>
          <w:iCs/>
          <w:color w:val="auto"/>
          <w:highlight w:val="white"/>
        </w:rPr>
        <w:t xml:space="preserve">Небанковская кредитная организация акционерное общество «Национальный расчетный депозитарий»</w:t>
      </w:r>
      <w:r>
        <w:rPr>
          <w:i/>
          <w:color w:val="auto"/>
          <w:highlight w:val="white"/>
        </w:rPr>
        <w:t xml:space="preserve"> </w:t>
      </w:r>
      <w:r>
        <w:rPr>
          <w:i/>
          <w:color w:val="auto"/>
          <w:highlight w:val="white"/>
        </w:rPr>
      </w:r>
      <w:r>
        <w:rPr>
          <w:i/>
          <w:color w:val="auto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Сокращенное фирменное наименование: </w:t>
      </w:r>
      <w:r>
        <w:rPr>
          <w:bCs/>
          <w:i/>
          <w:iCs/>
          <w:color w:val="auto"/>
          <w:highlight w:val="white"/>
        </w:rPr>
        <w:t xml:space="preserve">НКО АО НРД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Место нахождения: </w:t>
      </w:r>
      <w:bookmarkStart w:id="23" w:name="_Hlk40993921"/>
      <w:r>
        <w:rPr>
          <w:i/>
          <w:color w:val="auto"/>
          <w:highlight w:val="white"/>
        </w:rPr>
        <w:t xml:space="preserve">Российская Федерация, город Москв</w:t>
      </w:r>
      <w:bookmarkEnd w:id="23"/>
      <w:r>
        <w:rPr>
          <w:i/>
          <w:color w:val="auto"/>
          <w:highlight w:val="white"/>
        </w:rPr>
        <w:t xml:space="preserve">а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6"/>
        <w:ind w:firstLine="709"/>
        <w:jc w:val="both"/>
        <w:rPr>
          <w:i/>
          <w:color w:val="auto"/>
          <w:highlight w:val="white"/>
        </w:rPr>
      </w:pPr>
      <w:r>
        <w:rPr>
          <w:color w:val="auto"/>
          <w:highlight w:val="white"/>
        </w:rPr>
        <w:t xml:space="preserve">Почтовый адрес: </w:t>
      </w:r>
      <w:r>
        <w:rPr>
          <w:bCs/>
          <w:i/>
          <w:iCs/>
          <w:color w:val="auto"/>
          <w:highlight w:val="white"/>
        </w:rPr>
        <w:t xml:space="preserve">105066, г. Москва, ул. Спартаковская, дом 12</w:t>
      </w:r>
      <w:r>
        <w:rPr>
          <w:i/>
          <w:color w:val="auto"/>
          <w:highlight w:val="white"/>
        </w:rPr>
        <w:t xml:space="preserve"> </w:t>
      </w:r>
      <w:r>
        <w:rPr>
          <w:i/>
          <w:color w:val="auto"/>
          <w:highlight w:val="white"/>
        </w:rPr>
      </w:r>
      <w:r>
        <w:rPr>
          <w:i/>
          <w:color w:val="auto"/>
          <w:highlight w:val="white"/>
        </w:rPr>
      </w:r>
    </w:p>
    <w:p>
      <w:pPr>
        <w:pStyle w:val="1206"/>
        <w:ind w:firstLine="709"/>
        <w:jc w:val="both"/>
        <w:rPr>
          <w:i/>
          <w:color w:val="auto"/>
          <w:highlight w:val="white"/>
        </w:rPr>
      </w:pPr>
      <w:r>
        <w:rPr>
          <w:color w:val="auto"/>
          <w:highlight w:val="white"/>
        </w:rPr>
        <w:t xml:space="preserve">ИНН:</w:t>
      </w:r>
      <w:r>
        <w:rPr>
          <w:i/>
          <w:color w:val="auto"/>
          <w:highlight w:val="white"/>
        </w:rPr>
        <w:t xml:space="preserve"> 7702165310</w:t>
      </w:r>
      <w:r>
        <w:rPr>
          <w:i/>
          <w:color w:val="auto"/>
          <w:highlight w:val="white"/>
        </w:rPr>
      </w:r>
      <w:r>
        <w:rPr>
          <w:i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/>
          <w:iCs/>
          <w:color w:val="auto"/>
          <w:highlight w:val="white"/>
        </w:rPr>
      </w:pPr>
      <w:r>
        <w:rPr>
          <w:color w:val="auto"/>
          <w:highlight w:val="white"/>
        </w:rPr>
        <w:t xml:space="preserve">Номер лицензии на осуществление депозитарной деятельности: </w:t>
      </w:r>
      <w:r>
        <w:rPr>
          <w:bCs/>
          <w:i/>
          <w:iCs/>
          <w:color w:val="auto"/>
          <w:highlight w:val="white"/>
        </w:rPr>
        <w:t xml:space="preserve">045-12042-000100  </w:t>
      </w:r>
      <w:r>
        <w:rPr>
          <w:bCs/>
          <w:i/>
          <w:iCs/>
          <w:color w:val="auto"/>
          <w:highlight w:val="white"/>
        </w:rPr>
      </w:r>
      <w:r>
        <w:rPr>
          <w:bCs/>
          <w:i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Дата выдачи: </w:t>
      </w:r>
      <w:r>
        <w:rPr>
          <w:bCs/>
          <w:i/>
          <w:iCs/>
          <w:color w:val="auto"/>
          <w:highlight w:val="white"/>
        </w:rPr>
        <w:t xml:space="preserve">19.02.2009</w:t>
      </w:r>
      <w:r>
        <w:rPr>
          <w:bCs/>
          <w:iCs/>
          <w:color w:val="auto"/>
          <w:highlight w:val="white"/>
        </w:rPr>
        <w:t xml:space="preserve">.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Срок действия лицензии: </w:t>
      </w:r>
      <w:r>
        <w:rPr>
          <w:bCs/>
          <w:i/>
          <w:iCs/>
          <w:color w:val="auto"/>
          <w:highlight w:val="white"/>
        </w:rPr>
        <w:t xml:space="preserve">без ограничения срока действия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Орган, выдавший лицензию: </w:t>
      </w:r>
      <w:r>
        <w:rPr>
          <w:bCs/>
          <w:i/>
          <w:iCs/>
          <w:highlight w:val="white"/>
        </w:rPr>
        <w:t xml:space="preserve">ФСФР России.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4"/>
        <w:tabs>
          <w:tab w:val="left" w:pos="284" w:leader="none"/>
        </w:tabs>
        <w:ind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случае пре</w:t>
      </w:r>
      <w:r>
        <w:rPr>
          <w:rFonts w:ascii="Times New Roman" w:hAnsi="Times New Roman" w:cs="Times New Roman"/>
          <w:highlight w:val="white"/>
        </w:rPr>
        <w:t xml:space="preserve">кращения деятельности Небанковской кредитной организации акционерного общества «Национальный расчетный депозитарий» (далее – «НКО АО НРД») в связи с реорганизацией, централизованный учет прав на Биржевые облигации будет осуществляться его правопреемником.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204"/>
        <w:tabs>
          <w:tab w:val="left" w:pos="284" w:leader="none"/>
        </w:tabs>
        <w:ind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7.3. Номинальная стоимость каждой ценной бумаги выпуска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Минимальная и (или) максимальная номинальная стоимость каждой Биржевой облигаций отдельного выпуска (дополнительного выпуска) в условиях Программы биржевых облигаций и в Проспекте не определяется.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284" w:leader="none"/>
        </w:tabs>
        <w:ind w:right="27"/>
        <w:jc w:val="both"/>
        <w:rPr>
          <w:rStyle w:val="1207"/>
          <w:b w:val="0"/>
          <w:i w:val="0"/>
          <w:sz w:val="24"/>
          <w:highlight w:val="white"/>
        </w:rPr>
      </w:pPr>
      <w:r>
        <w:rPr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highlight w:val="white"/>
        </w:rPr>
        <w:t xml:space="preserve">Общая (максимальная) </w:t>
      </w:r>
      <w:r>
        <w:rPr>
          <w:bCs/>
          <w:iCs/>
          <w:highlight w:val="white"/>
        </w:rPr>
        <w:t xml:space="preserve">сумма номинальных стоимостей Бир</w:t>
      </w:r>
      <w:r>
        <w:rPr>
          <w:bCs/>
          <w:iCs/>
          <w:highlight w:val="white"/>
        </w:rPr>
        <w:t xml:space="preserve">жевых облигаций, которые могут быть размещены в рамках Программы биржевых облигаций: 500 000 000 000 (Пятьсот миллиардов) рублей Российской Федерации включительно или эквивалент этой суммы в иностранной валюте, рассчитываемый по курсу Банка России на дату </w:t>
      </w:r>
      <w:r>
        <w:rPr>
          <w:bCs/>
          <w:iCs/>
          <w:highlight w:val="white"/>
        </w:rPr>
        <w:t xml:space="preserve">подписания Решения</w:t>
      </w:r>
      <w:r>
        <w:rPr>
          <w:bCs/>
          <w:iCs/>
          <w:highlight w:val="white"/>
        </w:rPr>
        <w:t xml:space="preserve">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Индексация номинальной стоимости Биржевых облигаций, размещаемых в рамках Программы биржевых облигаций, не предусмотрена.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outlineLvl w:val="2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 Права владельца каждой ценной бумаги выпуска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Cs/>
          <w:highlight w:val="white"/>
        </w:rPr>
        <w:t xml:space="preserve">7.4.1. Права владельца обыкновенных акций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highlight w:val="white"/>
        </w:rPr>
        <w:t xml:space="preserve">Биржевые облигации не являются </w:t>
      </w:r>
      <w:r>
        <w:rPr>
          <w:bCs/>
          <w:iCs/>
          <w:highlight w:val="white"/>
        </w:rPr>
        <w:t xml:space="preserve">обыкновенными акциями</w:t>
      </w:r>
      <w:r>
        <w:rPr>
          <w:bCs/>
          <w:iCs/>
          <w:highlight w:val="white"/>
        </w:rPr>
        <w:t xml:space="preserve">.  </w:t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7.4.2. Права владельца привилегированных акций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highlight w:val="white"/>
        </w:rPr>
        <w:t xml:space="preserve">Биржевые облигации не являются привилегированными</w:t>
      </w:r>
      <w:r>
        <w:rPr>
          <w:bCs/>
          <w:iCs/>
          <w:highlight w:val="white"/>
        </w:rPr>
        <w:t xml:space="preserve"> акциями</w:t>
      </w:r>
      <w:r>
        <w:rPr>
          <w:bCs/>
          <w:iCs/>
          <w:highlight w:val="white"/>
        </w:rPr>
        <w:t xml:space="preserve">.  </w:t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7.4.3. Права владельца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rStyle w:val="1207"/>
          <w:b w:val="0"/>
          <w:i w:val="0"/>
          <w:sz w:val="24"/>
          <w:highlight w:val="white"/>
          <w:u w:val="single"/>
        </w:rPr>
      </w:pPr>
      <w:r>
        <w:rPr>
          <w:highlight w:val="white"/>
        </w:rPr>
        <w:t xml:space="preserve">Биржевые о</w:t>
      </w:r>
      <w:r>
        <w:rPr>
          <w:rStyle w:val="1207"/>
          <w:b w:val="0"/>
          <w:i w:val="0"/>
          <w:sz w:val="24"/>
          <w:highlight w:val="white"/>
        </w:rPr>
        <w:t xml:space="preserve">блигации представляют собой прямые, безусловные обязательства Эмитента.</w:t>
      </w:r>
      <w:r>
        <w:rPr>
          <w:rStyle w:val="1207"/>
          <w:b w:val="0"/>
          <w:i w:val="0"/>
          <w:sz w:val="24"/>
          <w:highlight w:val="white"/>
          <w:u w:val="single"/>
        </w:rPr>
      </w:r>
      <w:r>
        <w:rPr>
          <w:rStyle w:val="1207"/>
          <w:b w:val="0"/>
          <w:i w:val="0"/>
          <w:sz w:val="24"/>
          <w:highlight w:val="white"/>
          <w:u w:val="singl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rStyle w:val="1207"/>
          <w:b w:val="0"/>
          <w:i w:val="0"/>
          <w:sz w:val="24"/>
          <w:highlight w:val="white"/>
        </w:rPr>
      </w:pPr>
      <w:r>
        <w:rPr>
          <w:rStyle w:val="1207"/>
          <w:b w:val="0"/>
          <w:i w:val="0"/>
          <w:sz w:val="24"/>
          <w:highlight w:val="white"/>
        </w:rPr>
        <w:t xml:space="preserve">Каждая Биржевая облигация в рамках каждого отдельного выпуска предоставляет ее владельцам одинаковый объем прав.</w:t>
      </w:r>
      <w:r>
        <w:rPr>
          <w:rStyle w:val="1207"/>
          <w:b w:val="0"/>
          <w:i w:val="0"/>
          <w:sz w:val="24"/>
          <w:highlight w:val="white"/>
        </w:rPr>
      </w:r>
      <w:r>
        <w:rPr>
          <w:rStyle w:val="1207"/>
          <w:b w:val="0"/>
          <w:i w:val="0"/>
          <w:sz w:val="24"/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имеют право на получение номинальной стоимости (непогашенной части номинальной стоимости) Биржевых облигаций в порядке и сроки, предусмотренные Программой биржевых облигаций, Решением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отдельного выпуска Биржевых облигации имеют право на возврат средств инвестирования, в случае признания отдельного выпуска Биржевых облигаций недействительным в соответствии с законодательством Российской Федерации.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Владельцы отдельного выпуска Биржевых облигаций имеют право требовать приобретения Биржевых облигаций Эмитентом в случаях и на условиях, предусмотренных Программой биржевых облигаций и Решением о </w:t>
      </w:r>
      <w:r>
        <w:rPr>
          <w:bCs/>
          <w:iCs/>
          <w:highlight w:val="white"/>
        </w:rPr>
        <w:t xml:space="preserve">выпуске ценных</w:t>
      </w:r>
      <w:r>
        <w:rPr>
          <w:bCs/>
          <w:iCs/>
          <w:highlight w:val="white"/>
        </w:rPr>
        <w:t xml:space="preserve">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Владельцы отдельного выпуска Биржевых облигаций имеют право требовать досрочного погашения Биржевых облигаций, </w:t>
      </w:r>
      <w:r>
        <w:rPr>
          <w:highlight w:val="white"/>
        </w:rPr>
        <w:t xml:space="preserve">в случаях и на условиях, предусмотренных Программой биржевых облигаций, Решением о </w:t>
      </w:r>
      <w:r>
        <w:rPr>
          <w:highlight w:val="white"/>
        </w:rPr>
        <w:t xml:space="preserve">выпуске ценных</w:t>
      </w:r>
      <w:r>
        <w:rPr>
          <w:bCs/>
          <w:iCs/>
          <w:highlight w:val="white"/>
        </w:rPr>
        <w:t xml:space="preserve"> бумаг и</w:t>
      </w:r>
      <w:r>
        <w:rPr>
          <w:highlight w:val="white"/>
        </w:rPr>
        <w:t xml:space="preserve"> законодательством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Решением о выпуске ценных бумаг предусмотрена выплата купонного дохода владельцы Биржевых облигаций имеют право на получение процента от неп</w:t>
      </w:r>
      <w:r>
        <w:rPr>
          <w:highlight w:val="white"/>
        </w:rPr>
        <w:t xml:space="preserve">огашенной части номинальной стоимости Биржевых облигаций (ранее и далее - «купонный доход») по окончании каждого купонного периода, порядок определения размера которого и сроки выплаты указаны в Программе биржевых облигаций, Решении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Решением о выпуске ценных бумаг предусмотрена выплата допо</w:t>
      </w:r>
      <w:r>
        <w:rPr>
          <w:highlight w:val="white"/>
        </w:rPr>
        <w:t xml:space="preserve">лнительного дохода владельцы Биржевых облигаций имеют право на получение дополнительного дохода размер, порядок определения размера и сроки (порядок определения срока) выплаты которого указаны в Программе биржевых облигаций, Решении о выпуске ценных бумаг.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имеют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ликвидации Эмитента владельцы Биржевых облигаций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Все задолженности Эмитента по Биржевым облигациям отдельного </w:t>
      </w:r>
      <w:r>
        <w:rPr>
          <w:highlight w:val="white"/>
        </w:rPr>
        <w:t xml:space="preserve">выпуска будут</w:t>
      </w:r>
      <w:r>
        <w:rPr>
          <w:highlight w:val="white"/>
        </w:rPr>
        <w:t xml:space="preserve"> юридически равны и в равной степени обязательны к исполнению.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Владельцы Биржевых облигаций вправе осуществлять иные права, предусмотренные законодательством Российской Федерации.</w:t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>
        <w:rPr>
          <w:highlight w:val="white"/>
        </w:rPr>
      </w:r>
    </w:p>
    <w:p>
      <w:pPr>
        <w:tabs>
          <w:tab w:val="left" w:pos="284" w:leader="none"/>
        </w:tabs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  <w:t xml:space="preserve">Предоставление обеспечения по Биржевым облигациям отдельного выпуска, размещаемого в рамках Программы биржевых облигаций, не предусмотрено.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структурными облигациями.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567" w:leader="none"/>
        </w:tabs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облигациями с ипотечным покрытием.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конвертируемыми.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ценными бумагами, предназначенными для квалифицированных инвесторов.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  <w:t xml:space="preserve">7.4.3.1. В случае предоставления обеспечения по облигациям выпуска указываются права владельцев облигаций, возникающие из такого обеспечения, в соответствии с условиями обеспечения, указанными в решении о выпуске облигаций, а также то, что с переходом прав</w:t>
      </w:r>
      <w:r>
        <w:rPr>
          <w:b/>
          <w:bCs/>
          <w:highlight w:val="white"/>
        </w:rPr>
        <w:t xml:space="preserve"> на облигацию с обеспечением к новому владельцу (приобретателю) переходят все права, вытекающие из такого обеспечения. Указывается, что передача прав, возникших из предоставленного обеспечения, без передачи прав на облигацию является недействительной.</w:t>
        <w:br/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  <w14:ligatures w14:val="none"/>
        </w:rPr>
      </w:pPr>
      <w:r>
        <w:rPr>
          <w:highlight w:val="white"/>
        </w:rPr>
        <w:t xml:space="preserve">Сведения не указываются. П</w:t>
      </w:r>
      <w:r>
        <w:rPr>
          <w:highlight w:val="white"/>
        </w:rPr>
        <w:t xml:space="preserve">редоставление обеспечения по </w:t>
      </w:r>
      <w:r>
        <w:rPr>
          <w:highlight w:val="white"/>
        </w:rPr>
        <w:t xml:space="preserve">Биржевым облигациям, размещаемым в рамках Программы биржевых облигаций, не предусмотрено. </w:t>
      </w:r>
      <w:r>
        <w:rPr>
          <w:bCs/>
          <w:iCs/>
          <w:highlight w:val="white"/>
          <w14:ligatures w14:val="none"/>
        </w:rPr>
      </w:r>
      <w:r>
        <w:rPr>
          <w:bCs/>
          <w:i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  <w:t xml:space="preserve">7.4.3.2.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обстоятельств, предусмотренных решением о выпуске структурных облигаций.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Сведения не указываются. </w:t>
      </w:r>
      <w:r>
        <w:rPr>
          <w:highlight w:val="white"/>
        </w:rPr>
        <w:t xml:space="preserve">Биржевые облигации, размещаемые в рамках Программы биржевых облигаций, не являются структурными облигациями.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  <w:t xml:space="preserve">7.4.3.3. Для облигаций без срока погашения указывается данное обстоятельство. Указывается право эмитента отказаться в одностороннем порядке от выплаты процентов по таким облигациям, в случае если такое право предусматривается решением о выпуске облигаций.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Сведения не указываются. </w:t>
      </w:r>
      <w:r>
        <w:rPr>
          <w:highlight w:val="white"/>
        </w:rPr>
        <w:t xml:space="preserve">Биржевые облигации, размещаемые в рамках Программы биржевых облигаций, не являются обл</w:t>
      </w:r>
      <w:r>
        <w:rPr>
          <w:highlight w:val="white"/>
        </w:rPr>
        <w:t xml:space="preserve">игациями </w:t>
      </w:r>
      <w:r>
        <w:rPr>
          <w:highlight w:val="white"/>
        </w:rPr>
        <w:t xml:space="preserve">без срока погашения</w:t>
      </w:r>
      <w:r>
        <w:rPr>
          <w:highlight w:val="white"/>
        </w:rPr>
        <w:t xml:space="preserve">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  <w:t xml:space="preserve">7.4.3.4. Для облигаций с ипотечным покрытием указываются права владельцев облигаций, возникающие из залога ипотечного покрытия, в соответствии с условиями такого залога, указанными в решении о выпуске облигаций, а также то, что с переходом прав на облигаци</w:t>
      </w:r>
      <w:r>
        <w:rPr>
          <w:b/>
          <w:bCs/>
          <w:highlight w:val="white"/>
        </w:rPr>
        <w:t xml:space="preserve">ю с ипотечным покрытием к новому владельцу (приобретателю) переходят все права, вытекающие из залога ипотечного покрытия. Указывается на то, что передача прав, возникших из залога ипотечного покрытия, без передачи прав на облигацию с ипотечным покрытием яв</w:t>
      </w:r>
      <w:r>
        <w:rPr>
          <w:b/>
          <w:bCs/>
          <w:highlight w:val="white"/>
        </w:rPr>
        <w:t xml:space="preserve">ляется недействительной.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ind w:firstLine="540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highlight w:val="white"/>
          <w14:ligatures w14:val="none"/>
        </w:rPr>
      </w:pPr>
      <w:r>
        <w:rPr>
          <w:highlight w:val="white"/>
        </w:rPr>
        <w:t xml:space="preserve">Сведения не указываются. </w:t>
      </w:r>
      <w:r>
        <w:rPr>
          <w:highlight w:val="white"/>
        </w:rPr>
        <w:t xml:space="preserve">Б</w:t>
      </w:r>
      <w:r>
        <w:rPr>
          <w:highlight w:val="white"/>
        </w:rPr>
        <w:t xml:space="preserve">иржевые облигации, размещаемые в рамках Программы биржевых облигаций, не являются обл</w:t>
      </w:r>
      <w:r>
        <w:rPr>
          <w:highlight w:val="white"/>
        </w:rPr>
        <w:t xml:space="preserve">игациями </w:t>
      </w:r>
      <w:r>
        <w:rPr>
          <w:highlight w:val="white"/>
        </w:rPr>
        <w:t xml:space="preserve">с ипотечным покрытием</w:t>
      </w:r>
      <w:r>
        <w:rPr>
          <w:highlight w:val="white"/>
        </w:rPr>
        <w:t xml:space="preserve">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7.4.4. Права владельца опционов эмитента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highlight w:val="white"/>
        </w:rPr>
      </w:r>
      <w:r>
        <w:rPr>
          <w:highlight w:val="white"/>
        </w:rPr>
        <w:t xml:space="preserve">Сведения не указываются. </w:t>
      </w:r>
      <w:r>
        <w:rPr>
          <w:bCs/>
          <w:iCs/>
          <w:highlight w:val="white"/>
        </w:rPr>
        <w:t xml:space="preserve">Биржевые облигации</w:t>
      </w:r>
      <w:r>
        <w:rPr>
          <w:highlight w:val="white"/>
        </w:rPr>
        <w:t xml:space="preserve">, размещаемые в рамках Программы биржевых облигаций,</w:t>
      </w:r>
      <w:r>
        <w:rPr>
          <w:bCs/>
          <w:iCs/>
          <w:highlight w:val="white"/>
        </w:rPr>
        <w:t xml:space="preserve"> не являются </w:t>
      </w:r>
      <w:r>
        <w:rPr>
          <w:bCs/>
          <w:iCs/>
          <w:highlight w:val="white"/>
        </w:rPr>
        <w:t xml:space="preserve">опционами эмитента</w:t>
      </w:r>
      <w:r>
        <w:rPr>
          <w:bCs/>
          <w:iCs/>
          <w:highlight w:val="white"/>
        </w:rPr>
        <w:t xml:space="preserve">.  </w:t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7.4.5. Права владельца российских депозитарных расписок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highlight w:val="white"/>
        </w:rPr>
      </w:r>
      <w:r>
        <w:rPr>
          <w:highlight w:val="white"/>
        </w:rPr>
        <w:t xml:space="preserve">Сведения не указываются. </w:t>
      </w:r>
      <w:r>
        <w:rPr>
          <w:bCs/>
          <w:iCs/>
          <w:highlight w:val="white"/>
        </w:rPr>
        <w:t xml:space="preserve">Биржевые облигации</w:t>
      </w:r>
      <w:r>
        <w:rPr>
          <w:highlight w:val="white"/>
        </w:rPr>
        <w:t xml:space="preserve">, размещаемые в рамках Программы биржевых облигаций,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не являются российскими депозитарными расписками.  </w:t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7.4.6. Дополнительные сведения о правах владельца конвертируемых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highlight w:val="white"/>
        </w:rPr>
        <w:t xml:space="preserve">Сведения не указываются. </w:t>
      </w:r>
      <w:r>
        <w:rPr>
          <w:bCs/>
          <w:iCs/>
          <w:highlight w:val="white"/>
        </w:rPr>
        <w:t xml:space="preserve">Биржевые облигации</w:t>
      </w:r>
      <w:r>
        <w:rPr>
          <w:highlight w:val="white"/>
        </w:rPr>
        <w:t xml:space="preserve">, размещаемые в рамках Программы биржевых облигаций,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не являются конвертируемыми ценными бумагами. 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7.4.7. Дополнительные сведения о правах владельцев ценных бумаг, предназначенных для квалифицированных инвесторов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highlight w:val="white"/>
        </w:rPr>
        <w:t xml:space="preserve">Сведения не указываются. </w:t>
      </w:r>
      <w:r>
        <w:rPr>
          <w:bCs/>
          <w:iCs/>
          <w:highlight w:val="white"/>
        </w:rPr>
        <w:t xml:space="preserve">Биржевые облигации</w:t>
      </w:r>
      <w:r>
        <w:rPr>
          <w:highlight w:val="white"/>
        </w:rPr>
        <w:t xml:space="preserve">, размещаемые в рамках Программы биржевых облигаций,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не предназначены для квалифицированных инвесторов.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 Порядок и условия погашения и выплаты доходов по облигациям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7.5.1. Форма погашения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Погашение Биржевых облигаций производится денежными средствами в валюте, </w:t>
      </w:r>
      <w:r>
        <w:rPr>
          <w:bCs/>
          <w:iCs/>
          <w:highlight w:val="white"/>
        </w:rPr>
        <w:t xml:space="preserve">установленной в</w:t>
      </w:r>
      <w:r>
        <w:rPr>
          <w:bCs/>
          <w:iCs/>
          <w:highlight w:val="white"/>
        </w:rPr>
        <w:t xml:space="preserve"> Решении о выпуске ценных бумаг, в безналичном порядке.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Возможность и условия выбора владельцами Биржевых облигаций формы их погашения не предусмотрена.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7.5.2. Срок погашения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Срок </w:t>
      </w:r>
      <w:r>
        <w:rPr>
          <w:bCs/>
          <w:iCs/>
          <w:highlight w:val="white"/>
        </w:rPr>
        <w:t xml:space="preserve">погашения Биржевых облигаций Программой биржевых облигаций и Проспектом не определя</w:t>
      </w:r>
      <w:r>
        <w:rPr>
          <w:bCs/>
          <w:iCs/>
          <w:highlight w:val="white"/>
        </w:rPr>
        <w:t xml:space="preserve">е</w:t>
      </w:r>
      <w:r>
        <w:rPr>
          <w:bCs/>
          <w:iCs/>
          <w:highlight w:val="white"/>
        </w:rPr>
        <w:t xml:space="preserve">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Сведения о </w:t>
      </w:r>
      <w:r>
        <w:rPr>
          <w:bCs/>
          <w:iCs/>
          <w:highlight w:val="white"/>
        </w:rPr>
        <w:t xml:space="preserve">сроке</w:t>
      </w:r>
      <w:r>
        <w:rPr>
          <w:bCs/>
          <w:iCs/>
          <w:highlight w:val="white"/>
        </w:rPr>
        <w:t xml:space="preserve"> погашения Биржевых облигаций выпуска будут указаны в соответствующем Решении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7.5.3. Порядок и условия погашения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Порядок и условия погашения Биржевых облигаций Программой биржевых облигаций и Проспектом не определяются.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Сведения о порядке и условиях погашения Биржевых облигаций выпуска будут указаны в соответствующем Решении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 не являются структурными облигациями.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размещаемые в рамках Программы биржевых облигаций, не являются облигациями без срока погашения.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Cs/>
          <w:highlight w:val="white"/>
        </w:rPr>
        <w:t xml:space="preserve">7.5.4. Порядок определения дохода, выплачиваемого по каждой облигации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рамках Программы биржевых облигаций могут быть размещены Биржевые облигации, предусматривающие получение одного из указанных видов доходов или любого их </w:t>
      </w:r>
      <w:r>
        <w:rPr>
          <w:highlight w:val="white"/>
        </w:rPr>
        <w:t xml:space="preserve">сочетания: купонного</w:t>
      </w:r>
      <w:r>
        <w:rPr>
          <w:highlight w:val="white"/>
        </w:rPr>
        <w:t xml:space="preserve"> дохода, дополнительного </w:t>
      </w:r>
      <w:r>
        <w:rPr>
          <w:highlight w:val="white"/>
        </w:rPr>
        <w:t xml:space="preserve">дохода, дисконта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jc w:val="both"/>
        <w:rPr>
          <w:rStyle w:val="1207"/>
          <w:i w:val="0"/>
          <w:sz w:val="24"/>
          <w:highlight w:val="white"/>
          <w:u w:val="single"/>
        </w:rPr>
      </w:pPr>
      <w:r>
        <w:rPr>
          <w:i w:val="0"/>
          <w:sz w:val="24"/>
          <w:highlight w:val="white"/>
          <w:u w:val="single"/>
        </w:rPr>
      </w:r>
      <w:r>
        <w:rPr>
          <w:rStyle w:val="1207"/>
          <w:i w:val="0"/>
          <w:sz w:val="24"/>
          <w:highlight w:val="white"/>
          <w:u w:val="single"/>
        </w:rPr>
      </w:r>
      <w:r>
        <w:rPr>
          <w:rStyle w:val="1207"/>
          <w:i w:val="0"/>
          <w:sz w:val="24"/>
          <w:highlight w:val="white"/>
          <w:u w:val="single"/>
        </w:rPr>
      </w:r>
    </w:p>
    <w:p>
      <w:pPr>
        <w:ind w:firstLine="709"/>
        <w:jc w:val="both"/>
        <w:rPr>
          <w:rStyle w:val="1207"/>
          <w:i w:val="0"/>
          <w:sz w:val="24"/>
          <w:highlight w:val="white"/>
          <w:u w:val="single"/>
        </w:rPr>
      </w:pPr>
      <w:r>
        <w:rPr>
          <w:rStyle w:val="1207"/>
          <w:sz w:val="24"/>
          <w:highlight w:val="white"/>
          <w:u w:val="single"/>
        </w:rPr>
        <w:t xml:space="preserve">Сведения о предусмотренных видах дохода будут указаны в Решении о выпуске ценных бумаг.</w:t>
      </w:r>
      <w:r>
        <w:rPr>
          <w:rStyle w:val="1207"/>
          <w:i w:val="0"/>
          <w:sz w:val="24"/>
          <w:highlight w:val="white"/>
          <w:u w:val="single"/>
        </w:rPr>
      </w:r>
      <w:r>
        <w:rPr>
          <w:rStyle w:val="1207"/>
          <w:i w:val="0"/>
          <w:sz w:val="24"/>
          <w:highlight w:val="white"/>
          <w:u w:val="singl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А) Купонный доход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случае, если Решением о выпуске ценных бумаг будет предусмотрена выплата купонного дохода: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Количество купонных периодов Биржевых облигаций устанавливается соответствующим Решением о выпуске ценных бумаг.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устанавливает дату начала и дату окончания купонных периодов или порядок их определения по каждому выпуску в соответствующем Решении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Порядок определения размера дохода</w:t>
      </w:r>
      <w:bookmarkStart w:id="24" w:name="_Hlk40965867"/>
      <w:r>
        <w:rPr>
          <w:highlight w:val="white"/>
          <w:u w:val="single"/>
        </w:rPr>
        <w:t xml:space="preserve"> (порядок расчета сумм выплат) на одну Биржевую облигацию</w:t>
      </w:r>
      <w:bookmarkEnd w:id="24"/>
      <w:r>
        <w:rPr>
          <w:highlight w:val="white"/>
          <w:u w:val="single"/>
        </w:rPr>
        <w:t xml:space="preserve">, выплачиваемого по каждому купону: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1. Если иное не установлено Решением о выпуске ценных бумаг, размер купонного дохода</w:t>
      </w:r>
      <w:r>
        <w:rPr>
          <w:highlight w:val="white"/>
        </w:rPr>
        <w:t xml:space="preserve"> </w:t>
      </w:r>
      <w:r>
        <w:rPr>
          <w:bCs/>
          <w:iCs/>
          <w:highlight w:val="white"/>
        </w:rPr>
        <w:t xml:space="preserve">(расчет сумм выплат) на одну Биржевую облигацию, выплачиваемого </w:t>
      </w:r>
      <w:r>
        <w:rPr>
          <w:bCs/>
          <w:iCs/>
          <w:highlight w:val="white"/>
        </w:rPr>
        <w:t xml:space="preserve">по каждому купону,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определяется по</w:t>
      </w:r>
      <w:r>
        <w:rPr>
          <w:bCs/>
          <w:iCs/>
          <w:highlight w:val="white"/>
        </w:rPr>
        <w:t xml:space="preserve"> следующей формуле: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КД = Cj * Nom * (T(j) -T(j-1)) / (365 * 100%), где 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КД - величина купонного дохода по каждой Биржевой облигации в валюте, в которой выражена номинальная стоимость Биржевой облигации; 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j - порядковый номер купонного периода, (j=1,2…, n, где n- количество купонных периодов, установленных Решением о выпуске ценных бумаг); 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Nom - непогашенная часть номинальной стоимости одной Биржевой облигации; в валюте, в которой выражена номинальная стоимость Биржевой облигации;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T(j-1) - дата начала j-го купонного периода; 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T(j) - дата окончания j-го купонного периода;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Cj - размер процентной ставки j-го купона, в процентах годовых.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Величина купонного дохода рассчитывается с точностью до второго знака после запятой (округление второго знака после запятой пр</w:t>
      </w:r>
      <w:r>
        <w:rPr>
          <w:bCs/>
          <w:iCs/>
          <w:highlight w:val="white"/>
        </w:rPr>
        <w:t xml:space="preserve">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(частями), погашенной (погашенными) </w:t>
      </w:r>
      <w:r>
        <w:rPr>
          <w:bCs/>
          <w:iCs/>
          <w:highlight w:val="white"/>
        </w:rPr>
        <w:t xml:space="preserve">ранее (</w:t>
      </w:r>
      <w:r>
        <w:rPr>
          <w:bCs/>
          <w:iCs/>
          <w:highlight w:val="white"/>
        </w:rPr>
        <w:t xml:space="preserve">ранее и далее – «непогашенная часть номинальной стоимости»).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2. В Решении о выпуске ценных бумаг для расчета размера купонного дохода (сумм выплат) на одну Биржевую облигацию по каждому купонному периоду Эмитент может установить иную формулу расчета.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widowControl w:val="off"/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Порядок установления процентных ставок: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Размер дохода (процента) по Биржевым облигациям или порядок его определения в виде формулы с переменными, значения которых не могут изменяться в зависимости от усмотрения Эмитента (далее – «порядок определения процентной ставки»), </w:t>
      </w:r>
      <w:r>
        <w:rPr>
          <w:bCs/>
          <w:iCs/>
          <w:highlight w:val="white"/>
        </w:rPr>
        <w:t xml:space="preserve">Программой биржевых</w:t>
      </w:r>
      <w:r>
        <w:rPr>
          <w:bCs/>
          <w:iCs/>
          <w:highlight w:val="white"/>
        </w:rPr>
        <w:t xml:space="preserve"> облигаций и Проспектом не определяется.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Размер процента (купона)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  <w:t xml:space="preserve">Процентная ставка по первому купону определяетс</w:t>
      </w:r>
      <w:r>
        <w:rPr>
          <w:highlight w:val="white"/>
        </w:rPr>
        <w:t xml:space="preserve">я Эмитентом до даты начала размещения Биржевых облигаций либо в дату начала размещения Биржевых облигаций в зависимости от условий размещения Биржевых облигаций, которые будут указаны в 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Информация о величине процентной ставки купона на первый купонный период раскрывается Эмитентом в соответствии с п.12.1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  <w:u w:val="single"/>
        </w:rPr>
      </w:pPr>
      <w:r>
        <w:rPr>
          <w:bCs/>
          <w:iCs/>
          <w:highlight w:val="white"/>
          <w:u w:val="single"/>
        </w:rPr>
        <w:t xml:space="preserve">Порядок установления процентной ставки по купонам, начиная со второго: </w:t>
      </w:r>
      <w:r>
        <w:rPr>
          <w:bCs/>
          <w:iCs/>
          <w:highlight w:val="white"/>
          <w:u w:val="single"/>
        </w:rPr>
      </w:r>
      <w:r>
        <w:rPr>
          <w:bCs/>
          <w:iCs/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highlight w:val="white"/>
        </w:rPr>
      </w:pPr>
      <w:r>
        <w:rPr>
          <w:bCs/>
          <w:iCs/>
          <w:highlight w:val="white"/>
        </w:rPr>
        <w:t xml:space="preserve">До даты начала размещения Биржевых облигаций Эмитент может принять решение о ставках или</w:t>
      </w:r>
      <w:r>
        <w:rPr>
          <w:bCs/>
          <w:iCs/>
          <w:highlight w:val="white"/>
        </w:rPr>
        <w:t xml:space="preserve"> порядке определения размера процентных ставок купонов в виде формулы с переменными, значения которых не могут изменяться в зависимости от усмотрения Эмитента, </w:t>
      </w:r>
      <w:r>
        <w:rPr>
          <w:bCs/>
          <w:highlight w:val="white"/>
        </w:rPr>
        <w:t xml:space="preserve">любого количества идущих последовательно друг за другом купонных периодов, начиная со второго.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206"/>
        <w:ind w:firstLine="709"/>
        <w:jc w:val="both"/>
        <w:rPr>
          <w:b/>
          <w:bCs/>
          <w:i/>
          <w:iCs/>
          <w:color w:val="auto"/>
          <w:highlight w:val="white"/>
        </w:rPr>
      </w:pPr>
      <w:r>
        <w:rPr>
          <w:b/>
          <w:bCs/>
          <w:i/>
          <w:iCs/>
          <w:color w:val="auto"/>
          <w:highlight w:val="white"/>
        </w:rPr>
      </w:r>
      <w:r>
        <w:rPr>
          <w:b/>
          <w:bCs/>
          <w:i/>
          <w:iCs/>
          <w:color w:val="auto"/>
          <w:highlight w:val="white"/>
        </w:rPr>
      </w:r>
      <w:r>
        <w:rPr>
          <w:b/>
          <w:bCs/>
          <w:i/>
          <w:iCs/>
          <w:color w:val="auto"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До даты начала размещения Биржевых облигаций Эмитент обязан определить размер процента (купона) или</w:t>
      </w:r>
      <w:r>
        <w:rPr>
          <w:bCs/>
          <w:iCs/>
          <w:highlight w:val="white"/>
        </w:rPr>
        <w:t xml:space="preserve"> порядок его определения в виде формулы с переменными, значения которых не могут изменяться в зависимости от усмотрения Эмитента, в отношении каждого из купонных периодов, следующих за первым, которые начинаются до завершения размещения Биржевых облигаций.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информирует Биржу и Небанковскую кредитную организацию «Национальный расчетный депозитарий» (далее - </w:t>
      </w:r>
      <w:r>
        <w:rPr>
          <w:bCs/>
          <w:iCs/>
          <w:highlight w:val="white"/>
        </w:rPr>
        <w:t xml:space="preserve">«НКО</w:t>
      </w:r>
      <w:r>
        <w:rPr>
          <w:bCs/>
          <w:iCs/>
          <w:highlight w:val="white"/>
        </w:rPr>
        <w:t xml:space="preserve"> АО НРД») о принятых решениях, в том числе об определенных ставках, либо порядке определения ставок до даты начала размещения Биржевых облигаций в установленном порядке.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Процентная ставка или порядок определения процентной ставки по каждому купонному периоду, размер (порядок определения размера) которых не был установлен Эмитентом до даты начала размещения Биржевых облигаций, определяется Эмитентом после завершения </w:t>
      </w:r>
      <w:r>
        <w:rPr>
          <w:bCs/>
          <w:iCs/>
          <w:highlight w:val="white"/>
        </w:rPr>
        <w:t xml:space="preserve">размещения Биржевых облигаций </w:t>
      </w:r>
      <w:r>
        <w:rPr>
          <w:bCs/>
          <w:iCs/>
          <w:color w:val="auto"/>
          <w:highlight w:val="white"/>
        </w:rPr>
        <w:t xml:space="preserve">и раскрывается не позднее, </w:t>
      </w:r>
      <w:r>
        <w:rPr>
          <w:bCs/>
          <w:iCs/>
          <w:color w:val="auto"/>
          <w:highlight w:val="white"/>
        </w:rPr>
        <w:t xml:space="preserve">чем за</w:t>
      </w:r>
      <w:r>
        <w:rPr>
          <w:bCs/>
          <w:iCs/>
          <w:color w:val="auto"/>
          <w:highlight w:val="white"/>
        </w:rPr>
        <w:t xml:space="preserve"> </w:t>
      </w:r>
      <w:r>
        <w:rPr>
          <w:bCs/>
          <w:iCs/>
          <w:color w:val="auto"/>
          <w:highlight w:val="white"/>
        </w:rPr>
        <w:t xml:space="preserve">                </w:t>
      </w:r>
      <w:r>
        <w:rPr>
          <w:bCs/>
          <w:iCs/>
          <w:color w:val="auto"/>
          <w:highlight w:val="white"/>
        </w:rPr>
        <w:t xml:space="preserve">5 (Пять) рабочих дней до даты окончания предшествующего купонного периода. 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Эмитент имеет право определить в дату </w:t>
      </w:r>
      <w:r>
        <w:rPr>
          <w:bCs/>
          <w:highlight w:val="white"/>
        </w:rPr>
        <w:t xml:space="preserve">установления купона</w:t>
      </w:r>
      <w:r>
        <w:rPr>
          <w:bCs/>
          <w:highlight w:val="white"/>
        </w:rPr>
        <w:t xml:space="preserve"> процентную ставку или порядок определения процентной ставки любого количества следующих за устанавливаемым купоном неопределенных купонов.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426" w:leader="none"/>
        </w:tabs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В данном случае Эмитент обязан обеспечить право владельцев Биржевых облигаций требовать от Эмитента приобретения Биржевых облигаций по цене, равной 100 (Сто) процентов непогаш</w:t>
      </w:r>
      <w:r>
        <w:rPr>
          <w:bCs/>
          <w:highlight w:val="white"/>
        </w:rPr>
        <w:t xml:space="preserve">енной части номинальной стоимости без учета накопленного купонного дохода, рассчитанного на Дату приобретения Биржевых облигаций, который уплачивается продавцу Биржевых облигаций сверх указанной цены приобретения, в течение последних 5 (Пяти) рабочих дней </w:t>
      </w:r>
      <w:r>
        <w:rPr>
          <w:bCs/>
          <w:highlight w:val="white"/>
        </w:rPr>
        <w:t xml:space="preserve">предшествующего купонного</w:t>
      </w:r>
      <w:r>
        <w:rPr>
          <w:bCs/>
          <w:highlight w:val="white"/>
        </w:rPr>
        <w:t xml:space="preserve"> периода.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Эмитент информирует Биржу и НКО АО НРД о принятых решениях, в том числе об определенных ставках, либо порядке определения ставок в установленном порядке. 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Информация об опреде</w:t>
      </w:r>
      <w:r>
        <w:rPr>
          <w:bCs/>
          <w:iCs/>
          <w:color w:val="auto"/>
          <w:highlight w:val="white"/>
        </w:rPr>
        <w:t xml:space="preserve">ленных ставках или порядке определения размера ставок купонов в виде формулы с переменными, значения которых не могут изменяться в зависимости от усмотрения Эмитента, публикуется Эмитентом в порядке и сроки, указанные в п.12.1 Программы биржевых облигаций </w:t>
      </w:r>
      <w:r>
        <w:rPr>
          <w:bCs/>
          <w:iCs/>
          <w:highlight w:val="white"/>
        </w:rPr>
        <w:t xml:space="preserve">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  <w:u w:val="single"/>
        </w:rPr>
      </w:pPr>
      <w:r>
        <w:rPr>
          <w:bCs/>
          <w:iCs/>
          <w:highlight w:val="white"/>
        </w:rPr>
        <w:t xml:space="preserve">При этом информация об установленной(-ых) ставке(-ах) или порядке определения процентной (-ых) ставке(-ах) по купону(-ам) Биржевых облигаций может быть указана в соответствующем Решении о выпуске ценных бумаг.</w:t>
      </w:r>
      <w:r>
        <w:rPr>
          <w:bCs/>
          <w:iCs/>
          <w:highlight w:val="white"/>
          <w:u w:val="single"/>
        </w:rPr>
      </w:r>
      <w:r>
        <w:rPr>
          <w:bCs/>
          <w:iCs/>
          <w:highlight w:val="white"/>
          <w:u w:val="single"/>
        </w:rPr>
      </w:r>
    </w:p>
    <w:p>
      <w:pPr>
        <w:widowControl w:val="off"/>
        <w:jc w:val="both"/>
        <w:rPr>
          <w:b/>
          <w:bCs/>
          <w:iCs/>
          <w:highlight w:val="white"/>
          <w:u w:val="single"/>
        </w:rPr>
      </w:pPr>
      <w:r>
        <w:rPr>
          <w:b/>
          <w:bCs/>
          <w:iCs/>
          <w:highlight w:val="white"/>
          <w:u w:val="single"/>
        </w:rPr>
      </w:r>
      <w:r>
        <w:rPr>
          <w:b/>
          <w:bCs/>
          <w:iCs/>
          <w:highlight w:val="white"/>
          <w:u w:val="single"/>
        </w:rPr>
      </w:r>
      <w:r>
        <w:rPr>
          <w:b/>
          <w:bCs/>
          <w:iCs/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Решении о выпуске ценных бумаг может быть предусмотрена дополнительная информация о порядке определения и условиях выплаты купонного дохода по Биржевым облигациям.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/>
          <w:bCs/>
          <w:iCs/>
          <w:highlight w:val="white"/>
        </w:rPr>
      </w:pPr>
      <w:r>
        <w:rPr>
          <w:rFonts w:eastAsia="TimesNewRomanPS-BoldItalicMT"/>
          <w:b/>
          <w:bCs/>
          <w:iCs/>
          <w:highlight w:val="white"/>
        </w:rPr>
        <w:t xml:space="preserve">Б) Дополнительный доход</w:t>
      </w:r>
      <w:r>
        <w:rPr>
          <w:rFonts w:eastAsia="TimesNewRomanPS-BoldItalicMT"/>
          <w:b/>
          <w:bCs/>
          <w:iCs/>
          <w:highlight w:val="white"/>
        </w:rPr>
      </w:r>
      <w:r>
        <w:rPr>
          <w:rFonts w:eastAsia="TimesNewRomanPS-BoldItalicMT"/>
          <w:b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В случае, если Решением о выпуске ценных бумаг будет предусмотрена выплата дополнительного дохода: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Дополнительный доход является процентным доходом по Биржевым облигациям, определяемым как процент от номинальной стоимости (непогашенной части номинальной стоимости) Биржевой облигации.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Размер (порядок определения размера) дополнительного дохода Программой биржевых </w:t>
      </w:r>
      <w:r>
        <w:rPr>
          <w:rFonts w:eastAsia="TimesNewRomanPS-BoldItalicMT"/>
          <w:bCs/>
          <w:iCs/>
          <w:highlight w:val="white"/>
        </w:rPr>
        <w:t xml:space="preserve">облигаций и</w:t>
      </w:r>
      <w:r>
        <w:rPr>
          <w:rFonts w:eastAsia="TimesNewRomanPS-BoldItalicMT"/>
          <w:bCs/>
          <w:iCs/>
          <w:highlight w:val="white"/>
        </w:rPr>
        <w:t xml:space="preserve"> Проспектом не определяется.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Сведения о размере (порядке определения размера) дополнительного дохода будут приведены в соответствующем Решении о выпуске ценных бумаг.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В) Дисконт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(дисконт).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Размер (порядок определения размера) дисконта Программой биржевых </w:t>
      </w:r>
      <w:r>
        <w:rPr>
          <w:bCs/>
          <w:iCs/>
          <w:highlight w:val="white"/>
        </w:rPr>
        <w:t xml:space="preserve">облигаций и</w:t>
      </w:r>
      <w:r>
        <w:rPr>
          <w:rFonts w:eastAsia="TimesNewRomanPS-BoldItalicMT"/>
          <w:bCs/>
          <w:iCs/>
          <w:highlight w:val="white"/>
        </w:rPr>
        <w:t xml:space="preserve"> Проспектом </w:t>
      </w:r>
      <w:r>
        <w:rPr>
          <w:bCs/>
          <w:iCs/>
          <w:highlight w:val="white"/>
        </w:rPr>
        <w:t xml:space="preserve">не определяется.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7.5.5. Порядок и срок выплаты дохода по облигациям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color w:val="000000"/>
          <w:sz w:val="22"/>
          <w:szCs w:val="22"/>
          <w:highlight w:val="white"/>
        </w:rPr>
      </w:pPr>
      <w:r>
        <w:rPr>
          <w:bCs/>
          <w:iCs/>
          <w:color w:val="000000"/>
          <w:sz w:val="22"/>
          <w:szCs w:val="22"/>
          <w:highlight w:val="white"/>
        </w:rPr>
      </w:r>
      <w:r>
        <w:rPr>
          <w:bCs/>
          <w:iCs/>
          <w:color w:val="000000"/>
          <w:sz w:val="22"/>
          <w:szCs w:val="22"/>
          <w:highlight w:val="white"/>
        </w:rPr>
      </w:r>
      <w:r>
        <w:rPr>
          <w:bCs/>
          <w:iCs/>
          <w:color w:val="000000"/>
          <w:sz w:val="22"/>
          <w:szCs w:val="22"/>
          <w:highlight w:val="white"/>
        </w:rPr>
      </w:r>
    </w:p>
    <w:p>
      <w:pPr>
        <w:widowControl w:val="off"/>
        <w:ind w:firstLine="709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  <w:t xml:space="preserve">Выплата купонного дохода и дополнительного дохода по Биржевым облигациям производится денежными средствами в безналичном порядке в валюте, установленной Решением о выпуске ценных бумаг.</w:t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Срок выплаты дохода по облигациям или порядок его определения.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/>
          <w:iCs/>
          <w:color w:val="000000"/>
          <w:highlight w:val="white"/>
        </w:rPr>
      </w:pPr>
      <w:r>
        <w:rPr>
          <w:b/>
          <w:bCs/>
          <w:i/>
          <w:iCs/>
          <w:color w:val="000000"/>
          <w:highlight w:val="white"/>
        </w:rPr>
      </w:r>
      <w:r>
        <w:rPr>
          <w:b/>
          <w:bCs/>
          <w:i/>
          <w:iCs/>
          <w:color w:val="000000"/>
          <w:highlight w:val="white"/>
        </w:rPr>
      </w:r>
      <w:r>
        <w:rPr>
          <w:b/>
          <w:bCs/>
          <w:i/>
          <w:iCs/>
          <w:color w:val="000000"/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color w:val="000000"/>
          <w:highlight w:val="white"/>
        </w:rPr>
      </w:pPr>
      <w:r>
        <w:rPr>
          <w:b/>
          <w:bCs/>
          <w:iCs/>
          <w:color w:val="000000"/>
          <w:highlight w:val="white"/>
        </w:rPr>
        <w:t xml:space="preserve">А) Купонный доход</w:t>
      </w:r>
      <w:r>
        <w:rPr>
          <w:b/>
          <w:bCs/>
          <w:iCs/>
          <w:color w:val="000000"/>
          <w:highlight w:val="white"/>
        </w:rPr>
      </w:r>
      <w:r>
        <w:rPr>
          <w:b/>
          <w:bCs/>
          <w:iCs/>
          <w:color w:val="000000"/>
          <w:highlight w:val="white"/>
        </w:rPr>
      </w:r>
    </w:p>
    <w:p>
      <w:pPr>
        <w:widowControl w:val="off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widowControl w:val="off"/>
        <w:ind w:firstLine="709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  <w:t xml:space="preserve">В случае, если Решением о выпуске ценных бумаг будет предусмотрена выплата купонного дохода:</w:t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  <w:t xml:space="preserve">Если дата окончания купонного периода приходится на нерабочий д</w:t>
      </w:r>
      <w:r>
        <w:rPr>
          <w:bCs/>
          <w:iCs/>
          <w:color w:val="000000"/>
          <w:highlight w:val="white"/>
        </w:rPr>
        <w:t xml:space="preserve">ень, то перечисление надлежащей суммы производится в первый рабочий день, следующий за датой окончания купонного периода. Владелец Биржевых облигаций не имеет права требовать начисления процентов или какой-либо иной компенсации за такую задержку в платеже.</w:t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Б) Дополнительный доход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color w:val="000000"/>
          <w:highlight w:val="white"/>
        </w:rPr>
      </w:pPr>
      <w:r>
        <w:rPr>
          <w:bCs/>
          <w:iCs/>
          <w:color w:val="000000"/>
          <w:highlight w:val="white"/>
        </w:rPr>
        <w:t xml:space="preserve">В случае, если Решением о выпуске ценных бумаг будет предусмотрена выплата дополнительного дохода:</w:t>
      </w:r>
      <w:r>
        <w:rPr>
          <w:bCs/>
          <w:iCs/>
          <w:color w:val="000000"/>
          <w:highlight w:val="white"/>
        </w:rPr>
      </w:r>
      <w:r>
        <w:rPr>
          <w:bCs/>
          <w:iCs/>
          <w:color w:val="000000"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Срок выплаты дополнительного дохода Программой биржевых облигаций </w:t>
      </w:r>
      <w:r>
        <w:rPr>
          <w:bCs/>
          <w:iCs/>
          <w:highlight w:val="white"/>
        </w:rPr>
        <w:t xml:space="preserve">и Проспектом</w:t>
      </w:r>
      <w:r>
        <w:rPr>
          <w:rFonts w:eastAsia="TimesNewRomanPS-BoldItalicMT"/>
          <w:bCs/>
          <w:iCs/>
          <w:highlight w:val="white"/>
        </w:rPr>
        <w:t xml:space="preserve"> не определяется.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rFonts w:eastAsia="TimesNewRomanPS-BoldItalicMT"/>
          <w:bCs/>
          <w:iCs/>
          <w:highlight w:val="white"/>
        </w:rPr>
      </w:pPr>
      <w:r>
        <w:rPr>
          <w:rFonts w:eastAsia="TimesNewRomanPS-BoldItalicMT"/>
          <w:bCs/>
          <w:iCs/>
          <w:highlight w:val="white"/>
        </w:rPr>
        <w:t xml:space="preserve">Дополнительный доход может выплачиваться в любые даты в течение срока обращения Биржевых облигаций.</w:t>
      </w:r>
      <w:r>
        <w:rPr>
          <w:rFonts w:eastAsia="TimesNewRomanPS-BoldItalicMT"/>
          <w:bCs/>
          <w:iCs/>
          <w:highlight w:val="white"/>
        </w:rPr>
      </w:r>
      <w:r>
        <w:rPr>
          <w:rFonts w:eastAsia="TimesNewRomanPS-BoldItalicMT"/>
          <w:bCs/>
          <w:iCs/>
          <w:highlight w:val="white"/>
        </w:rPr>
      </w:r>
    </w:p>
    <w:p>
      <w:pPr>
        <w:widowControl w:val="off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B) Дисконт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(дисконт).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Выплата номинальной стоимости (непогашенной части номинальной </w:t>
      </w:r>
      <w:r>
        <w:rPr>
          <w:bCs/>
          <w:iCs/>
          <w:highlight w:val="white"/>
        </w:rPr>
        <w:t xml:space="preserve">стоимости) Биржевых</w:t>
      </w:r>
      <w:r>
        <w:rPr>
          <w:bCs/>
          <w:iCs/>
          <w:highlight w:val="white"/>
        </w:rPr>
        <w:t xml:space="preserve"> облигаций осуществляется при их погашении. Срок выплаты номинальной стоимости (непогашенной части номинальной стоимости) Программой биржевых облигаций и Проспектом не определяется.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Порядок выплаты дохода по Биржевым облигациям: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Порядок выплаты дохода по Биржевым облигациям Программой биржевых облигаций и Проспектом не определяется.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Сведения о видах дохода, сроке и порядке выплаты доходов по Биржевым облигациям будут указаны в соответствующем </w:t>
      </w:r>
      <w:r>
        <w:rPr>
          <w:bCs/>
          <w:iCs/>
          <w:highlight w:val="white"/>
        </w:rPr>
        <w:t xml:space="preserve">Решении о</w:t>
      </w:r>
      <w:r>
        <w:rPr>
          <w:bCs/>
          <w:iCs/>
          <w:highlight w:val="white"/>
        </w:rPr>
        <w:t xml:space="preserve">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Cs/>
          <w:highlight w:val="white"/>
        </w:rPr>
        <w:t xml:space="preserve">7.5.6. Порядок и условия досрочного погашения облигаций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Возможность досрочного погашения Биржевых облигаций по требованию их владельцев Программой и Проспектом не определяется.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Предусмотрена возможность досрочного погашения </w:t>
      </w:r>
      <w:r>
        <w:rPr>
          <w:highlight w:val="white"/>
        </w:rPr>
        <w:t xml:space="preserve">(частичного досрочного погашения) Биржевых облигаций </w:t>
      </w:r>
      <w:r>
        <w:rPr>
          <w:bCs/>
          <w:iCs/>
          <w:highlight w:val="white"/>
        </w:rPr>
        <w:t xml:space="preserve">по усмотрению Эмитента.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Досрочное погашение Биржевых облигаций допускается только после их полной оплаты. 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Досрочное погашение Биржевых облигаций производится денежными средствами в безналичном порядке в валюте, установленной Решением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облигации, погашенные Эмитентом досрочно, не могут быть вновь выпущены в обращение.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7.5.6.1. </w:t>
      </w:r>
      <w:r>
        <w:rPr>
          <w:b/>
          <w:bCs/>
          <w:highlight w:val="white"/>
        </w:rPr>
        <w:t xml:space="preserve">Досрочное погашение биржевых облигаций по требованию их владельцев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Наличие или отсутствие возможности досрочного погашения по требованию владельцев Биржевых облигаций будет установлено в Решении о выпуске ценных бумаг соответствующего Выпуска. 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Случаи, при которых у владельцев будет возникать право требовать досрочного погашения Биржевых облигаций, а также условия и порядок досрочного погашения Биржевых облигаций по требованию их владельцев будут указываться в Решении о выпуске ценных бумаг.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Вне з</w:t>
      </w:r>
      <w:r>
        <w:rPr>
          <w:highlight w:val="white"/>
        </w:rPr>
        <w:t xml:space="preserve">ависимости от вышеизложенного, в случаях, предусмотренных федеральными законами,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 ценных бумаг.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этом случае владельцы вправе предъявлять требования о досрочном погашении Биржевых облигаций в порядке и сроки, предусмотренные статьей 17.1 Закона о рынке ценных бумаг.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При досрочном погашении Биржевых облигаций по требованию в</w:t>
      </w:r>
      <w:r>
        <w:rPr>
          <w:highlight w:val="white"/>
        </w:rPr>
        <w:t xml:space="preserve">ладельцев Эмитентом должны быть исполнены все обязательства перед владельцем Биржевых облигаций по выплате номинальной стоимости (непогашенной части номинальной стоимости) и купонного дохода (если его выплата предусмотрена Решением о выпуске ценных бумаг).</w:t>
      </w:r>
      <w:r>
        <w:rPr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 Досрочное погашение биржевых облигаций по усмотрению Эмитента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Предусматривается возможность досрочного погашения (частичного досрочного погашения)</w:t>
      </w:r>
      <w:r>
        <w:rPr>
          <w:highlight w:val="white"/>
        </w:rPr>
        <w:t xml:space="preserve"> </w:t>
      </w:r>
      <w:r>
        <w:rPr>
          <w:bCs/>
          <w:iCs/>
          <w:highlight w:val="white"/>
        </w:rPr>
        <w:t xml:space="preserve">Биржевых облигаций отдельного выпуска по усмотрению Эмитента.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7.5.6.2.1. Досрочное погашение облигаций по усмотрению эмитента в дату, определенную Эмитентом до размещения облигаций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Порядок и условия досрочного погашения облигаций: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Эмитент имеет право осуществить досрочное погашение Биржевых облигаций в определенную дату в течение срока обращения Биржевых облигаций при условии установления такой возможности до даты начала размещения Биржевых облигаций.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Возможность досрочного погашения Биржевых облигаций по усмотрению Эмитента, а также дата (даты), в которую (которые) возможно досрочное погашение Биржевых облигаций, опреде</w:t>
      </w:r>
      <w:r>
        <w:rPr>
          <w:color w:val="000000"/>
          <w:spacing w:val="-1"/>
          <w:position w:val="-1"/>
          <w:highlight w:val="white"/>
        </w:rPr>
        <w:t xml:space="preserve">ляются решением уполномоченного органа управления (уполномоченного должностного лица) Эмитента, принимаемым до даты начала размещения Биржевых облигаций (за исключением случаев досрочного погашения, описанных в п. 6.5.2.3 Программы биржевых облигаций и п. </w:t>
      </w:r>
      <w:r>
        <w:rPr>
          <w:color w:val="000000"/>
          <w:spacing w:val="-1"/>
          <w:position w:val="-1"/>
          <w:highlight w:val="white"/>
        </w:rPr>
        <w:t xml:space="preserve">7.5.6</w:t>
      </w:r>
      <w:r>
        <w:rPr>
          <w:color w:val="000000"/>
          <w:spacing w:val="-1"/>
          <w:position w:val="-1"/>
          <w:highlight w:val="white"/>
        </w:rPr>
        <w:t xml:space="preserve">.2.3 Проспекта).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 принятия Эмитентом до даты начала размещения Биржевых облигаций решения о возможности досрочного погашения Биржевых облигаций по его усмотрению, Эмитент должен принять и раскрыть решение о досрочном погашении Биржевых облигаций: 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pStyle w:val="123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 позднее чем за 14 (Четырнадцать) дней 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highlight w:val="white"/>
        </w:rPr>
        <w:t xml:space="preserve">до даты досрочного погашения, определенной в решении Эмитента о возможности досрочного погашения Биржевых облигаций по усмотрению Эмитента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(в случае если срок погашения Биржевых облигаций составляет 30 (Тридцать) и более дней),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3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либо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3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 позднее чем за 5 (Пять)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 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highlight w:val="white"/>
        </w:rPr>
        <w:t xml:space="preserve">даты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highlight w:val="white"/>
        </w:rPr>
        <w:t xml:space="preserve"> досрочного погашения Биржевых облигаций, определенной в решении Эмитента о возможности досрочного погашения Биржевых облигаций по усмотрению Эмитента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(в случае, если срок погашения Биржевых облигаций составляет менее 30 (Тридцати) дней).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 если Эмитентом в установленные выше </w:t>
      </w:r>
      <w:r>
        <w:rPr>
          <w:color w:val="000000"/>
          <w:spacing w:val="-1"/>
          <w:position w:val="-1"/>
          <w:highlight w:val="white"/>
        </w:rPr>
        <w:t xml:space="preserve">сроки не</w:t>
      </w:r>
      <w:r>
        <w:rPr>
          <w:color w:val="000000"/>
          <w:spacing w:val="-1"/>
          <w:position w:val="-1"/>
          <w:highlight w:val="white"/>
        </w:rPr>
        <w:t xml:space="preserve"> принято и не раскрыто решение о досрочном погашении Биржевых облигаций, то считается, что возможность досрочного погашения по усмотрению Эмитента, установленная п. 6.5.2.1 Программы биржевых облигаций и п. </w:t>
      </w:r>
      <w:r>
        <w:rPr>
          <w:color w:val="000000"/>
          <w:spacing w:val="-1"/>
          <w:position w:val="-1"/>
          <w:highlight w:val="white"/>
        </w:rPr>
        <w:t xml:space="preserve">7.5.6</w:t>
      </w:r>
      <w:r>
        <w:rPr>
          <w:color w:val="000000"/>
          <w:spacing w:val="-1"/>
          <w:position w:val="-1"/>
          <w:highlight w:val="white"/>
        </w:rPr>
        <w:t xml:space="preserve">.2.1</w:t>
      </w:r>
      <w:r>
        <w:rPr>
          <w:color w:val="000000"/>
          <w:spacing w:val="-1"/>
          <w:position w:val="-1"/>
          <w:highlight w:val="white"/>
        </w:rPr>
        <w:t xml:space="preserve"> </w:t>
      </w:r>
      <w:r>
        <w:rPr>
          <w:color w:val="000000"/>
          <w:spacing w:val="-1"/>
          <w:position w:val="-1"/>
          <w:highlight w:val="white"/>
        </w:rPr>
        <w:t xml:space="preserve">Проспекта, Эмитентом не используется, и Эмитент не вправе досрочно погасить выпуск Биржевых облигаций в соответствии с п. 6.5.2.1 Программы биржевых облигаций и п. </w:t>
      </w:r>
      <w:r>
        <w:rPr>
          <w:color w:val="000000"/>
          <w:spacing w:val="-1"/>
          <w:position w:val="-1"/>
          <w:highlight w:val="white"/>
        </w:rPr>
        <w:t xml:space="preserve">7.5.6</w:t>
      </w:r>
      <w:r>
        <w:rPr>
          <w:color w:val="000000"/>
          <w:spacing w:val="-1"/>
          <w:position w:val="-1"/>
          <w:highlight w:val="white"/>
        </w:rPr>
        <w:t xml:space="preserve">.2.1 Проспекта.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</w:t>
      </w:r>
      <w:r>
        <w:rPr>
          <w:color w:val="000000"/>
          <w:spacing w:val="-1"/>
          <w:position w:val="-1"/>
          <w:highlight w:val="white"/>
        </w:rPr>
        <w:t xml:space="preserve"> принятия Эмитентом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Стоимость (порядок определения стоимости):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Биржевые облигации досрочно погашаются по номинальной стоимости (непогашенной части номинальной стоимости), при этом, </w:t>
      </w:r>
      <w:r>
        <w:rPr>
          <w:rFonts w:eastAsia="Calibri"/>
          <w:iCs/>
          <w:highlight w:val="white"/>
        </w:rPr>
        <w:t xml:space="preserve">в случае если Решением о выпуске ценных бумаг будет предусмотрена выплата купонного дохода, </w:t>
      </w:r>
      <w:r>
        <w:rPr>
          <w:color w:val="000000"/>
          <w:spacing w:val="-1"/>
          <w:position w:val="-1"/>
          <w:highlight w:val="white"/>
        </w:rPr>
        <w:t xml:space="preserve">выплачивается накопленный купонный доход, рассчитываемый на дату досрочного погашения Биржевых облигаций.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случае, если Решением о выпуске ценных будет предусмотрена выплата дополнительного дохода: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 принятия Эмитентом решения о выплате дополнительного дохода при досрочном погашении Биржевых облигаций по усмотрению Эмитента, владельцам Биржевых облигаций выплачивается дополнительный доход.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Порядок расчета дополнительного дохода может предусматривать, в частности, что дополнительный доход будет равен нулю при наступлении или ненаступлении определенных обстоятельств и/или при досрочном погашении Биржевых облигаций по усмотрению Эмитента.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  <w:u w:val="single"/>
        </w:rPr>
      </w:pPr>
      <w:r>
        <w:rPr>
          <w:rFonts w:eastAsia="Calibri"/>
          <w:iCs/>
          <w:highlight w:val="white"/>
          <w:u w:val="single"/>
        </w:rPr>
        <w:t xml:space="preserve">Решением о выпуске ценных бумаг может быть предусмотрена выплата дополнительной премии к стоимости досрочного погашения Биржевых облигаций</w:t>
      </w:r>
      <w:r>
        <w:rPr>
          <w:highlight w:val="white"/>
          <w:u w:val="single"/>
        </w:rPr>
        <w:t xml:space="preserve"> </w:t>
      </w:r>
      <w:r>
        <w:rPr>
          <w:rFonts w:eastAsia="Calibri"/>
          <w:iCs/>
          <w:highlight w:val="white"/>
          <w:u w:val="single"/>
        </w:rPr>
        <w:t xml:space="preserve">по усмотрению Эмитента.</w:t>
      </w:r>
      <w:r>
        <w:rPr>
          <w:rFonts w:eastAsia="Calibri"/>
          <w:iCs/>
          <w:highlight w:val="white"/>
          <w:u w:val="single"/>
        </w:rPr>
      </w:r>
      <w:r>
        <w:rPr>
          <w:rFonts w:eastAsia="Calibri"/>
          <w:iCs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Срок (порядок определения срока), в течение которого облигации могут быть досрочно погашены эмитентом: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 принятия Эмитентом</w:t>
      </w:r>
      <w:r>
        <w:rPr>
          <w:color w:val="000000"/>
          <w:spacing w:val="-1"/>
          <w:position w:val="-1"/>
          <w:highlight w:val="white"/>
        </w:rPr>
        <w:t xml:space="preserve"> решения о досрочном погашении Биржевых облигаций по его усмотрению, Биржевые облигации будут досрочно погашены в дату, которая была определена в качестве возможной в решении Эмитента о возможности досрочного погашения Биржевых облигаций по его усмотрению.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7.5.6.2.2. </w:t>
      </w:r>
      <w:r>
        <w:rPr>
          <w:b/>
          <w:bCs/>
          <w:highlight w:val="white"/>
        </w:rPr>
        <w:t xml:space="preserve">Частичное досрочное погашение о</w:t>
      </w:r>
      <w:r>
        <w:rPr>
          <w:b/>
          <w:bCs/>
          <w:highlight w:val="white"/>
        </w:rPr>
        <w:t xml:space="preserve">блигаций по усмотрению Эмитента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color w:val="333333"/>
          <w:highlight w:val="white"/>
        </w:rPr>
      </w:pPr>
      <w:r>
        <w:rPr>
          <w:bCs/>
          <w:color w:val="333333"/>
          <w:highlight w:val="white"/>
        </w:rPr>
      </w:r>
      <w:r>
        <w:rPr>
          <w:bCs/>
          <w:color w:val="333333"/>
          <w:highlight w:val="white"/>
        </w:rPr>
      </w:r>
      <w:r>
        <w:rPr>
          <w:bCs/>
          <w:color w:val="333333"/>
          <w:highlight w:val="white"/>
        </w:rPr>
      </w:r>
    </w:p>
    <w:p>
      <w:pPr>
        <w:ind w:firstLine="709"/>
        <w:jc w:val="both"/>
        <w:rPr>
          <w:bCs/>
          <w:color w:val="333333"/>
          <w:highlight w:val="white"/>
        </w:rPr>
      </w:pPr>
      <w:r>
        <w:rPr>
          <w:bCs/>
          <w:color w:val="333333"/>
          <w:highlight w:val="white"/>
        </w:rPr>
        <w:t xml:space="preserve">Порядок и условия досрочного погашения облигаций:</w:t>
      </w:r>
      <w:r>
        <w:rPr>
          <w:bCs/>
          <w:color w:val="333333"/>
          <w:highlight w:val="white"/>
        </w:rPr>
      </w:r>
      <w:r>
        <w:rPr>
          <w:b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  <w:t xml:space="preserve">Эмитент имеет право осуществить (осуществлять) частичное досрочное погашение Биржевых облигаций в дату окончания очередного(ых) купонного(ых) периода(ов) </w:t>
      </w:r>
      <w:r>
        <w:rPr>
          <w:rFonts w:eastAsia="Calibri"/>
          <w:iCs/>
          <w:highlight w:val="white"/>
        </w:rPr>
        <w:t xml:space="preserve">(если Решением о выпуске ценных бумаг будет предусмотрена выплата купонного дохода)</w:t>
      </w:r>
      <w:r>
        <w:rPr>
          <w:highlight w:val="white"/>
        </w:rPr>
        <w:t xml:space="preserve"> </w:t>
      </w:r>
      <w:r>
        <w:rPr>
          <w:rFonts w:eastAsia="Calibri"/>
          <w:iCs/>
          <w:highlight w:val="white"/>
        </w:rPr>
        <w:t xml:space="preserve">или частичное досрочное погашение Биржевых облигаций в определенные даты (если Решением о выпуске ценных бумаг не будет предусмотрена выплата купонного дохода), </w:t>
      </w:r>
      <w:r>
        <w:rPr>
          <w:bCs/>
          <w:iCs/>
          <w:color w:val="333333"/>
          <w:highlight w:val="white"/>
        </w:rPr>
        <w:t xml:space="preserve">при условии принятия соответствующего решения до даты начала размещения Биржевых облигаций.</w:t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bCs/>
          <w:iCs/>
          <w:color w:val="333333"/>
          <w:highlight w:val="white"/>
        </w:rPr>
        <w:t xml:space="preserve">Решение о частичном досрочном погашении Биржевых облигаций принимается уполномоченным органом управления (уполномоченным должностным лицом) Эмитента, п</w:t>
      </w:r>
      <w:r>
        <w:rPr>
          <w:rFonts w:eastAsia="Calibri"/>
          <w:iCs/>
          <w:highlight w:val="white"/>
        </w:rPr>
        <w:t xml:space="preserve">ри этом: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  <w:u w:val="single"/>
        </w:rPr>
      </w:pPr>
      <w:r>
        <w:rPr>
          <w:rFonts w:eastAsia="Calibri"/>
          <w:iCs/>
          <w:highlight w:val="white"/>
          <w:u w:val="single"/>
        </w:rPr>
        <w:t xml:space="preserve">В случае если Решением о выпуске ценных бумаг будет предусмотрена выплата купонного дохода:</w:t>
      </w:r>
      <w:r>
        <w:rPr>
          <w:rFonts w:eastAsia="Calibri"/>
          <w:iCs/>
          <w:highlight w:val="white"/>
          <w:u w:val="single"/>
        </w:rPr>
      </w:r>
      <w:r>
        <w:rPr>
          <w:rFonts w:eastAsia="Calibri"/>
          <w:iCs/>
          <w:highlight w:val="white"/>
          <w:u w:val="singl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должен определить номер(а) купонного(ых</w:t>
      </w:r>
      <w:r>
        <w:rPr>
          <w:rFonts w:eastAsia="Calibri"/>
          <w:iCs/>
          <w:highlight w:val="white"/>
        </w:rPr>
        <w:t xml:space="preserve">) периода(ов), в дату окончания которого(ых) Эмитент осуществляет досрочное погашение определенной части номинальной стоимости Биржевых облигаций, а также процент от номинальной стоимости, подлежащий погашению в дату окончания указанного купонного периода.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  <w:u w:val="single"/>
        </w:rPr>
      </w:pPr>
      <w:r>
        <w:rPr>
          <w:rFonts w:eastAsia="Calibri"/>
          <w:iCs/>
          <w:highlight w:val="white"/>
          <w:u w:val="single"/>
        </w:rPr>
        <w:t xml:space="preserve">В случае если Решением о выпуске ценных бумаг не будет предусмотрена выплата купонного дохода:</w:t>
      </w:r>
      <w:r>
        <w:rPr>
          <w:rFonts w:eastAsia="Calibri"/>
          <w:iCs/>
          <w:highlight w:val="white"/>
          <w:u w:val="single"/>
        </w:rPr>
      </w:r>
      <w:r>
        <w:rPr>
          <w:rFonts w:eastAsia="Calibri"/>
          <w:iCs/>
          <w:highlight w:val="white"/>
          <w:u w:val="singl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должен определить даты, в которые Эмитент осуществляет досрочное погашение определенной части номинальной стоимости Биржевых облигаций, а также процент от номинальной стоимости, подлежащий погашению в соответствующие даты.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  <w:t xml:space="preserve">В случае если Эмитентом до даты начала разм</w:t>
      </w:r>
      <w:r>
        <w:rPr>
          <w:bCs/>
          <w:iCs/>
          <w:color w:val="333333"/>
          <w:highlight w:val="white"/>
        </w:rPr>
        <w:t xml:space="preserve">ещения Биржевых облигаций не принято и не раскрыто решение о частичном досрочном погашении Биржевых облигаций, то считается, что возможность частичного досрочного погашения по усмотрению Эмитента, установленная п. 6.5.2.2 Программы биржевых облигаций и п. </w:t>
      </w:r>
      <w:r>
        <w:rPr>
          <w:bCs/>
          <w:iCs/>
          <w:color w:val="333333"/>
          <w:highlight w:val="white"/>
        </w:rPr>
        <w:t xml:space="preserve">7.5.6</w:t>
      </w:r>
      <w:r>
        <w:rPr>
          <w:bCs/>
          <w:iCs/>
          <w:color w:val="333333"/>
          <w:highlight w:val="white"/>
        </w:rPr>
        <w:t xml:space="preserve">.2.2 Проспекта, Эмитентом не используется.</w:t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  <w:t xml:space="preserve">В случае принятия Эмитентом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их частичным досрочным погашением.</w:t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bCs/>
          <w:color w:val="333333"/>
          <w:highlight w:val="white"/>
        </w:rPr>
      </w:pPr>
      <w:r>
        <w:rPr>
          <w:bCs/>
          <w:color w:val="333333"/>
          <w:highlight w:val="white"/>
        </w:rPr>
      </w:r>
      <w:r>
        <w:rPr>
          <w:bCs/>
          <w:color w:val="333333"/>
          <w:highlight w:val="white"/>
        </w:rPr>
      </w:r>
      <w:r>
        <w:rPr>
          <w:bCs/>
          <w:color w:val="333333"/>
          <w:highlight w:val="white"/>
        </w:rPr>
      </w:r>
    </w:p>
    <w:p>
      <w:pPr>
        <w:ind w:firstLine="709"/>
        <w:jc w:val="both"/>
        <w:rPr>
          <w:bCs/>
          <w:color w:val="333333"/>
          <w:highlight w:val="white"/>
          <w:u w:val="single"/>
        </w:rPr>
      </w:pPr>
      <w:r>
        <w:rPr>
          <w:bCs/>
          <w:color w:val="333333"/>
          <w:highlight w:val="white"/>
          <w:u w:val="single"/>
        </w:rPr>
        <w:t xml:space="preserve">Стоимость (порядок определения стоимости):</w:t>
      </w:r>
      <w:r>
        <w:rPr>
          <w:bCs/>
          <w:color w:val="333333"/>
          <w:highlight w:val="white"/>
          <w:u w:val="single"/>
        </w:rPr>
      </w:r>
      <w:r>
        <w:rPr>
          <w:bCs/>
          <w:color w:val="333333"/>
          <w:highlight w:val="white"/>
          <w:u w:val="singl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bCs/>
          <w:iCs/>
          <w:color w:val="333333"/>
          <w:highlight w:val="white"/>
        </w:rPr>
        <w:t xml:space="preserve">Частичное досрочное погашение Биржевых облигаций производится в проценте от номинальной стоимости одной Биржевой облигации, размер которого определен Эмитентом до даты начала размещения Биржевых облигаций, п</w:t>
      </w:r>
      <w:r>
        <w:rPr>
          <w:rFonts w:eastAsia="Calibri"/>
          <w:iCs/>
          <w:highlight w:val="white"/>
        </w:rPr>
        <w:t xml:space="preserve">ри этом: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в случае если Решением о выпуске ценных бумаг будет предусмотрена выплата купонного дохода: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Владельцам Биржевых облигаций выплачивается купонный доход по купонному периоду, в дату окончания которого осуществляется частичное досрочное погашение Биржевых облигаций.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iCs/>
          <w:highlight w:val="white"/>
        </w:rPr>
        <w:t xml:space="preserve">в случае если</w:t>
      </w:r>
      <w:r>
        <w:rPr>
          <w:rFonts w:eastAsia="Calibri"/>
          <w:highlight w:val="white"/>
        </w:rPr>
        <w:t xml:space="preserve"> Решением о выпуске ценных бумаг будет предусмотрена выплата дополнительного дохода: 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Владельцам Биржевых облигаций может выплачиваться дополнительный доход (в случае принятия Эмитентом решения о выплате дополнительного дохода при частичном досрочном погашении Биржевых облигаций по усмотрению Эмитента).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Порядок расчета дополнительного дохода может предусматривать, в частности, что дополнительный доход будет равен нулю при наступлении или не наступлении определенных обстоятельств и/или при досрочном (частичном досрочном) погашении Биржевых облигаций</w:t>
      </w:r>
      <w:r>
        <w:rPr>
          <w:highlight w:val="white"/>
        </w:rPr>
        <w:t xml:space="preserve"> </w:t>
      </w:r>
      <w:r>
        <w:rPr>
          <w:rFonts w:eastAsia="Calibri"/>
          <w:iCs/>
          <w:highlight w:val="white"/>
        </w:rPr>
        <w:t xml:space="preserve">по усмотрению Эмитента.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Cs/>
          <w:color w:val="333333"/>
          <w:highlight w:val="white"/>
          <w:u w:val="single"/>
        </w:rPr>
      </w:pPr>
      <w:r>
        <w:rPr>
          <w:bCs/>
          <w:color w:val="333333"/>
          <w:highlight w:val="white"/>
          <w:u w:val="single"/>
        </w:rPr>
        <w:t xml:space="preserve">Срок (порядок определения срока), в течение которого облигации могут быть досрочно погашены эмитентом:</w:t>
      </w:r>
      <w:r>
        <w:rPr>
          <w:bCs/>
          <w:color w:val="333333"/>
          <w:highlight w:val="white"/>
          <w:u w:val="single"/>
        </w:rPr>
      </w:r>
      <w:r>
        <w:rPr>
          <w:bCs/>
          <w:color w:val="333333"/>
          <w:highlight w:val="white"/>
          <w:u w:val="single"/>
        </w:rPr>
      </w:r>
    </w:p>
    <w:p>
      <w:pPr>
        <w:ind w:firstLine="709"/>
        <w:jc w:val="both"/>
        <w:rPr>
          <w:bCs/>
          <w:iCs/>
          <w:color w:val="333333"/>
          <w:highlight w:val="white"/>
        </w:rPr>
      </w:pP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  <w:r>
        <w:rPr>
          <w:bCs/>
          <w:iCs/>
          <w:color w:val="333333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 случае принятия Эмитентом до даты начала размещения Биржевых облигаций решения о частичном досрочном погашении Биржевых облигаций: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-</w:t>
      </w:r>
      <w:r>
        <w:rPr>
          <w:highlight w:val="white"/>
        </w:rPr>
        <w:t xml:space="preserve"> </w:t>
      </w:r>
      <w:r>
        <w:rPr>
          <w:rFonts w:eastAsia="Calibri"/>
          <w:iCs/>
          <w:highlight w:val="white"/>
        </w:rPr>
        <w:t xml:space="preserve">в случае если Решением о выпуске ценных бумаг будет предусмотрена выплата купонного дохода 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соответствующая часть номинальной стоимости Биржевых облигаций будет досрочно погашена в дату окончания купонного(ых) периода(ов), определенного(</w:t>
      </w:r>
      <w:r>
        <w:rPr>
          <w:rFonts w:eastAsia="Calibri"/>
          <w:iCs/>
          <w:highlight w:val="white"/>
        </w:rPr>
        <w:t xml:space="preserve">ых) Эмитентом</w:t>
      </w:r>
      <w:r>
        <w:rPr>
          <w:rFonts w:eastAsia="Calibri"/>
          <w:iCs/>
          <w:highlight w:val="white"/>
        </w:rPr>
        <w:t xml:space="preserve"> в таком решении;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- в случае если Решением о выпуске ценных бумаг не будет предусмотрена выплата купонного дохода, соответствующая часть номинальной стоимости Биржевых облигаций </w:t>
      </w:r>
      <w:r>
        <w:rPr>
          <w:rFonts w:eastAsia="Calibri"/>
          <w:iCs/>
          <w:highlight w:val="white"/>
        </w:rPr>
        <w:t xml:space="preserve">будет досрочно</w:t>
      </w:r>
      <w:r>
        <w:rPr>
          <w:rFonts w:eastAsia="Calibri"/>
          <w:iCs/>
          <w:highlight w:val="white"/>
        </w:rPr>
        <w:t xml:space="preserve"> погашена в соответствующие даты, определенные Эмитентом в таком решении.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7.5.6.2.3.</w:t>
      </w:r>
      <w:r>
        <w:rPr>
          <w:b/>
          <w:bCs/>
          <w:highlight w:val="white"/>
        </w:rPr>
        <w:t xml:space="preserve"> Досрочное погашение облигаций по усмотрению эмитента в дату окончания купонного периода, предшествующего дате приобретения облигаций эмитентом по требованию их владельцев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Применяется в случае, если Решением о выпуске ценных бумаг предусмотрена выплата купонного дохода.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Порядок и условия досрочного погашения облигаций: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Эмитент имеет право осуществить досрочное погашение Биржевых облигаций в дату окончания купонного периода</w:t>
      </w:r>
      <w:r>
        <w:rPr>
          <w:color w:val="000000"/>
          <w:spacing w:val="-1"/>
          <w:position w:val="-1"/>
          <w:highlight w:val="white"/>
        </w:rPr>
        <w:t xml:space="preserve">, непосредственно предшествующего Дате приобретения по требованию владельцев, как эта дата определена в п.7.1 Программы биржевых облигаций и </w:t>
      </w:r>
      <w:r>
        <w:rPr>
          <w:color w:val="000000"/>
          <w:spacing w:val="-1"/>
          <w:position w:val="-1"/>
          <w:highlight w:val="white"/>
        </w:rPr>
        <w:t xml:space="preserve">п. </w:t>
      </w:r>
      <w:r>
        <w:rPr>
          <w:color w:val="000000"/>
          <w:spacing w:val="-1"/>
          <w:position w:val="-1"/>
          <w:highlight w:val="white"/>
        </w:rPr>
        <w:t xml:space="preserve">7</w:t>
      </w:r>
      <w:r>
        <w:rPr>
          <w:color w:val="000000"/>
          <w:spacing w:val="-1"/>
          <w:position w:val="-1"/>
          <w:highlight w:val="white"/>
        </w:rPr>
        <w:t xml:space="preserve">.</w:t>
      </w:r>
      <w:r>
        <w:rPr>
          <w:color w:val="000000"/>
          <w:spacing w:val="-1"/>
          <w:position w:val="-1"/>
          <w:highlight w:val="white"/>
        </w:rPr>
        <w:t xml:space="preserve">6</w:t>
      </w:r>
      <w:r>
        <w:rPr>
          <w:color w:val="000000"/>
          <w:spacing w:val="-1"/>
          <w:position w:val="-1"/>
          <w:highlight w:val="white"/>
        </w:rPr>
        <w:t xml:space="preserve">.1 Проспекта,</w:t>
      </w:r>
      <w:r>
        <w:rPr>
          <w:color w:val="000000"/>
          <w:spacing w:val="-1"/>
          <w:position w:val="-1"/>
          <w:highlight w:val="white"/>
        </w:rPr>
        <w:t xml:space="preserve"> при условии принятия соответствующего решения о досрочном погашении Биржевых облигаций.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Решение о д</w:t>
      </w:r>
      <w:r>
        <w:rPr>
          <w:color w:val="000000"/>
          <w:spacing w:val="-1"/>
          <w:position w:val="-1"/>
          <w:highlight w:val="white"/>
        </w:rPr>
        <w:t xml:space="preserve">осрочном погашении Биржевых облигаций по усмотрению Эмитента принимается уполномоченным органом управления (уполномоченным должностным лицом) Эмитента и раскрывается не позднее, чем за 14 (Четырнадцать) дней до даты досрочного погашения Биржевых облигаций </w:t>
      </w:r>
      <w:r>
        <w:rPr>
          <w:highlight w:val="white"/>
        </w:rPr>
        <w:t xml:space="preserve">(в случае если срок погашения Биржевых облигаций составляет 30 (Тридцать) и более дней),</w:t>
      </w:r>
      <w:r>
        <w:rPr>
          <w:highlight w:val="white"/>
        </w:rPr>
      </w:r>
    </w:p>
    <w:p>
      <w:pPr>
        <w:pStyle w:val="123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либо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3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 позднее чем за 5 (Пять) дней до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highlight w:val="white"/>
        </w:rPr>
        <w:t xml:space="preserve"> даты досрочного погашения Биржевых облигаций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(в случае, если срок погашения Биржевых облигаций составляет менее 30 (Тридцати) дней).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Приобретение Биржевых облигаций означает согласие приобретателя Биржевых облигаций с возможностью их досрочного погашения по усмотрению Эмитента.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Стоимость (порядок определения стоимости):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Биржевые облигации досрочно погашаются по номинальной стоимости (непогашенной части номинальной стоимости), при этом выплачивается купонный доход по купонному периоду, в дату окончания которого осуществляется досрочное погашение Биржевых облигаций.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случае, если Решением о выпуске ценных будет предусмотрена выплата дополнительного дохода: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случае принятия Эмитентом решения о выплате дополнительного дохода при досрочном погашении Биржевых облигаций по усмотрению Эмитента, владельцам Биржевых облигаций выплачивается дополнительный доход.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Порядок расчета дополнительного дохода может предусматривать, в частности, что дополнительный доход будет равен нулю при наступлении или ненаступлении определенных обстоятельств и/или при досрочном погашении Биржевых облигаций по усмотрению Эмитента.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  <w:u w:val="single"/>
        </w:rPr>
      </w:pPr>
      <w:r>
        <w:rPr>
          <w:color w:val="000000"/>
          <w:spacing w:val="-1"/>
          <w:position w:val="-1"/>
          <w:highlight w:val="white"/>
          <w:u w:val="single"/>
        </w:rPr>
        <w:t xml:space="preserve">Срок (порядок определения срока), в течение которого облигации могут быть досрочно погашены эмитентом:</w:t>
      </w:r>
      <w:r>
        <w:rPr>
          <w:color w:val="000000"/>
          <w:spacing w:val="-1"/>
          <w:position w:val="-1"/>
          <w:highlight w:val="white"/>
          <w:u w:val="single"/>
        </w:rPr>
      </w:r>
      <w:r>
        <w:rPr>
          <w:color w:val="000000"/>
          <w:spacing w:val="-1"/>
          <w:position w:val="-1"/>
          <w:highlight w:val="white"/>
          <w:u w:val="singl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  <w:t xml:space="preserve">В сл</w:t>
      </w:r>
      <w:r>
        <w:rPr>
          <w:color w:val="000000"/>
          <w:spacing w:val="-1"/>
          <w:position w:val="-1"/>
          <w:highlight w:val="white"/>
        </w:rPr>
        <w:t xml:space="preserve">учае принятия Эмитентом решения о досрочном погашении по его усмотрению, Биржевые облигации будут досрочно погашены в дату окончания купонного периода, непосредственно предшествующего Дате приобретения по требованию владельцев, как эта дата определена в п.</w:t>
      </w:r>
      <w:r>
        <w:rPr>
          <w:color w:val="000000"/>
          <w:spacing w:val="-1"/>
          <w:position w:val="-1"/>
          <w:highlight w:val="white"/>
        </w:rPr>
        <w:t xml:space="preserve"> </w:t>
      </w:r>
      <w:r>
        <w:rPr>
          <w:color w:val="000000"/>
          <w:spacing w:val="-1"/>
          <w:position w:val="-1"/>
          <w:highlight w:val="white"/>
        </w:rPr>
        <w:t xml:space="preserve">7.1 Программы биржевых </w:t>
      </w:r>
      <w:r>
        <w:rPr>
          <w:color w:val="000000"/>
          <w:spacing w:val="-1"/>
          <w:position w:val="-1"/>
          <w:highlight w:val="white"/>
        </w:rPr>
        <w:t xml:space="preserve">облигаций </w:t>
      </w:r>
      <w:r>
        <w:rPr>
          <w:color w:val="000000"/>
          <w:spacing w:val="-1"/>
          <w:position w:val="-1"/>
          <w:highlight w:val="white"/>
        </w:rPr>
        <w:t xml:space="preserve">и</w:t>
      </w:r>
      <w:r>
        <w:rPr>
          <w:color w:val="000000"/>
          <w:spacing w:val="-1"/>
          <w:position w:val="-1"/>
          <w:highlight w:val="white"/>
        </w:rPr>
        <w:t xml:space="preserve"> п. </w:t>
      </w:r>
      <w:r>
        <w:rPr>
          <w:color w:val="000000"/>
          <w:spacing w:val="-1"/>
          <w:position w:val="-1"/>
          <w:highlight w:val="white"/>
        </w:rPr>
        <w:t xml:space="preserve">7</w:t>
      </w:r>
      <w:r>
        <w:rPr>
          <w:color w:val="000000"/>
          <w:spacing w:val="-1"/>
          <w:position w:val="-1"/>
          <w:highlight w:val="white"/>
        </w:rPr>
        <w:t xml:space="preserve">.</w:t>
      </w:r>
      <w:r>
        <w:rPr>
          <w:color w:val="000000"/>
          <w:spacing w:val="-1"/>
          <w:position w:val="-1"/>
          <w:highlight w:val="white"/>
        </w:rPr>
        <w:t xml:space="preserve">6</w:t>
      </w:r>
      <w:r>
        <w:rPr>
          <w:color w:val="000000"/>
          <w:spacing w:val="-1"/>
          <w:position w:val="-1"/>
          <w:highlight w:val="white"/>
        </w:rPr>
        <w:t xml:space="preserve">.1 Проспекта.</w:t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color w:val="000000"/>
          <w:spacing w:val="-1"/>
          <w:position w:val="-1"/>
          <w:highlight w:val="white"/>
        </w:rPr>
      </w:pP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  <w:r>
        <w:rPr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i/>
          <w:color w:val="000000"/>
          <w:spacing w:val="-1"/>
          <w:position w:val="-1"/>
          <w:highlight w:val="white"/>
        </w:rPr>
      </w:pPr>
      <w:r>
        <w:rPr>
          <w:highlight w:val="white"/>
        </w:rPr>
        <w:t xml:space="preserve">Дополнительные случаи досрочного погашения Биржевых облигаций по усмотрению Эмитента могут быть указаны в соответствующем Решении о выпуске ценных бумаг.</w:t>
      </w:r>
      <w:r>
        <w:rPr>
          <w:i/>
          <w:color w:val="000000"/>
          <w:spacing w:val="-1"/>
          <w:position w:val="-1"/>
          <w:highlight w:val="white"/>
        </w:rPr>
      </w:r>
      <w:r>
        <w:rPr>
          <w:i/>
          <w:color w:val="000000"/>
          <w:spacing w:val="-1"/>
          <w:position w:val="-1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7.5.6.2.4. </w:t>
      </w:r>
      <w:r>
        <w:rPr>
          <w:b/>
          <w:bCs/>
          <w:highlight w:val="white"/>
        </w:rPr>
        <w:t xml:space="preserve">Порядок досрочного погашения облигаций по усмотрению эмитента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iCs/>
          <w:highlight w:val="white"/>
        </w:rPr>
        <w:t xml:space="preserve">Досрочное погашение (частичное досрочное погашение)</w:t>
      </w:r>
      <w:r>
        <w:rPr>
          <w:rFonts w:eastAsia="Calibri"/>
          <w:highlight w:val="white"/>
        </w:rPr>
        <w:t xml:space="preserve"> Биржевых облигаций по усмотрению Эмитента осуществляется в отношении всех Биржевых облигаций выпуска.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Досрочное погашение (частичное досрочное погашение) Биржевых облигаций производится денежными средствами в </w:t>
      </w:r>
      <w:r>
        <w:rPr>
          <w:rFonts w:eastAsia="Calibri"/>
          <w:iCs/>
          <w:highlight w:val="white"/>
        </w:rPr>
        <w:t xml:space="preserve">валюте, установленной</w:t>
      </w:r>
      <w:r>
        <w:rPr>
          <w:rFonts w:eastAsia="Calibri"/>
          <w:iCs/>
          <w:highlight w:val="white"/>
        </w:rPr>
        <w:t xml:space="preserve"> в Решении о выпуске ценных бумаг, в безналичном порядке.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Возможность выбора владельцами Биржевых облигаций формы погашения Биржевых облигаций не предусмотрена.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Если дата досрочного погашения (частичного досрочного погашения) приход</w:t>
      </w:r>
      <w:r>
        <w:rPr>
          <w:rFonts w:eastAsia="Calibri"/>
          <w:iCs/>
          <w:highlight w:val="white"/>
        </w:rPr>
        <w:t xml:space="preserve">ится на нерабочий день, то перечисление надлежащей суммы производится в первый рабочий день, следующий за нерабочим днем. Владелец Биржевых облигаций не имеет права требовать начисления процентов или какой-либо иной компенсации за такую задержку в платеже.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Вл</w:t>
      </w:r>
      <w:r>
        <w:rPr>
          <w:rFonts w:eastAsia="Calibri"/>
          <w:iCs/>
          <w:highlight w:val="white"/>
        </w:rPr>
        <w:t xml:space="preserve">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в счет погашения Биржевых облигаций через депозитарий, депонентами которого они являются.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исполняет обя</w:t>
      </w:r>
      <w:r>
        <w:rPr>
          <w:rFonts w:eastAsia="Calibri"/>
          <w:iCs/>
          <w:highlight w:val="white"/>
        </w:rPr>
        <w:t xml:space="preserve">занность по осуществлению выплат по Биржевым облигациям в счет погашения, в том числе досрочного погашения (частичного досрочного погашения), путем перечисления денежных средств депозитарию, осуществляющему централизованный учет прав на Биржевые облигации.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Передача денежных выплат в счет погашения Биржевых облигаций осуществляется депозитарием в соответствии с порядком, предусмотренным статьей 8.7 Федерального закона «О рынке ценных бумаг», с особенностями в зависимости от способа учета прав на облигации.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Депозитарный договор между депозитарием, осуществляющим учет прав на ценные бумаги, и депонентом должен содержать порядок передачи депозитарием депоненту выплат по ценным бумагам.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Досрочное погашение (частичное досрочное погашение) Биржевых облигаций производится в соответствии с порядком, установленным требованиями действующего законодательства Российской Федерации.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7.5.6.2.5.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  <w:t xml:space="preserve">Порядок раскрытия эмитентом информации об условиях и итогах досрочного погашения облигаций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iCs/>
          <w:highlight w:val="white"/>
        </w:rPr>
        <w:t xml:space="preserve">Сообщение о принятии Эмитентом решения о возможности досрочного погашения Биржевых облигаций по усмотрению Эмитента раскрывается в порядке и сроки, указанные в п. 12.1 Программы биржевых облигаций и п. </w:t>
      </w:r>
      <w:r>
        <w:rPr>
          <w:rFonts w:eastAsia="Calibri"/>
          <w:iCs/>
          <w:highlight w:val="white"/>
        </w:rPr>
        <w:t xml:space="preserve">8.4.</w:t>
      </w:r>
      <w:r>
        <w:rPr>
          <w:rFonts w:eastAsia="Calibri"/>
          <w:iCs/>
          <w:highlight w:val="white"/>
        </w:rPr>
        <w:t xml:space="preserve"> Проспекта.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Сообщение о принятии решения о досрочном погашении Биржевых облигаций по усмотрению Эмитента или о досрочном погашении Биржевых облигаций в дату окончания купонного </w:t>
      </w:r>
      <w:r>
        <w:rPr>
          <w:rFonts w:eastAsia="Calibri"/>
          <w:iCs/>
          <w:highlight w:val="white"/>
        </w:rPr>
        <w:t xml:space="preserve">периода, предшествующего</w:t>
      </w:r>
      <w:r>
        <w:rPr>
          <w:rFonts w:eastAsia="Calibri"/>
          <w:iCs/>
          <w:highlight w:val="white"/>
        </w:rPr>
        <w:t xml:space="preserve"> дате приобретения Биржевых облигаций Эмитентом по требованию их владельцев, раскрывается в порядке и сроки, указанные в п. 12.1 Программы биржевых облигаций и п. </w:t>
      </w:r>
      <w:r>
        <w:rPr>
          <w:rFonts w:eastAsia="Calibri"/>
          <w:iCs/>
          <w:highlight w:val="white"/>
        </w:rPr>
        <w:t xml:space="preserve">8.4.</w:t>
      </w:r>
      <w:r>
        <w:rPr>
          <w:rFonts w:eastAsia="Calibri"/>
          <w:iCs/>
          <w:highlight w:val="white"/>
        </w:rPr>
        <w:t xml:space="preserve"> Проспекта.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Сообщение о принятии Эмитентом решения о частичном досрочном погашении Биржевых облигаций раскрывается в порядке и сроки, указанные </w:t>
      </w:r>
      <w:r>
        <w:rPr>
          <w:rFonts w:eastAsia="Calibri"/>
          <w:iCs/>
          <w:highlight w:val="white"/>
        </w:rPr>
        <w:t xml:space="preserve">в п.</w:t>
      </w:r>
      <w:r>
        <w:rPr>
          <w:rFonts w:eastAsia="Calibri"/>
          <w:iCs/>
          <w:highlight w:val="white"/>
        </w:rPr>
        <w:t xml:space="preserve"> 12.1 Программы биржевых облигаций и п. </w:t>
      </w:r>
      <w:r>
        <w:rPr>
          <w:rFonts w:eastAsia="Calibri"/>
          <w:iCs/>
          <w:highlight w:val="white"/>
        </w:rPr>
        <w:t xml:space="preserve">8.4.</w:t>
      </w:r>
      <w:r>
        <w:rPr>
          <w:rFonts w:eastAsia="Calibri"/>
          <w:iCs/>
          <w:highlight w:val="white"/>
        </w:rPr>
        <w:t xml:space="preserve"> Проспекта.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раскрывает информацию об итогах досрочного погашения Биржевых облигаций по усмотрению Эмитента (в том числе о количестве досрочно погашенных Биржевых облигаций) в порядке и сроки, предусмотренные п. 12.1 Программы биржевых облигаций и п. </w:t>
      </w:r>
      <w:r>
        <w:rPr>
          <w:rFonts w:eastAsia="Calibri"/>
          <w:iCs/>
          <w:highlight w:val="white"/>
        </w:rPr>
        <w:t xml:space="preserve">8.4.</w:t>
      </w:r>
      <w:r>
        <w:rPr>
          <w:rFonts w:eastAsia="Calibri"/>
          <w:iCs/>
          <w:highlight w:val="white"/>
        </w:rPr>
        <w:t xml:space="preserve"> Проспекта.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раскрывает информацию об исп</w:t>
      </w:r>
      <w:r>
        <w:rPr>
          <w:rFonts w:eastAsia="Calibri"/>
          <w:iCs/>
          <w:highlight w:val="white"/>
        </w:rPr>
        <w:t xml:space="preserve">олнении обязательств по частичному досрочному погашению Биржевых облигаций (в том числе сведения о части номинальной стоимости, погашенной в ходе частичного досрочного погашения) в порядке и сроки, предусмотренные п. 12.1 Программы биржевых облигаций и п. </w:t>
      </w:r>
      <w:r>
        <w:rPr>
          <w:rFonts w:eastAsia="Calibri"/>
          <w:iCs/>
          <w:highlight w:val="white"/>
        </w:rPr>
        <w:t xml:space="preserve">8.4.</w:t>
      </w:r>
      <w:r>
        <w:rPr>
          <w:rFonts w:eastAsia="Calibri"/>
          <w:iCs/>
          <w:highlight w:val="white"/>
        </w:rPr>
        <w:t xml:space="preserve"> Проспекта.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Биржевые облигации не являются облигациями без определения срока погашения.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«зеленые облигации».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="Calibri"/>
          <w:iCs/>
          <w:highlight w:val="white"/>
        </w:rPr>
        <w:t xml:space="preserve">адаптационные облигации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«социальные облигации».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</w:t>
      </w:r>
      <w:r>
        <w:rPr>
          <w:rFonts w:eastAsia="Calibri"/>
          <w:iCs/>
          <w:highlight w:val="white"/>
        </w:rPr>
        <w:t xml:space="preserve">облигации устойчивого развития</w:t>
      </w:r>
      <w:r>
        <w:rPr>
          <w:rFonts w:eastAsia="Calibri"/>
          <w:iCs/>
          <w:highlight w:val="white"/>
        </w:rPr>
        <w:t xml:space="preserve">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Эмитент не идентифицирует Биржевые облигации как «инфраструктурные облигации».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7.5.7. Сведения о платежных агентах по облигациям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Сведения о платежных агентах Программой биржевых облигаций и Проспектом не определяются, а будут указаны в соответствующем Решении о выпуске ценных бумаг. 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7.5.8. Прекращение обязательств кредитной организации - эмитента по выплате суммы основного долга и невыплаченного процента (купона) по облигациям, а также по финансовым санкциям за неисполнение обязательств по облигациям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7.5.8.1. Прекращение обязательств по облигациям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Возможность прекращения обязательств по Биржевым облигациям не предусмотрена.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7.5.8.2. Прощение долга по облигациям субординированного облигационного займа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rFonts w:eastAsia="Calibri"/>
          <w:iCs/>
          <w:highlight w:val="white"/>
        </w:rPr>
      </w:pPr>
      <w:r>
        <w:rPr>
          <w:rFonts w:eastAsia="Calibri"/>
          <w:iCs/>
          <w:highlight w:val="white"/>
        </w:rPr>
        <w:t xml:space="preserve">Возможность прощения долга по Биржевым облигациям не предусмотрена.</w:t>
      </w:r>
      <w:r>
        <w:rPr>
          <w:rFonts w:eastAsia="Calibri"/>
          <w:iCs/>
          <w:highlight w:val="white"/>
        </w:rPr>
      </w:r>
      <w:r>
        <w:rPr>
          <w:rFonts w:eastAsia="Calibri"/>
          <w:iCs/>
          <w:highlight w:val="white"/>
        </w:rPr>
      </w:r>
    </w:p>
    <w:p>
      <w:pPr>
        <w:ind w:firstLine="540"/>
        <w:jc w:val="both"/>
        <w:outlineLvl w:val="4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4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7.6. Сведения о приобретении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Предусматривается возможность приобретения Эмитентом Биржевых облигаций по соглашению с их владельцами и обязанность приобретения Эмитентом Биржевых облигаций по требованию их владельцев с возможностью их последующего обращения.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Приобретение Биржевых облигаций допускается только после их полной оплаты.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Приобретение Биржевых облигаций в рамках одного отдельного выпуска осуществляется на одинаковых условиях.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имеет право приобретать Биржевые облигации путем заключени</w:t>
      </w:r>
      <w:r>
        <w:rPr>
          <w:bCs/>
          <w:iCs/>
          <w:highlight w:val="white"/>
        </w:rPr>
        <w:t xml:space="preserve">я сделок по приобретению Биржевых облигаций с владельцами Биржевых облигаций в соответствии с законодательством Российской Федерации, в том числе на основании публичных безотзывных оферт Эмитента, публикуемых в Ленте новостей и на странице в сети Интернет.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Оплата Биржевых облигаций при их приобретении производится денежными средствами в безналичном порядке в валюте, установленной Решением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может назначать Агентов по приобретению Биржевых облигаций по требованию их владельцев или по соглашению их с владельцами, действующих по поручению и за счет Эмитента, и отменять такие назначения, при этом </w:t>
      </w:r>
      <w:r>
        <w:rPr>
          <w:highlight w:val="white"/>
        </w:rPr>
        <w:t xml:space="preserve">Агент по приобретению Биржевых облигаций по требованию их владельцев или по соглашению с их владельцами является участником организованных торгов Биржи (далее – «Участник </w:t>
      </w:r>
      <w:r>
        <w:rPr>
          <w:highlight w:val="white"/>
        </w:rPr>
        <w:t xml:space="preserve">торгов»).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Информация о</w:t>
      </w:r>
      <w:r>
        <w:rPr>
          <w:bCs/>
          <w:iCs/>
          <w:highlight w:val="white"/>
        </w:rPr>
        <w:t xml:space="preserve"> назначении Агента по приобретению раскрывается в порядке и сроки, указанные в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случае, если в установленные сроки Эмитент не раскрывает информацию о назначении Агента по приобретению, приобретение Биржевых облигаций осуществляется Эмитентом самостоятельно.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highlight w:val="white"/>
        </w:rPr>
        <w:t xml:space="preserve">Биржевые облигации, приобретенные </w:t>
      </w:r>
      <w:r>
        <w:rPr>
          <w:highlight w:val="white"/>
        </w:rPr>
        <w:t xml:space="preserve">Эмитентом в</w:t>
      </w:r>
      <w:r>
        <w:rPr>
          <w:highlight w:val="white"/>
        </w:rPr>
        <w:t xml:space="preserve"> соответствии с п.7 Программы (по требованию их владельцев и/или по соглашению с их владельцами) и п.</w:t>
      </w:r>
      <w:r>
        <w:rPr>
          <w:highlight w:val="white"/>
        </w:rPr>
        <w:t xml:space="preserve">7</w:t>
      </w:r>
      <w:r>
        <w:rPr>
          <w:highlight w:val="white"/>
        </w:rPr>
        <w:t xml:space="preserve">.</w:t>
      </w:r>
      <w:r>
        <w:rPr>
          <w:highlight w:val="white"/>
        </w:rPr>
        <w:t xml:space="preserve">6</w:t>
      </w:r>
      <w:r>
        <w:rPr>
          <w:highlight w:val="white"/>
        </w:rPr>
        <w:t xml:space="preserve"> Проспекта, </w:t>
      </w:r>
      <w:r>
        <w:rPr>
          <w:bCs/>
          <w:iCs/>
          <w:highlight w:val="white"/>
        </w:rPr>
        <w:t xml:space="preserve">могут быть вновь выпущены в обращение на вторичный рынок, через организатора торговли, либо путем заключения сделок на внебиржевом рынке (при условии соблюдения Эмитентом требований законодательства Российской Федерации).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Биржевые облигации, приобретенные </w:t>
      </w:r>
      <w:r>
        <w:rPr>
          <w:highlight w:val="white"/>
        </w:rPr>
        <w:t xml:space="preserve">Эмитентом в</w:t>
      </w:r>
      <w:r>
        <w:rPr>
          <w:highlight w:val="white"/>
        </w:rPr>
        <w:t xml:space="preserve"> соответствии с п.7 Программы (по требованию их владельцев и/или по соглашению с их владельцами) и п. </w:t>
      </w:r>
      <w:r>
        <w:rPr>
          <w:highlight w:val="white"/>
        </w:rPr>
        <w:t xml:space="preserve">7</w:t>
      </w:r>
      <w:r>
        <w:rPr>
          <w:highlight w:val="white"/>
        </w:rPr>
        <w:t xml:space="preserve">.</w:t>
      </w:r>
      <w:r>
        <w:rPr>
          <w:highlight w:val="white"/>
        </w:rPr>
        <w:t xml:space="preserve">6</w:t>
      </w:r>
      <w:r>
        <w:rPr>
          <w:highlight w:val="white"/>
        </w:rPr>
        <w:t xml:space="preserve"> Проспекта, не предоставляют прав по таким Биржевым облигациям и могут быть досрочно </w:t>
      </w:r>
      <w:r>
        <w:rPr>
          <w:highlight w:val="white"/>
        </w:rPr>
        <w:t xml:space="preserve">погашены Эмитентом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Решением о выпуске ценных бумаг может быть предусмотрена выплата дополнительного дохода к цене приобретения Биржевых облигаций.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Наличие или отсутствие возможности (обязанности) приобретения Биржевых облигаций на условиях, указанных ниже, в отношении каждого отдельного выпуска Биржевых облигаций будет определено соответствующим Решением о выпуске ценных бумаг.</w:t>
      </w:r>
      <w:r>
        <w:rPr>
          <w:highlight w:val="white"/>
        </w:rPr>
      </w:r>
    </w:p>
    <w:p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7.6</w:t>
      </w:r>
      <w:r>
        <w:rPr>
          <w:b/>
          <w:bCs/>
          <w:highlight w:val="white"/>
        </w:rPr>
        <w:t xml:space="preserve">.1. Приобретение Эмитентом Биржевых облигаций по требованию их владельцев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567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Решением о выпуске ценных бумаг будет предусмотрена выплата купонного дохода:</w:t>
      </w:r>
      <w:r>
        <w:rPr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Порядок и условия приобретения облигаций, включая срок (порядок определения срока) приобретения облигаций: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/>
          <w:bCs/>
          <w:highlight w:val="white"/>
          <w:u w:val="single"/>
        </w:rPr>
      </w:pPr>
      <w:r>
        <w:rPr>
          <w:b/>
          <w:bCs/>
          <w:highlight w:val="white"/>
          <w:u w:val="single"/>
        </w:rPr>
      </w:r>
      <w:r>
        <w:rPr>
          <w:b/>
          <w:bCs/>
          <w:highlight w:val="white"/>
          <w:u w:val="single"/>
        </w:rPr>
      </w:r>
      <w:r>
        <w:rPr>
          <w:b/>
          <w:bCs/>
          <w:highlight w:val="white"/>
          <w:u w:val="singl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Владельцы Биржевых облигаций имеют право требовать, а Эмитент обязан обеспечить право владельцев Биржевых облигаций требовать от Эмитента приобретения Биржевых облигаций в течение</w:t>
      </w:r>
      <w:r>
        <w:rPr>
          <w:bCs/>
          <w:iCs/>
          <w:highlight w:val="white"/>
        </w:rPr>
        <w:t xml:space="preserve"> 5 (Пяти) последних рабочих дней купонного периода, предшествующего купонному периоду, по которому размер купона либо порядок определения размера купона определяется Эмитентом после завершения размещения Биржевых облигаций (далее – «Период предъявления»).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Если размер ставок купонов или порядок определения ставок купонов определяется уполномоченным органом управления Эмитента (уполномоченным должностным лицом) одновременно по нескольким купонным периодам, Эмитент обязан приобретать Биржев</w:t>
      </w:r>
      <w:r>
        <w:rPr>
          <w:bCs/>
          <w:iCs/>
          <w:highlight w:val="white"/>
        </w:rPr>
        <w:t xml:space="preserve">ые облигации по требованиям их владельцев, заявленным в течение последних 5 (Пяти) рабочих дней купонного периода, предшествующего купонному периоду, по которому Эмитентом определяются указанные ставки купонов или порядок определения ставок купонов одновре</w:t>
      </w:r>
      <w:r>
        <w:rPr>
          <w:bCs/>
          <w:iCs/>
          <w:highlight w:val="white"/>
        </w:rPr>
        <w:t xml:space="preserve">менно с иными купонными периодами, и  который наступает раньше. Приобретение Биржевых облигаций перед иными купонными периодами, по которым определяются такие размер или порядок определения размера купона по Биржевым облигациям, в этом случае не требуется.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  <w:u w:val="single"/>
        </w:rPr>
      </w:pPr>
      <w:r>
        <w:rPr>
          <w:b/>
          <w:bCs/>
          <w:iCs/>
          <w:highlight w:val="white"/>
          <w:u w:val="single"/>
        </w:rPr>
      </w:r>
      <w:r>
        <w:rPr>
          <w:b/>
          <w:bCs/>
          <w:iCs/>
          <w:highlight w:val="white"/>
          <w:u w:val="single"/>
        </w:rPr>
      </w:r>
      <w:r>
        <w:rPr>
          <w:b/>
          <w:bCs/>
          <w:iCs/>
          <w:highlight w:val="white"/>
          <w:u w:val="single"/>
        </w:rPr>
      </w:r>
    </w:p>
    <w:p>
      <w:pPr>
        <w:ind w:firstLine="709"/>
        <w:jc w:val="both"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Порядок реализации лицами, осуществляющими права по ценным бумагам, права требовать </w:t>
      </w:r>
      <w:r>
        <w:rPr>
          <w:b/>
          <w:bCs/>
          <w:i/>
          <w:highlight w:val="white"/>
        </w:rPr>
        <w:t xml:space="preserve">от Эмитента</w:t>
      </w:r>
      <w:r>
        <w:rPr>
          <w:b/>
          <w:bCs/>
          <w:i/>
          <w:highlight w:val="white"/>
        </w:rPr>
        <w:t xml:space="preserve"> приобретения облигаций: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rPr>
          <w:bCs/>
          <w:highlight w:val="white"/>
          <w:u w:val="single"/>
        </w:rPr>
      </w:pP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Лицо, осуществляющее права по Биржевым облигациям, реализует право требовать приобретения принадлежащих ему Биржевым облигаций по правилам, установленным действующим законодательством Российской Федерации.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Требование к Эмитенту о приобретении Биржевых облигаций предъявляется путем подачи заявки в соответствии с правилами проведения торгов Биржи, зарегистрированными в установленном порядке и действующими на дату подачи такой заявки.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both"/>
        <w:rPr>
          <w:bCs/>
          <w:highlight w:val="white"/>
          <w:u w:val="single"/>
        </w:rPr>
      </w:pP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  <w:r>
        <w:rPr>
          <w:bCs/>
          <w:highlight w:val="white"/>
          <w:u w:val="singl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Дата приобретения Биржевых облигаций: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 приобретаются Эмитентом в дату, определяемую в соответствии с Решением о выпуске ценных бумаг (далее – Дата приобретения по требованию владельцев).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Цена приобретения Биржевых облигаций: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100 (Сто) процентов от номинальной стоимости</w:t>
      </w:r>
      <w:r>
        <w:rPr>
          <w:bCs/>
          <w:highlight w:val="white"/>
        </w:rPr>
        <w:t xml:space="preserve"> </w:t>
      </w:r>
      <w:r>
        <w:rPr>
          <w:bCs/>
          <w:iCs/>
          <w:highlight w:val="white"/>
        </w:rPr>
        <w:t xml:space="preserve">(непогашенной части номинальной стоимости)</w:t>
      </w:r>
      <w:r>
        <w:rPr>
          <w:bCs/>
          <w:highlight w:val="white"/>
        </w:rPr>
        <w:t xml:space="preserve"> </w:t>
      </w:r>
      <w:r>
        <w:rPr>
          <w:bCs/>
          <w:iCs/>
          <w:highlight w:val="white"/>
        </w:rPr>
        <w:t xml:space="preserve">Биржевых облигаций. При этом дополнительно выплачивается накопленный купонный доход, рассчитанный на Дату приобретения по требованию владельцев.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Порядок приобретения Биржевых облигаций: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Приобретение Эмитентом Биржевых облигаций осуществляется путем заключения договоров купли-продажи Биржевых облигаций на торгах, проводимых Бирж</w:t>
      </w:r>
      <w:r>
        <w:rPr>
          <w:bCs/>
          <w:iCs/>
          <w:highlight w:val="white"/>
        </w:rPr>
        <w:t xml:space="preserve">ей, через удовлетворение адресных заявок на продажу Биржевых облигаций, поданных с использованием системы торгов Биржи в соответствии с правилами проведения торгов Биржи, зарегистрированными в установленном порядке и действующими на дату проведения торгов.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 если владелец Биржевых облигаций не является Участником торгов Биржи, он должен зак</w:t>
      </w:r>
      <w:r>
        <w:rPr>
          <w:bCs/>
          <w:iCs/>
          <w:highlight w:val="white"/>
        </w:rPr>
        <w:t xml:space="preserve">лючить соответствующий договор с любым Участником организованных торгов, и дать ему поручение на продажу Биржевых облигаций Эмитенту (далее – «Агент по продаже»). Владелец Биржевых облигаций, являющийся Участником торгов, вправе действовать самостоятельно.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течение Периода предъявления (далее – Период сбора за</w:t>
      </w:r>
      <w:r>
        <w:rPr>
          <w:bCs/>
          <w:iCs/>
          <w:highlight w:val="white"/>
        </w:rPr>
        <w:t xml:space="preserve">явок) владелец Биржевых облигаций самостоятельно или через Агента по продаже вправе подать заявку в адрес Эмитента или Агента по приобретению с указанием даты активации такой заявки. Порядок подачи заявок устанавливается Эмитентом по согласованию c Биржей.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Датой активации адресных заявок на продажу Биржевых облигаций является Дата приобретения по требованию владельцев, определяемая в соответствии с Решением о выпуске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Заявка на продажу Биржевых облигаций должна содержать следующие значимые условия: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numPr>
          <w:numId w:val="33"/>
          <w:ilvl w:val="0"/>
        </w:numPr>
        <w:tabs>
          <w:tab w:val="left" w:pos="284" w:leader="none"/>
          <w:tab w:val="left" w:pos="851" w:leader="none"/>
        </w:tabs>
        <w:spacing w:after="160"/>
        <w:ind w:left="0"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цена приобретения (установленная в соответствии с Программой биржевых облигаций);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numPr>
          <w:numId w:val="33"/>
          <w:ilvl w:val="0"/>
        </w:numPr>
        <w:tabs>
          <w:tab w:val="left" w:pos="284" w:leader="none"/>
          <w:tab w:val="left" w:pos="851" w:leader="none"/>
        </w:tabs>
        <w:spacing w:after="160"/>
        <w:ind w:left="0"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количество Биржевых облигаций, приобретения которых требует их владелец;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numPr>
          <w:numId w:val="33"/>
          <w:ilvl w:val="0"/>
        </w:numPr>
        <w:tabs>
          <w:tab w:val="left" w:pos="284" w:leader="none"/>
          <w:tab w:val="left" w:pos="851" w:leader="none"/>
        </w:tabs>
        <w:spacing w:after="160"/>
        <w:ind w:left="0"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код расчетов, используемый при заключении сделки с ценными бумагами, подлежащей включению в клиринго</w:t>
      </w:r>
      <w:r>
        <w:rPr>
          <w:bCs/>
          <w:iCs/>
          <w:highlight w:val="white"/>
        </w:rPr>
        <w:t xml:space="preserve">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numPr>
          <w:numId w:val="33"/>
          <w:ilvl w:val="0"/>
        </w:numPr>
        <w:tabs>
          <w:tab w:val="left" w:pos="284" w:leader="none"/>
          <w:tab w:val="left" w:pos="851" w:leader="none"/>
        </w:tabs>
        <w:spacing w:after="160"/>
        <w:ind w:left="0"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Дата активации (как она определена выше);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numPr>
          <w:numId w:val="33"/>
          <w:ilvl w:val="0"/>
        </w:numPr>
        <w:tabs>
          <w:tab w:val="left" w:pos="284" w:leader="none"/>
          <w:tab w:val="left" w:pos="851" w:leader="none"/>
        </w:tabs>
        <w:spacing w:after="160"/>
        <w:ind w:left="0"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прочие параметры в соответствии с Правилами Биржи.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Заявки, не соответствующие изложенным выше требованиям, не принимаются.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 окончании Периода сбора заявок владельцы Биржевых облигаций (являющиеся Участниками торгов) или Агент по продаже не могут изменить или снять поданные ими заявки.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Биржа после окончания Периода сбора заявок составляет сводный реестр заяв</w:t>
      </w:r>
      <w:r>
        <w:rPr>
          <w:bCs/>
          <w:iCs/>
          <w:highlight w:val="white"/>
        </w:rPr>
        <w:t xml:space="preserve">ок на продажу Биржевых облигаций (далее - «Сводный реестр заявок») и передает его Эмитенту или Агенту по приобретению. Агент по приобретению (в случае его назначения) обеспечивает Эмитенту доступ к информации, содержащейся в Сводном реестре заявок. Сводный</w:t>
      </w:r>
      <w:r>
        <w:rPr>
          <w:bCs/>
          <w:iCs/>
          <w:highlight w:val="white"/>
        </w:rPr>
        <w:t xml:space="preserve"> реестр заявок содержит все значимые условия каждой заявки – цену приобретения, количество Биржевых облигаций, приобретения которых требует их владелец, дату и время поступления заявки, номер заявки, а также иные реквизиты в соответствии с Правилами Биржи.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Обязательным для владельцев Биржевых облигаций, направивших заявки на продажу Биржевых облигац</w:t>
      </w:r>
      <w:r>
        <w:rPr>
          <w:bCs/>
          <w:iCs/>
          <w:highlight w:val="white"/>
        </w:rPr>
        <w:t xml:space="preserve">ий самостоятельно или через Агента по продаже, является предварительное резервирование (до Даты активации) необходимого количества Биржевых облигаций, приобретения которых требует их владелец, в депозитарии, осуществляющем учет прав на Биржевые облигации.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Процедура контроля обеспечения по заявке, поданной в Период сбора заявок, осуществляется в момент активации такой заявки. В случае, если заявка не проходит проверку обеспечения, данная заявка снимается Биржей.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Заключение сделки по приобретению Биржевых облигаций на основании заявки, поданной в Период сбора заявок, осуществляется в Дату приобретения по требованию владельцев.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709" w:leader="none"/>
        </w:tabs>
        <w:spacing w:after="160"/>
        <w:ind w:firstLine="709"/>
        <w:contextualSpacing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самостоятельно или через Агента по приобретению (в случае его назначения) в Дату приобретения по </w:t>
      </w:r>
      <w:r>
        <w:rPr>
          <w:bCs/>
          <w:iCs/>
          <w:highlight w:val="white"/>
        </w:rPr>
        <w:t xml:space="preserve">требованию владельцев в течение периода времени, согласованного с Биржей, обязуется подать встречные адресные заявки к заявкам владельцев Биржевых облигаций (выставленных владельцем Биржевых облигаций или Агентом по продаже), прошедшим процедуру активации.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Срок приобретения облигаций или порядок его определения, порядок принятия уполномоченным органом эмитента решения о приобретении облигаций: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Принятие уполномоченным органом управления Эмитента отдельного решения о приобретении Биржевых облигаций не требуется, так как порядок приобретения Биржевых облигаций Эмитентом по требованию их владельцев изложен в Программе биржевых облигаций.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обязуется приобрести все Биржевые облигации, заявленные к приобретению в установленный срок.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порядок раскрытия эмитентом информации об условиях и итогах приобретения Биржевых облигаций: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Информация обо всех существенных услови</w:t>
      </w:r>
      <w:r>
        <w:rPr>
          <w:bCs/>
          <w:iCs/>
          <w:highlight w:val="white"/>
        </w:rPr>
        <w:t xml:space="preserve">ях приобретении Биржевых облигаций по требованию их владельцев раскрывается Эмитентом путем публикации текста Программы биржевых облигаций и текста Решения о выпуске ценных бумаг в порядке и сроки, установленные в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Информация об итогах приобретения Биржевых облигаций (в том числе о количестве приобретенных Биржевых облигаций) раскрывается в порядке и сроки, установленные в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Решении о выпуске</w:t>
      </w:r>
      <w:r>
        <w:rPr>
          <w:bCs/>
          <w:iCs/>
          <w:highlight w:val="white"/>
        </w:rPr>
        <w:t xml:space="preserve"> ценных бумаг также могут быть установлены дополнительные к случаям, указанным в настоящем пункте Программы биржевых облигаций, случаи приобретения Биржевых облигаций по требованию их владельцев.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7.6</w:t>
      </w:r>
      <w:r>
        <w:rPr>
          <w:b/>
          <w:bCs/>
          <w:highlight w:val="white"/>
        </w:rPr>
        <w:t xml:space="preserve">.2. Приобретение Эмитентом Биржевых облигаций по соглашению с их владельцами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540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Предусматривается возможность приобретения Биржевых облигаций Эмитентом по соглашению с их владельцами с возможностью их последующего обращения.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имеет право приобретать Бирже</w:t>
      </w:r>
      <w:r>
        <w:rPr>
          <w:bCs/>
          <w:iCs/>
          <w:highlight w:val="white"/>
        </w:rPr>
        <w:t xml:space="preserve">вые облигации путем заключения договоров по приобретению Биржевых облигаций в соответствии с законодательством Российской Федерации, в том числе на основании публичных безотзывных оферт Эмитента, публикуемых в Ленте новостей и на странице в сети Интернет.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порядок принятия уполномоченным органом эмитента решения о приобретении облигаций: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Решение о приобр</w:t>
      </w:r>
      <w:r>
        <w:rPr>
          <w:bCs/>
          <w:iCs/>
          <w:highlight w:val="white"/>
        </w:rPr>
        <w:t xml:space="preserve">етении Биржевых облигаций по соглашению с их владельцами, в том числе на основании публичных безотзывных оферт, принимается уполномоченным органом управления Эмитента с учетом положений Устава, Программы биржевых облигаций, Решения о выпуске ценных бумаг.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pStyle w:val="1206"/>
        <w:ind w:firstLine="709"/>
        <w:jc w:val="both"/>
        <w:rPr>
          <w:b/>
          <w:bCs/>
          <w:iCs/>
          <w:color w:val="auto"/>
          <w:highlight w:val="white"/>
        </w:rPr>
      </w:pPr>
      <w:r>
        <w:rPr>
          <w:b/>
          <w:bCs/>
          <w:iCs/>
          <w:color w:val="auto"/>
          <w:highlight w:val="white"/>
        </w:rPr>
      </w:r>
      <w:r>
        <w:rPr>
          <w:b/>
          <w:bCs/>
          <w:iCs/>
          <w:color w:val="auto"/>
          <w:highlight w:val="white"/>
        </w:rPr>
      </w:r>
      <w:r>
        <w:rPr>
          <w:b/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Возможно неоднократное принятие Эмитентом решений о приобретении Биржевых облигаций по соглашению с их владельцами.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Эмитент может принимать решения о приобретении размещенных им Биржевых облигаций по соглашению с их владельцами с даты регистрации выпуска Биржевых облигаций.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Предложение о приобрете</w:t>
      </w:r>
      <w:r>
        <w:rPr>
          <w:bCs/>
          <w:iCs/>
          <w:color w:val="auto"/>
          <w:highlight w:val="white"/>
        </w:rPr>
        <w:t xml:space="preserve">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</w:t>
      </w:r>
      <w:r>
        <w:rPr>
          <w:bCs/>
          <w:iCs/>
          <w:color w:val="auto"/>
          <w:highlight w:val="white"/>
        </w:rPr>
        <w:t xml:space="preserve">странице</w:t>
      </w:r>
      <w:r>
        <w:rPr>
          <w:bCs/>
          <w:iCs/>
          <w:color w:val="auto"/>
          <w:highlight w:val="white"/>
        </w:rPr>
        <w:t xml:space="preserve"> в сети Интернет.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В случае принятия владельцами Биржевых облигаций предложения об их приобретении Эмитентом в о</w:t>
      </w:r>
      <w:r>
        <w:rPr>
          <w:bCs/>
          <w:iCs/>
          <w:color w:val="auto"/>
          <w:highlight w:val="white"/>
        </w:rPr>
        <w:t xml:space="preserve">тношении большего количества Биржевых облигаций, чем указано в таком предложении,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облигаций. 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содержать: 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дату принятия решения о приобретении (выкупе)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серию, регистрационный номер и дату регистрации выпуска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количество приобретаемых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порядок и срок заявления владельцами требований о приобретении Эмитентом принадлежащих им Биржевых облигаций</w:t>
      </w:r>
      <w:r>
        <w:rPr>
          <w:bCs/>
          <w:iCs/>
          <w:color w:val="auto"/>
          <w:highlight w:val="white"/>
        </w:rPr>
        <w:t xml:space="preserve"> </w:t>
      </w:r>
      <w:r>
        <w:rPr>
          <w:bCs/>
          <w:iCs/>
          <w:color w:val="auto"/>
          <w:highlight w:val="white"/>
        </w:rPr>
        <w:t xml:space="preserve">(далее -</w:t>
      </w:r>
      <w:r>
        <w:rPr>
          <w:bCs/>
          <w:iCs/>
          <w:color w:val="auto"/>
          <w:highlight w:val="white"/>
        </w:rPr>
        <w:t xml:space="preserve"> Требование к Эмитенту о приобретении Биржевых облигаций) на установленных в решении о приобретении Биржевых облигаций и изложенных в опубликованном сообщении о приобретении Биржевых облигаций условиях, и который не может быть менее 5 (Пяти) рабочих дней; 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дату начала приобретения Эмитентом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дату окончания приобретения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цену приобретения Биржевых облигаций или порядок ее определения;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порядок и условия приобретения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срок оплаты приобретаемых Биржевых облигаций;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pStyle w:val="1206"/>
        <w:ind w:firstLine="709"/>
        <w:jc w:val="both"/>
        <w:rPr>
          <w:bCs/>
          <w:iCs/>
          <w:color w:val="auto"/>
          <w:highlight w:val="white"/>
        </w:rPr>
      </w:pPr>
      <w:r>
        <w:rPr>
          <w:bCs/>
          <w:iCs/>
          <w:color w:val="auto"/>
          <w:highlight w:val="white"/>
        </w:rPr>
        <w:t xml:space="preserve">- полное и сокращенное фирменные наи</w:t>
      </w:r>
      <w:r>
        <w:rPr>
          <w:bCs/>
          <w:iCs/>
          <w:color w:val="auto"/>
          <w:highlight w:val="white"/>
        </w:rPr>
        <w:t xml:space="preserve">менования Агента по приобретению, его место нахождения, ИНН (если применимо), ОГРН (если применимо), сведения о реквизитах его лицензии профессионального участника рынка ценных бумаг (в случае, если Эмитент действует с привлечением Агента по приобретению).</w:t>
      </w:r>
      <w:r>
        <w:rPr>
          <w:bCs/>
          <w:iCs/>
          <w:color w:val="auto"/>
          <w:highlight w:val="white"/>
        </w:rPr>
      </w:r>
      <w:r>
        <w:rPr>
          <w:bCs/>
          <w:iCs/>
          <w:color w:val="auto"/>
          <w:highlight w:val="white"/>
        </w:rPr>
      </w:r>
    </w:p>
    <w:p>
      <w:pPr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Срок приобретения облигаций или порядок его определения: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Биржевые облигации приобретаются в дату (даты) приобретения Биржевых облигаций, определенную (определенные) соответствующим решением о приобретении Биржевых облигаций.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  <w:u w:val="single"/>
        </w:rPr>
      </w:pPr>
      <w:r>
        <w:rPr>
          <w:bCs/>
          <w:iCs/>
          <w:highlight w:val="white"/>
          <w:u w:val="single"/>
        </w:rPr>
        <w:t xml:space="preserve">Цена (порядок определения цены) приобретения облигаций их эмитентом:</w:t>
      </w:r>
      <w:r>
        <w:rPr>
          <w:bCs/>
          <w:iCs/>
          <w:highlight w:val="white"/>
          <w:u w:val="single"/>
        </w:rPr>
      </w:r>
      <w:r>
        <w:rPr>
          <w:bCs/>
          <w:iCs/>
          <w:highlight w:val="white"/>
          <w:u w:val="singl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Цена приобретения Биржевых облигаций или порядок ее определения в виде формулы с переменными, значения которых не могут изменяться в зависимости от усмотрения Эмитента, определяется соответствующим решением о приобретении Биржевых облигаций.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  <w:t xml:space="preserve">порядок раскрытия эмитентом информации об условиях и итогах приобретения Биржевых облигаций: 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  <w:u w:val="single"/>
        </w:rPr>
      </w:pPr>
      <w:r>
        <w:rPr>
          <w:bCs/>
          <w:iCs/>
          <w:highlight w:val="white"/>
          <w:u w:val="single"/>
        </w:rPr>
      </w:r>
      <w:r>
        <w:rPr>
          <w:bCs/>
          <w:iCs/>
          <w:highlight w:val="white"/>
          <w:u w:val="single"/>
        </w:rPr>
      </w:r>
      <w:r>
        <w:rPr>
          <w:bCs/>
          <w:iCs/>
          <w:highlight w:val="white"/>
          <w:u w:val="singl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 принятия Эмитентом решения о приобретении Биржев</w:t>
      </w:r>
      <w:r>
        <w:rPr>
          <w:bCs/>
          <w:iCs/>
          <w:highlight w:val="white"/>
        </w:rPr>
        <w:t xml:space="preserve">ых облигаций по соглашению с их владельцами, в том числе на основании публичных безотзывных оферт, не позднее, чем за 7 (Семь) рабочих дней до начала срока, в течение которого владельцами Биржевых облигаций могут быть заявлены Требования к Эмитенту о приоб</w:t>
      </w:r>
      <w:r>
        <w:rPr>
          <w:bCs/>
          <w:iCs/>
          <w:highlight w:val="white"/>
        </w:rPr>
        <w:t xml:space="preserve">ретении Биржевых облигаций, Эмитент обязан уведомить представителя владельцев Биржевых облигаций (в случае его назначения), а также раскрыть информацию о таком приобретении или уведомить о таком приобретении всех владельцев приобретаемых Биржевых облигаций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При принятии Эмитентом решения о приобретении Биржевых облигаций по </w:t>
      </w:r>
      <w:r>
        <w:rPr>
          <w:bCs/>
          <w:iCs/>
          <w:highlight w:val="white"/>
        </w:rPr>
        <w:t xml:space="preserve">соглашению с</w:t>
      </w:r>
      <w:r>
        <w:rPr>
          <w:bCs/>
          <w:iCs/>
          <w:highlight w:val="white"/>
        </w:rPr>
        <w:t xml:space="preserve"> их </w:t>
      </w:r>
      <w:r>
        <w:rPr>
          <w:bCs/>
          <w:iCs/>
          <w:highlight w:val="white"/>
        </w:rPr>
        <w:t xml:space="preserve">владельцами Эмитент</w:t>
      </w:r>
      <w:r>
        <w:rPr>
          <w:bCs/>
          <w:iCs/>
          <w:highlight w:val="white"/>
        </w:rPr>
        <w:t xml:space="preserve"> публикует сообщение об этом в порядке и сроки, предусмотренные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Информация об итогах приобретения Биржевых облигаций (в том числе о количестве приобретенных Биржевых облигаций) раскрывается в порядке и сроки, установленные в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 </w:t>
      </w:r>
      <w:r>
        <w:rPr>
          <w:b/>
          <w:bCs/>
          <w:highlight w:val="white"/>
        </w:rPr>
        <w:t xml:space="preserve">Дополнительные сведения о зеленых облигациях, социальных облигациях, облигациях устойчивого развития, инфраструктурных облигациях, адаптационных облигациях, облигациях, связанных с целями устойчивого развития, облигациях климатического перехода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both"/>
        <w:rPr>
          <w:rFonts w:eastAsiaTheme="minorHAnsi"/>
          <w:b/>
          <w:bCs/>
          <w:highlight w:val="white"/>
        </w:rPr>
      </w:pP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  <w:lang w:eastAsia="en-US"/>
        </w:rPr>
      </w:r>
      <w:r>
        <w:rPr>
          <w:rFonts w:eastAsiaTheme="minorHAnsi"/>
          <w:b/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7.7.1. В случае если эмитент идентифицирует выпуск (программу) облигаций с использованием слов "зеленые облигации", приводятся следующие сведения и условия, указанные в решении о выпуске (программе) зеленых облигаций: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«зеленые облигации».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7.7.2. В случае если эмитент идентифицирует выпуск (программу) облигаций с использованием слов "социальные облигации", приводятся следующие сведения и условия, указанные в решении о выпуске (программе) социальных облигаций: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bCs/>
          <w:iCs/>
          <w:highlight w:val="white"/>
        </w:rPr>
        <w:t xml:space="preserve">социальные облигации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7.7.3. В случае если эмитент идентифицирует выпуск (программу) облигаций с использованием слов "облигации устойчивого развития", приводятся сведения и условия, предусмотренные </w:t>
      </w:r>
      <w:hyperlink r:id="rId50" w:tooltip="https://login.consultant.ru/link/?req=doc&amp;base=LAW&amp;n=440052&amp;dst=620" w:history="1">
        <w:r>
          <w:rPr>
            <w:b/>
            <w:bCs/>
            <w:highlight w:val="white"/>
          </w:rPr>
          <w:t xml:space="preserve">подпунктами 7.7.1</w:t>
        </w:r>
      </w:hyperlink>
      <w:r>
        <w:rPr>
          <w:b/>
          <w:bCs/>
          <w:highlight w:val="white"/>
        </w:rPr>
        <w:t xml:space="preserve"> и </w:t>
      </w:r>
      <w:hyperlink r:id="rId51" w:tooltip="https://login.consultant.ru/link/?req=doc&amp;base=LAW&amp;n=440052&amp;dst=632" w:history="1">
        <w:r>
          <w:rPr>
            <w:b/>
            <w:bCs/>
            <w:highlight w:val="white"/>
          </w:rPr>
          <w:t xml:space="preserve">7.7.2</w:t>
        </w:r>
      </w:hyperlink>
      <w:r>
        <w:rPr>
          <w:b/>
          <w:bCs/>
          <w:highlight w:val="white"/>
        </w:rPr>
        <w:t xml:space="preserve"> настоящего пункта, которые указаны в решении о выпуске (программе) облигаций устойчивого развития.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rFonts w:eastAsiaTheme="minorHAnsi"/>
          <w:highlight w:val="white"/>
          <w:lang w:eastAsia="en-US"/>
        </w:rPr>
        <w:t xml:space="preserve">облигации устойчивого развития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7.7.4. В случае если эмитент идентифицирует выпуск (программу) облигаций с использованием слов "инфраструктурные облигации", приводятся следующие сведения и условия, указанные в решении о выпуске (программе) инфраструктурных облигаций: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rFonts w:eastAsiaTheme="minorHAnsi"/>
          <w:highlight w:val="white"/>
          <w:lang w:eastAsia="en-US"/>
        </w:rPr>
        <w:t xml:space="preserve">инфраструктурные облигации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7.7.5. В случае если эмитент идентифицирует выпуск (программу) облигаций с использованием слов "адаптационные облигации", приводятся следующие сведения и условия, указанные в решении о выпуске (программе) адаптационных облигаций: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rFonts w:eastAsiaTheme="minorHAnsi"/>
          <w:highlight w:val="white"/>
          <w:lang w:eastAsia="en-US"/>
        </w:rPr>
        <w:t xml:space="preserve">адаптационные облигации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7.7.6. В случае если эмитен</w:t>
      </w:r>
      <w:r>
        <w:rPr>
          <w:b/>
          <w:bCs/>
          <w:highlight w:val="white"/>
        </w:rPr>
        <w:t xml:space="preserve">т идентифицирует выпуск (программу) облигаций с использованием слов "облигации, связанные с целями устойчивого развития", приводятся следующие сведения и условия, указанные в решении о выпуске (программе) облигаций, связанных с целями устойчивого развития: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rFonts w:eastAsiaTheme="minorHAnsi"/>
          <w:highlight w:val="white"/>
          <w:lang w:eastAsia="en-US"/>
        </w:rPr>
        <w:t xml:space="preserve">облигации, связанные с целями устойчивого развития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7.7.7. В случае если эмитент идентифицирует выпуск (программу) облигаций с использованием слов "облигации климатического перехода", приводятся следующие сведения и условия, указанные в решении о выпуске (программе) облигаций климатического перехода: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не идентифицирует </w:t>
      </w:r>
      <w:r>
        <w:rPr>
          <w:bCs/>
          <w:iCs/>
          <w:highlight w:val="white"/>
        </w:rPr>
        <w:t xml:space="preserve">П</w:t>
      </w:r>
      <w:r>
        <w:rPr>
          <w:bCs/>
          <w:iCs/>
          <w:highlight w:val="white"/>
        </w:rPr>
        <w:t xml:space="preserve">рограмму</w:t>
      </w:r>
      <w:r>
        <w:rPr>
          <w:bCs/>
          <w:iCs/>
          <w:highlight w:val="white"/>
        </w:rPr>
        <w:t xml:space="preserve"> биржевых</w:t>
      </w:r>
      <w:r>
        <w:rPr>
          <w:bCs/>
          <w:iCs/>
          <w:highlight w:val="white"/>
        </w:rPr>
        <w:t xml:space="preserve"> облигаций с использованием слов </w:t>
      </w:r>
      <w:r>
        <w:rPr>
          <w:bCs/>
          <w:iCs/>
          <w:highlight w:val="white"/>
        </w:rPr>
        <w:t xml:space="preserve">«</w:t>
      </w:r>
      <w:r>
        <w:rPr>
          <w:bCs/>
          <w:iCs/>
          <w:highlight w:val="white"/>
        </w:rPr>
        <w:t xml:space="preserve">облигации климатического перехода</w:t>
      </w:r>
      <w:r>
        <w:rPr>
          <w:bCs/>
          <w:iCs/>
          <w:highlight w:val="white"/>
        </w:rPr>
        <w:t xml:space="preserve">».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7.8. Сведения о представителе владельцев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Представитель (представители) владельцев Биржевых облигаций Программой и Проспектом не определяется.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7.8(1). Сведения о компетенции общего собрания владельцев облигаций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Программой </w:t>
      </w:r>
      <w:r>
        <w:rPr>
          <w:bCs/>
          <w:iCs/>
          <w:highlight w:val="white"/>
        </w:rPr>
        <w:t xml:space="preserve">биржевых облигаций не предусмотрены вопросы, отнесенные к компетенции общего собрания владельцев облигаций.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7.9. Дополнительные сведения о российских депозитарных расписках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sz w:val="22"/>
          <w:szCs w:val="22"/>
          <w:highlight w:val="white"/>
        </w:rPr>
      </w:pPr>
      <w:r>
        <w:rPr>
          <w:bCs/>
          <w:iCs/>
          <w:highlight w:val="white"/>
        </w:rPr>
        <w:t xml:space="preserve">Биржевые облигации не являются российскими депозитарными расписками.  </w:t>
      </w:r>
      <w:r>
        <w:rPr>
          <w:bCs/>
          <w:iCs/>
          <w:sz w:val="22"/>
          <w:szCs w:val="22"/>
          <w:highlight w:val="white"/>
        </w:rPr>
      </w:r>
      <w:r>
        <w:rPr>
          <w:bCs/>
          <w:iCs/>
          <w:sz w:val="22"/>
          <w:szCs w:val="22"/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7.10. Иные сведения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sz w:val="22"/>
          <w:szCs w:val="22"/>
          <w:highlight w:val="white"/>
        </w:rPr>
      </w:pPr>
      <w:r>
        <w:rPr>
          <w:bCs/>
          <w:sz w:val="22"/>
          <w:szCs w:val="22"/>
          <w:highlight w:val="white"/>
        </w:rPr>
      </w:r>
      <w:r>
        <w:rPr>
          <w:bCs/>
          <w:sz w:val="22"/>
          <w:szCs w:val="22"/>
          <w:highlight w:val="white"/>
        </w:rPr>
      </w:r>
      <w:r>
        <w:rPr>
          <w:bCs/>
          <w:sz w:val="22"/>
          <w:szCs w:val="22"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1. Обращение Биржевых облигаций осуществляется в соответствии с условиями Программы биржевых облигаций, Решения о выпуске ценных бумаг и действующего законодательства Российской Федерации.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Нерезиденты могут приобретать Биржевые облигации в соответствии с действующим законодательством и нормативными актами Российской Федерации.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Биржевые облигации допускаются к свободному обращению, как на биржевом, так и на внебиржевом рынке.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На биржевом рынке Биржевые облигации обращаются с изъятиями, установленными организаторами торговли на рынке ценных бумаг.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  <w:t xml:space="preserve">На внебиржевом рынке Биржевые облигации обращаются с учетом ограничений, установленных действующим законодательством Российской Федерации.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2. В любой день между датой начала размещения и датой погашения Выпуска величина накопленного купонного дохода (НКД) по Биржевой облигации рассчитывается.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2.1. В случае если размер купонного дохода по Биржевым облигациям </w:t>
      </w:r>
      <w:r>
        <w:rPr>
          <w:bCs/>
          <w:iCs/>
          <w:highlight w:val="white"/>
        </w:rPr>
        <w:t xml:space="preserve">отдельного Выпуска</w:t>
      </w:r>
      <w:r>
        <w:rPr>
          <w:bCs/>
          <w:iCs/>
          <w:highlight w:val="white"/>
        </w:rPr>
        <w:t xml:space="preserve"> определяется по формуле, пр</w:t>
      </w:r>
      <w:r>
        <w:rPr>
          <w:bCs/>
          <w:iCs/>
          <w:highlight w:val="white"/>
        </w:rPr>
        <w:t xml:space="preserve">иведенной в пп.1 «Порядок определения размера дохода (порядок расчета сумм выплат) на одну Биржевую облигацию, выплачиваемого по каждому купону» пп. А пункта 6.3 Программы биржевых облигаций и пункта 8.9.3 Проспекта величина накопленного купонного дохода (</w:t>
      </w:r>
      <w:r>
        <w:rPr>
          <w:bCs/>
          <w:iCs/>
          <w:highlight w:val="white"/>
        </w:rPr>
        <w:t xml:space="preserve">НКД) рассчитывается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по следующей</w:t>
      </w:r>
      <w:r>
        <w:rPr>
          <w:bCs/>
          <w:iCs/>
          <w:highlight w:val="white"/>
        </w:rPr>
        <w:t xml:space="preserve"> формуле: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НКД</w:t>
      </w:r>
      <w:r>
        <w:rPr>
          <w:bCs/>
          <w:iCs/>
          <w:highlight w:val="white"/>
          <w:lang w:val="fr-FR"/>
        </w:rPr>
        <w:t xml:space="preserve"> = </w:t>
      </w:r>
      <w:r>
        <w:rPr>
          <w:bCs/>
          <w:iCs/>
          <w:highlight w:val="white"/>
        </w:rPr>
        <w:t xml:space="preserve">Cj * Nom * (T(j) -T(j-1)) / (365 * 100%)</w:t>
      </w:r>
      <w:r>
        <w:rPr>
          <w:bCs/>
          <w:iCs/>
          <w:highlight w:val="white"/>
          <w:lang w:val="fr-FR"/>
        </w:rPr>
        <w:t xml:space="preserve">,</w:t>
      </w:r>
      <w:r>
        <w:rPr>
          <w:bCs/>
          <w:iCs/>
          <w:highlight w:val="white"/>
          <w:lang w:val="fr-FR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Где j - порядковый номер купонного периода, </w:t>
      </w:r>
      <w:r>
        <w:rPr>
          <w:color w:val="000000"/>
          <w:spacing w:val="-1"/>
          <w:highlight w:val="white"/>
        </w:rPr>
        <w:t xml:space="preserve">j</w:t>
      </w:r>
      <w:r>
        <w:rPr>
          <w:bCs/>
          <w:color w:val="000000"/>
          <w:spacing w:val="-1"/>
          <w:highlight w:val="white"/>
        </w:rPr>
        <w:t xml:space="preserve">=</w:t>
      </w:r>
      <w:r>
        <w:rPr>
          <w:color w:val="000000"/>
          <w:spacing w:val="-1"/>
          <w:highlight w:val="white"/>
        </w:rPr>
        <w:t xml:space="preserve">1,2,…,n</w:t>
      </w:r>
      <w:r>
        <w:rPr>
          <w:bCs/>
          <w:iCs/>
          <w:highlight w:val="white"/>
        </w:rPr>
        <w:t xml:space="preserve">; где n - количество купонных  периодов, установленных Решением о выпуске ценных бумаг; 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НКД – накопленный купонный доход в валюте, в которой выражена номинальная стоимость Биржевой облигации;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Nom – непогашенная часть номинальной стоимости одной Биржевой облигации, в валюте, в которой выражена номинальная стоимость Биржевой облигации;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C </w:t>
      </w:r>
      <w:r>
        <w:rPr>
          <w:bCs/>
          <w:iCs/>
          <w:highlight w:val="white"/>
          <w:vertAlign w:val="subscript"/>
        </w:rPr>
        <w:t xml:space="preserve">j</w:t>
      </w:r>
      <w:r>
        <w:rPr>
          <w:bCs/>
          <w:iCs/>
          <w:highlight w:val="white"/>
        </w:rPr>
        <w:t xml:space="preserve"> - размер процентной ставки j-го купона, в процентах годовых;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T</w:t>
      </w:r>
      <w:r>
        <w:rPr>
          <w:bCs/>
          <w:iCs/>
          <w:highlight w:val="white"/>
          <w:vertAlign w:val="subscript"/>
        </w:rPr>
        <w:t xml:space="preserve">(</w:t>
      </w:r>
      <w:r>
        <w:rPr>
          <w:bCs/>
          <w:iCs/>
          <w:highlight w:val="white"/>
          <w:vertAlign w:val="subscript"/>
        </w:rPr>
        <w:t xml:space="preserve">j -1) </w:t>
      </w:r>
      <w:r>
        <w:rPr>
          <w:bCs/>
          <w:iCs/>
          <w:highlight w:val="white"/>
        </w:rPr>
        <w:t xml:space="preserve">- дата начала j-го купонного периода (для случая первого купонного периода Т</w:t>
      </w:r>
      <w:r>
        <w:rPr>
          <w:bCs/>
          <w:iCs/>
          <w:highlight w:val="white"/>
          <w:vertAlign w:val="subscript"/>
        </w:rPr>
        <w:t xml:space="preserve">(j-1)</w:t>
      </w:r>
      <w:r>
        <w:rPr>
          <w:bCs/>
          <w:iCs/>
          <w:highlight w:val="white"/>
        </w:rPr>
        <w:t xml:space="preserve"> – это дата начала размещения Биржевых облигаций);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T</w:t>
      </w:r>
      <w:r>
        <w:rPr>
          <w:bCs/>
          <w:iCs/>
          <w:highlight w:val="white"/>
          <w:vertAlign w:val="subscript"/>
        </w:rPr>
        <w:t xml:space="preserve"> j</w:t>
      </w:r>
      <w:r>
        <w:rPr>
          <w:bCs/>
          <w:iCs/>
          <w:highlight w:val="white"/>
        </w:rPr>
        <w:t xml:space="preserve"> - дата расчета накопленного купонного дохода внутри j-го купонного периода.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НКД рассчитывается с точностью до второго знака после запятой (округление второго знака после запятой пр</w:t>
      </w:r>
      <w:r>
        <w:rPr>
          <w:highlight w:val="white"/>
        </w:rPr>
        <w:t xml:space="preserve">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2.2. В</w:t>
      </w:r>
      <w:r>
        <w:rPr>
          <w:highlight w:val="white"/>
        </w:rPr>
        <w:t xml:space="preserve"> случае если размер купонного дохода по Биржевым облигациям отдельного Выпуска рассчитывается по формуле, установленной Эмитентом в соответствующем Решении о выпуске ценных бумаг, отличной от формулы, приведенной в пп.1 «Порядок определения размера дохода </w:t>
      </w:r>
      <w:r>
        <w:rPr>
          <w:bCs/>
          <w:iCs/>
          <w:highlight w:val="white"/>
        </w:rPr>
        <w:t xml:space="preserve">(порядок расчета сумм выплат) на одну Биржевую облигацию</w:t>
      </w:r>
      <w:r>
        <w:rPr>
          <w:highlight w:val="white"/>
        </w:rPr>
        <w:t xml:space="preserve">, выплачиваемого по каждому купону» пп. А пункта 6.3 Программы биржевых облигаций</w:t>
      </w:r>
      <w:r>
        <w:rPr>
          <w:bCs/>
          <w:iCs/>
          <w:highlight w:val="white"/>
        </w:rPr>
        <w:t xml:space="preserve"> и пункта </w:t>
      </w:r>
      <w:r>
        <w:rPr>
          <w:bCs/>
          <w:iCs/>
          <w:highlight w:val="white"/>
        </w:rPr>
        <w:t xml:space="preserve">7</w:t>
      </w:r>
      <w:r>
        <w:rPr>
          <w:bCs/>
          <w:iCs/>
          <w:highlight w:val="white"/>
        </w:rPr>
        <w:t xml:space="preserve">.</w:t>
      </w:r>
      <w:r>
        <w:rPr>
          <w:bCs/>
          <w:iCs/>
          <w:highlight w:val="white"/>
        </w:rPr>
        <w:t xml:space="preserve">5.4.</w:t>
      </w:r>
      <w:r>
        <w:rPr>
          <w:bCs/>
          <w:iCs/>
          <w:highlight w:val="white"/>
        </w:rPr>
        <w:t xml:space="preserve"> Проспекта</w:t>
      </w:r>
      <w:r>
        <w:rPr>
          <w:highlight w:val="white"/>
        </w:rPr>
        <w:t xml:space="preserve">,  Эмитент обязан в таком Решении о выпуске ценных бумаг указать формулу, по которой рассчитывается величина накопленного купонного дохода по Биржевым облигациям выпуска.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3. В случае если на момент принятия Эм</w:t>
      </w:r>
      <w:r>
        <w:rPr>
          <w:bCs/>
          <w:iCs/>
          <w:highlight w:val="white"/>
        </w:rPr>
        <w:t xml:space="preserve">итентом решения о событиях на этапах эмиссии и обращения Биржевых облигаций и иных событиях, описанных в Программе биржевых облигаций, Решении о выпуске ценных бумаг, Документе, содержащим условия размещения ценных бумаг, Проспекте и в соответствии с дейст</w:t>
      </w:r>
      <w:r>
        <w:rPr>
          <w:bCs/>
          <w:iCs/>
          <w:highlight w:val="white"/>
        </w:rPr>
        <w:t xml:space="preserve">вующим законодательством Российской Федерации, будет установлен иной порядок и сроки принятия Эмитентом решения об указанных событиях, нежели порядок и сроки, предусмотренные Программой биржевых облигаций, Проспектом, Решением о выпуске ценных бумаг, Докум</w:t>
      </w:r>
      <w:r>
        <w:rPr>
          <w:bCs/>
          <w:iCs/>
          <w:highlight w:val="white"/>
        </w:rPr>
        <w:t xml:space="preserve">ентом, содержащим условия размещения ценных бумаг,  решения об указанных событиях будут приниматься Эмитентом в порядке и сроки, предусмотренные законодательством Российской Федерации, действующим на момент принятия Эмитентом решения об указанных событиях.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 </w:t>
      </w:r>
      <w:r>
        <w:rPr>
          <w:bCs/>
          <w:iCs/>
          <w:highlight w:val="white"/>
        </w:rPr>
        <w:t xml:space="preserve">если на момент раскрытия информации о событиях на этапах эмиссии и обращения Биржевых облигаций и иных событиях, описанных в Программе биржевых облигаций, Проспекте, Решении о выпуске ценных бумаг, Документе, содержащим условия размещения ценных бумаг, в с</w:t>
      </w:r>
      <w:r>
        <w:rPr>
          <w:bCs/>
          <w:iCs/>
          <w:highlight w:val="white"/>
        </w:rPr>
        <w:t xml:space="preserve">оответствии с действующим законодательством Российской Федерации, будет установлен иной порядок и сроки раскрытия информации об указанных событиях, нежели порядок и сроки, предусмотренные Программой биржевых облигаций, Проспектом, Решением о выпуске ценных</w:t>
      </w:r>
      <w:r>
        <w:rPr>
          <w:bCs/>
          <w:iCs/>
          <w:highlight w:val="white"/>
        </w:rPr>
        <w:t xml:space="preserve"> бумаг, Документом, содержащим условия размещения ценных бумаг, информация об указанных событиях будет раскрываться в порядке и сроки, предусмотренные законодательством Российской Федерации, действующим на момент раскрытия информации об указанных событиях.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случае, если на момент совершения определенных действий, связанных с досрочным погашением (частич</w:t>
      </w:r>
      <w:r>
        <w:rPr>
          <w:bCs/>
          <w:iCs/>
          <w:highlight w:val="white"/>
        </w:rPr>
        <w:t xml:space="preserve">ным досрочным погашением) Биржевых облигаций/приобретением Биржевых облигаций/исполнением обязательств Эмитентом по Биржевым облигациям (выплата купона и/или погашение), законодательством Российской Федерации будут установлены условия, порядок и (или) прав</w:t>
      </w:r>
      <w:r>
        <w:rPr>
          <w:bCs/>
          <w:iCs/>
          <w:highlight w:val="white"/>
        </w:rPr>
        <w:t xml:space="preserve">ила (требования), отличные от тех, которые содержатся в Программе биржевых облигаций  и Решении о выпуске ценных бумаг, Проспекте, досрочное погашение (частичное досрочное погашение) Биржевых облигаций/приобретение Биржевых облигаций/исполнение обязательст</w:t>
      </w:r>
      <w:r>
        <w:rPr>
          <w:bCs/>
          <w:iCs/>
          <w:highlight w:val="white"/>
        </w:rPr>
        <w:t xml:space="preserve">в Эмитентом по Биржевым облигациям (выплата купона и/или погашение) будет осуществляться с учетом требований законодательства Российской Федерации и/или нормативных актов в сфере финансовых рынков, действующих на момент совершения соответствующих действий.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4. В случае изменения действующего законодательства Российской Федерации и/или нормативных актов в сфере финансовых рынков после утверждения Программы биржевых облигаций, Проспекта  и подписания Решения о выпуске ценных бумаг, Документа содержащего</w:t>
      </w:r>
      <w:r>
        <w:rPr>
          <w:bCs/>
          <w:iCs/>
          <w:highlight w:val="white"/>
        </w:rPr>
        <w:t xml:space="preserve"> условия размещения ценных бумаг лицом, занимающим должность (осуществляющим функции) единоличного исполнительного органа Эмитента, или уполномоченным им должностным лицом Эмитента, положения (требования, условия), закрепленные Программой биржевых облигаци</w:t>
      </w:r>
      <w:r>
        <w:rPr>
          <w:bCs/>
          <w:iCs/>
          <w:highlight w:val="white"/>
        </w:rPr>
        <w:t xml:space="preserve">й, Проспектом, Решением о выпуске ценных бумаг, Документом, содержащим условия размещения ценных бумаг, будут действовать с учетом изменившихся императивных требований законодательства Российской Федерации и/или нормативных актов в сфере финансовых рынков.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5. Сведения в отношении наименований, мест нахождений, лицензий и</w:t>
      </w:r>
      <w:r>
        <w:rPr>
          <w:bCs/>
          <w:iCs/>
          <w:highlight w:val="white"/>
        </w:rPr>
        <w:t xml:space="preserve"> других реквизитов обществ (организаций), указанных в Программе биржевых облигаций и Проспекте, представлены в соответствии действующими на момент утверждения Программы биржевых облигаций и Проспекта редакциями учредительных/уставных документов, и/или друг</w:t>
      </w:r>
      <w:r>
        <w:rPr>
          <w:bCs/>
          <w:iCs/>
          <w:highlight w:val="white"/>
        </w:rPr>
        <w:t xml:space="preserve">их соответствующих документов. В случае изменения наименования, места нахождения, лицензий и других реквизитов обществ (организаций), указанных в Программе биржевых облигаций и Проспекте, данную информацию следует читать с учетом соответствующих изменений.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highlight w:val="white"/>
        </w:rPr>
      </w:r>
      <w:bookmarkStart w:id="25" w:name="Par4120"/>
      <w:r>
        <w:rPr>
          <w:highlight w:val="white"/>
        </w:rPr>
      </w:r>
      <w:bookmarkStart w:id="26" w:name="Par4126"/>
      <w:r>
        <w:rPr>
          <w:highlight w:val="white"/>
        </w:rPr>
      </w:r>
      <w:bookmarkEnd w:id="25"/>
      <w:r>
        <w:rPr>
          <w:highlight w:val="white"/>
        </w:rPr>
      </w:r>
      <w:bookmarkEnd w:id="26"/>
      <w:r>
        <w:rPr>
          <w:bCs/>
          <w:iCs/>
          <w:highlight w:val="white"/>
        </w:rPr>
        <w:t xml:space="preserve">6. Если Решением о выпуске ценных бумаг отдельного выпуска  биржевых облигаций установлено, что погашение, выплата дохода, досрочное погашение </w:t>
      </w:r>
      <w:r>
        <w:rPr>
          <w:highlight w:val="white"/>
        </w:rPr>
        <w:t xml:space="preserve">(частичное досрочное) </w:t>
      </w:r>
      <w:r>
        <w:rPr>
          <w:bCs/>
          <w:iCs/>
          <w:highlight w:val="white"/>
        </w:rPr>
        <w:t xml:space="preserve"> Биржевых облигаций или оплата Биржевых облигаций при их приобретении производится в иностранной валюте, и вследствие введения</w:t>
      </w:r>
      <w:r>
        <w:rPr>
          <w:bCs/>
          <w:iCs/>
          <w:highlight w:val="white"/>
        </w:rPr>
        <w:t xml:space="preserve"> запрета или иного ограничения, наложенного нормативным правовым актом, решением, предписанием или иным обязательным к исполнению документом Российской Федерации (ее уполномоченного государственного органа, суда или иного уполномоченного субъекта применени</w:t>
      </w:r>
      <w:r>
        <w:rPr>
          <w:bCs/>
          <w:iCs/>
          <w:highlight w:val="white"/>
        </w:rPr>
        <w:t xml:space="preserve">я права, в том числе Банка России либо какого-либо уполномоченного органа местного самоуправления), иностранного государства (его уполномоченного государственного органа, суда или иного уполномоченного субъекта применения права, в том числе центрального ба</w:t>
      </w:r>
      <w:r>
        <w:rPr>
          <w:bCs/>
          <w:iCs/>
          <w:highlight w:val="white"/>
        </w:rPr>
        <w:t xml:space="preserve">нка либо органа банковского надзора иностранного государства либо какого-либо уполномоченного органа местного самоуправления) или международной (межгосударственной, межправительственной) организации (его уполномоченного органа или иного уполномоченного суб</w:t>
      </w:r>
      <w:r>
        <w:rPr>
          <w:bCs/>
          <w:iCs/>
          <w:highlight w:val="white"/>
        </w:rPr>
        <w:t xml:space="preserve">ъекта применения права), исполнение Эмитентом своих обязательств по выплате соответствующих сумм в иностранной валюте становится незаконным, невыполнимым или существенно затруднительным, то Эмитент вправе осуществить выплату сумм по Биржевым облигациям, пр</w:t>
      </w:r>
      <w:r>
        <w:rPr>
          <w:bCs/>
          <w:iCs/>
          <w:highlight w:val="white"/>
        </w:rPr>
        <w:t xml:space="preserve">ичитающихся владельцам Биржевых облигаций и иным лицам, осуществляющим в соответствии с федеральными законами права по Биржевым облигациям, в рублях Российской Федерации  по курсу, который будет установлен в соответствии с Решением о выпуске ценных бумаг.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Информация о том, что выплата будет осуществлена Эмитентом в рублях Российской Федерации, раскрывается Эмитентом, в порядке, установленном в п. 12.1 Программы биржевых облигаций и п. </w:t>
      </w:r>
      <w:r>
        <w:rPr>
          <w:bCs/>
          <w:iCs/>
          <w:highlight w:val="white"/>
        </w:rPr>
        <w:t xml:space="preserve">8.4.</w:t>
      </w:r>
      <w:r>
        <w:rPr>
          <w:bCs/>
          <w:iCs/>
          <w:highlight w:val="white"/>
        </w:rPr>
        <w:t xml:space="preserve"> Проспекта.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обязан уведомить НКО АО НРД о том, что выплата будет осуществлена Эмитентом в рублях Российской </w:t>
      </w:r>
      <w:r>
        <w:rPr>
          <w:bCs/>
          <w:iCs/>
          <w:highlight w:val="white"/>
        </w:rPr>
        <w:t xml:space="preserve">Федерации не</w:t>
      </w:r>
      <w:r>
        <w:rPr>
          <w:bCs/>
          <w:iCs/>
          <w:highlight w:val="white"/>
        </w:rPr>
        <w:t xml:space="preserve"> позднее, чем за 3 (Три) рабочих дня до даты выплаты.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Не позднее 10-00 по московскому времени рабочего дня, предшествующего дате выплаты, Эмитент обязан направить в НКО АО НРД информацию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-  о величине курса, по которому будет производиться выплата по Биржевым облигациям;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- о величине выплаты в рублях Российской Федерации по курсу, по которому будет производиться выплата по Биржевым облигациям, в расчете на одну Биржевую облигацию. При этом величина выплаты определяется с точностью до одной копейки (округление производится</w:t>
      </w:r>
      <w:r>
        <w:rPr>
          <w:bCs/>
          <w:iCs/>
          <w:highlight w:val="white"/>
        </w:rPr>
        <w:t xml:space="preserve"> по правилам математического округления, а именно: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 указанном выше случае владельцы Биржевых облигаций и иные лица, осуществляющие в соответствии с федеральными законами права по Биржевым облигациям, несут риски частичного или полного </w:t>
      </w:r>
      <w:r>
        <w:rPr>
          <w:bCs/>
          <w:iCs/>
          <w:highlight w:val="white"/>
        </w:rPr>
        <w:t xml:space="preserve">неполучения,</w:t>
      </w:r>
      <w:r>
        <w:rPr>
          <w:bCs/>
          <w:iCs/>
          <w:highlight w:val="white"/>
        </w:rPr>
        <w:t xml:space="preserve"> или задержки в получении выплат по Биржевым облигациям.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7. Предусмотрен централизованный учет прав на Биржевые облигации.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Учет и удостоверение прав на Биржевые облигации, учет и удостоверение передачи Биржевых облигаций, включая с</w:t>
      </w:r>
      <w:r>
        <w:rPr>
          <w:bCs/>
          <w:iCs/>
          <w:highlight w:val="white"/>
        </w:rPr>
        <w:t xml:space="preserve">лучаи обременения Биржевых облигаций обязательствами, осуществляется в НКО АО НРД и иных депозитариях, осуществляющих учет прав на Биржевые облигации, за исключением НРД (далее по тексту именуются совокупно «Депозитарии», и по отдельности - «Депозитарий»).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Потенциальный приобретатель Биржевых облигаций обязан открыть счет депо в НКО АО НРД или Депозитарии. Порядок и сроки открытия счетов депо определяются положениями внутренних документов соответствующих Депозитариев.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Владельцы и иные л</w:t>
      </w:r>
      <w:r>
        <w:rPr>
          <w:bCs/>
          <w:iCs/>
          <w:highlight w:val="white"/>
        </w:rPr>
        <w:t xml:space="preserve">ица, осуществляющие в соответствии с федеральными законами права по Биржевым облигациям, получают доходы в денежной форме по Биржевым облигациям через НКО АО НРД или Депозитарий, осуществляющий учет прав на ценные бумаги, депонентами которого они являются.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Для получения выплат по Биржевым обли</w:t>
      </w:r>
      <w:r>
        <w:rPr>
          <w:bCs/>
          <w:iCs/>
          <w:highlight w:val="white"/>
        </w:rPr>
        <w:t xml:space="preserve">гациям указанные лица должны иметь банковский счет в рублях Российской Федерации и, в случае, если расчеты по Биржевым облигациям производятся в иностранной валюте, банковский счет в соответствующей иностранной валюте, открываемый в кредитной организации.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Депозитарный договор между депозитарием, осуществляющим учет прав на ценные бумаги, и депонентом должен содержать порядок передачи депоненту выплат по ценным бумагам.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Депозитарный договор между Депозитарием, являющимся номинальным держателем и осуществляющим учет прав</w:t>
      </w:r>
      <w:r>
        <w:rPr>
          <w:bCs/>
          <w:iCs/>
          <w:highlight w:val="white"/>
        </w:rPr>
        <w:t xml:space="preserve"> на Биржевые облигации, и депонентом может содержать обязанность депонента по наличию валютного банковского счета в той же кредитной организации, в которой открыт валютный банковский счет такому Депозитарию, осуществляющему учет прав на Биржевые облигации.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Клиенты Депозитария, осуществляющего учет прав по ценным бумагам, для обеспечения проведения денежных расчетов в иностранной валюте могут открыть валютный банковский счет в таком депозитарии, являющимся кредитной организацией. 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shd w:val="nil" w:color="auto"/>
        <w:rPr>
          <w:highlight w:val="white"/>
        </w:rPr>
      </w:pPr>
      <w:r>
        <w:rPr>
          <w:b/>
          <w:bCs/>
          <w:iCs/>
          <w:highlight w:val="white"/>
        </w:rPr>
        <w:br w:type="page" w:clear="all"/>
      </w:r>
      <w:r>
        <w:rPr>
          <w:b/>
          <w:bCs/>
          <w:iCs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Раздел 8. Условия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/>
          <w:highlight w:val="white"/>
        </w:rPr>
      </w:pPr>
      <w:r>
        <w:rPr>
          <w:b/>
          <w:bCs/>
          <w:iCs/>
          <w:highlight w:val="white"/>
        </w:rPr>
        <w:t xml:space="preserve">Проспект составлен в отношении </w:t>
      </w:r>
      <w:r>
        <w:rPr>
          <w:b/>
          <w:bCs/>
          <w:iCs/>
          <w:highlight w:val="white"/>
        </w:rPr>
        <w:t xml:space="preserve">Программы биржевых облигаций</w:t>
      </w:r>
      <w:r>
        <w:rPr>
          <w:b/>
          <w:bCs/>
          <w:iCs/>
          <w:highlight w:val="white"/>
        </w:rPr>
        <w:t xml:space="preserve">.</w:t>
      </w:r>
      <w:r>
        <w:rPr>
          <w:b/>
          <w:bCs/>
          <w:iCs/>
          <w:highlight w:val="white"/>
        </w:rPr>
        <w:t xml:space="preserve"> </w:t>
      </w:r>
      <w:r>
        <w:rPr>
          <w:b/>
          <w:bCs/>
          <w:iCs/>
          <w:highlight w:val="white"/>
        </w:rPr>
        <w:t xml:space="preserve">В</w:t>
      </w:r>
      <w:r>
        <w:rPr>
          <w:b/>
          <w:bCs/>
          <w:iCs/>
          <w:highlight w:val="white"/>
        </w:rPr>
        <w:t xml:space="preserve">место сведений, предусмотренных настоящим разделом, указываются сведения о </w:t>
      </w:r>
      <w:r>
        <w:rPr>
          <w:b/>
          <w:bCs/>
          <w:iCs/>
          <w:highlight w:val="white"/>
        </w:rPr>
        <w:t xml:space="preserve">Биржевых облигациях</w:t>
      </w:r>
      <w:r>
        <w:rPr>
          <w:b/>
          <w:bCs/>
          <w:iCs/>
          <w:highlight w:val="white"/>
        </w:rPr>
        <w:t xml:space="preserve">, предусмотренные П</w:t>
      </w:r>
      <w:r>
        <w:rPr>
          <w:b/>
          <w:bCs/>
          <w:iCs/>
          <w:highlight w:val="white"/>
        </w:rPr>
        <w:t xml:space="preserve">рограммой биржевых</w:t>
      </w:r>
      <w:r>
        <w:rPr>
          <w:b/>
          <w:bCs/>
          <w:iCs/>
          <w:highlight w:val="white"/>
        </w:rPr>
        <w:t xml:space="preserve"> облигаций.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709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8.1. Количество размещаемых эмиссионных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Количество (примерное количество) Биржевых облигаций отдельного выпуска (дополнительного выпуска), размещаемого в рамках Программы биржевых облигаций, будет установлено в 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случае, если отдельный выпуск Биржевых облигаций в рамках Программы биржевых облигаций предполагается размещать траншами, информация о размещении  отдельного выпуска Биржевых облигаций траншами, количество (поряд</w:t>
      </w:r>
      <w:r>
        <w:rPr>
          <w:highlight w:val="white"/>
        </w:rPr>
        <w:t xml:space="preserve">ок определения количества) /предельное количество траншей выпуска, количество (порядок определения количества) Биржевых облигаций в каждом транше, срок размещения Биржевых облигаций каждого транша или порядок его определения, а также  идентификационный пор</w:t>
      </w:r>
      <w:r>
        <w:rPr>
          <w:highlight w:val="white"/>
        </w:rPr>
        <w:t xml:space="preserve">ядковый номер каждого транша Биржевых облигаций будут  установлены  в соответствующем Документе, содержащим условия размещения ценных бумаг. Одновременное размещение Биржевых облигаций разных траншей одного выпуска (дополнительного выпуска) не допускается.</w:t>
      </w:r>
      <w:r>
        <w:rPr>
          <w:highlight w:val="white"/>
        </w:rPr>
      </w:r>
    </w:p>
    <w:p>
      <w:pPr>
        <w:widowControl w:val="off"/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Иные условия размещения Биржевых облигаций Программой и Проспектом не определяются.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8.2. Срок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284" w:leader="none"/>
        </w:tabs>
        <w:ind w:right="27" w:firstLine="709"/>
        <w:jc w:val="both"/>
        <w:rPr>
          <w:highlight w:val="white"/>
        </w:rPr>
      </w:pPr>
      <w:r>
        <w:rPr>
          <w:highlight w:val="white"/>
        </w:rPr>
        <w:t xml:space="preserve">Срок (порядок определения срока) размещения Биржевых облигаций Программой биржевых облигаций и Проспектом не определяется.</w:t>
      </w:r>
      <w:r>
        <w:rPr>
          <w:highlight w:val="white"/>
        </w:rPr>
      </w:r>
    </w:p>
    <w:p>
      <w:pPr>
        <w:pStyle w:val="120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Срок (порядок определения срока) размещения Биржевых облигаций отдельного выпуска, размещаемого в рамках Программы биржевых облигаций, будет указан в 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 Порядок приобретения ценных бумаг при их размещении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8.3.1. Способ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Способ размещения Биржевых облигаций, которые могут быть размещены в рамках Программы биржевых облигаций - открытая подписка.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8.3.2. Порядок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Порядок размещения Биржевых облигаций Программой биржевых облигаций и Проспектом не определяется.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Размещение Биржевых облигаций будет осуществляться на организованных торгах ПАО Московская Биржа.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Сделки при размещении Биржевых облигаций заключаются в ПАО Московская Би</w:t>
      </w:r>
      <w:r>
        <w:rPr>
          <w:highlight w:val="white"/>
        </w:rPr>
        <w:t xml:space="preserve">ржа путём удовлетворения заявок на покупку Биржевых облигаций, поданных с использованием системы торгов ПАО Московская Биржа в соответствии с правилами проведения торгов, зарегистрированными в установленном порядке и действующими на дату проведения торгов.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Сведения о лице, организующем проведение торгов (ранее и далее – «Организатор торговли», «Биржа»):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Полное фирменное наименование: </w:t>
      </w:r>
      <w:r>
        <w:rPr>
          <w:i/>
          <w:highlight w:val="white"/>
        </w:rPr>
        <w:t xml:space="preserve">Публичное акционерное общество «Московская Биржа ММВБ-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i/>
          <w:highlight w:val="white"/>
        </w:rPr>
        <w:t xml:space="preserve">РТС»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Сокращенное фирменное наименование: </w:t>
      </w:r>
      <w:r>
        <w:rPr>
          <w:i/>
          <w:highlight w:val="white"/>
        </w:rPr>
        <w:t xml:space="preserve">ПАО Московская Биржа</w:t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Место нахождения: </w:t>
      </w:r>
      <w:r>
        <w:rPr>
          <w:i/>
          <w:highlight w:val="white"/>
        </w:rPr>
        <w:t xml:space="preserve">Российская Федерация, г. Москва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Почтовый адрес: </w:t>
      </w:r>
      <w:r>
        <w:rPr>
          <w:i/>
          <w:highlight w:val="white"/>
        </w:rPr>
        <w:t xml:space="preserve">Российская Федерация, 125009, г. Москва, Большой Кисловский переулок, дом 13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Номер лицензии биржи: </w:t>
      </w:r>
      <w:r>
        <w:rPr>
          <w:i/>
          <w:highlight w:val="white"/>
        </w:rPr>
        <w:t xml:space="preserve">077-001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Дата выдачи: </w:t>
      </w:r>
      <w:r>
        <w:rPr>
          <w:i/>
          <w:highlight w:val="white"/>
        </w:rPr>
        <w:t xml:space="preserve">29.08.2013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Срок действия: </w:t>
      </w:r>
      <w:r>
        <w:rPr>
          <w:i/>
          <w:highlight w:val="white"/>
        </w:rPr>
        <w:t xml:space="preserve">бессрочная</w:t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Лицензирующий орган: </w:t>
      </w:r>
      <w:r>
        <w:rPr>
          <w:i/>
          <w:highlight w:val="white"/>
        </w:rPr>
        <w:t xml:space="preserve">ФСФР России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реорганизации ПАО Московская Биржа размещение Биржевых облигаций будет осуществляться на организованных торгах организатора торговли, являющегося его правопреемн</w:t>
      </w:r>
      <w:r>
        <w:rPr>
          <w:highlight w:val="white"/>
        </w:rPr>
        <w:t xml:space="preserve">иком, в соответствии с законодательством Российской Федерации и внутренними документами, регулирующими деятельность такого организатора торговли. В тех случаях, когда в Программе биржевых облигаций и/или в Решении о выпуске ценных бумаг и/или в Документе, </w:t>
      </w:r>
      <w:r>
        <w:rPr>
          <w:highlight w:val="white"/>
        </w:rPr>
        <w:t xml:space="preserve">содержащем условия</w:t>
      </w:r>
      <w:r>
        <w:rPr>
          <w:highlight w:val="white"/>
        </w:rPr>
        <w:t xml:space="preserve"> размещения ценных бумаг, упоминается ПАО Московская Биржа, «Организатор </w:t>
      </w:r>
      <w:r>
        <w:rPr>
          <w:highlight w:val="white"/>
        </w:rPr>
        <w:t xml:space="preserve">торговли» или</w:t>
      </w:r>
      <w:r>
        <w:rPr>
          <w:highlight w:val="white"/>
        </w:rPr>
        <w:t xml:space="preserve"> «Биржа» подразумевается </w:t>
      </w:r>
      <w:r>
        <w:rPr>
          <w:highlight w:val="white"/>
        </w:rPr>
        <w:t xml:space="preserve">                      </w:t>
      </w:r>
      <w:r>
        <w:rPr>
          <w:highlight w:val="white"/>
        </w:rPr>
        <w:t xml:space="preserve">ПАО Московская Биржа или его правопреемник.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может принять решение о размещении Биржевых облигаций само</w:t>
      </w:r>
      <w:r>
        <w:rPr>
          <w:highlight w:val="white"/>
        </w:rPr>
        <w:t xml:space="preserve">стоятельно без привлечения профессионального участника рынка ценных бумаг или с привлечением профессионального участника рынка ценных бумаг, оказывающего Эмитенту услуги по размещению Биржевых облигаций от своего имени, но за счет и по поручению Эмитента (</w:t>
      </w:r>
      <w:r>
        <w:rPr>
          <w:highlight w:val="white"/>
        </w:rPr>
        <w:t xml:space="preserve">далее –</w:t>
      </w:r>
      <w:r>
        <w:rPr>
          <w:highlight w:val="white"/>
        </w:rPr>
        <w:t xml:space="preserve"> «Андеррайтер»).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намерения привлечь Андеррайтера, Андеррайтер либо перечень возможных Андеррайтеров отдельного выпуска, а также сведения об основных функциях, правах и </w:t>
      </w:r>
      <w:r>
        <w:rPr>
          <w:highlight w:val="white"/>
        </w:rPr>
        <w:t xml:space="preserve">обязанностях Андеррайтера,</w:t>
      </w:r>
      <w:r>
        <w:rPr>
          <w:highlight w:val="white"/>
        </w:rPr>
        <w:t xml:space="preserve"> и размере его вознаграждения, либо сведения о том, что Эмитент самостоятельно размещает Биржевые </w:t>
      </w:r>
      <w:r>
        <w:rPr>
          <w:highlight w:val="white"/>
        </w:rPr>
        <w:t xml:space="preserve">облигации,</w:t>
      </w:r>
      <w:r>
        <w:rPr>
          <w:highlight w:val="white"/>
        </w:rPr>
        <w:t xml:space="preserve"> устанавливаются в соответствующем Документе, содержащем условия размещения ценных бумаг.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информирует Биржу о лице, в адрес которого Участники торгов на Бирже должны направлять заявки на приобретение Биржевых облигаций в ходе размещения на Бирже среди потенциальных инвесторов, не позднее чем за 1 (Один) день до даты начала размещения. 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если в Документе, содержащем условия размещения ценных бумаг, указан перечень возможных Андеррайтеров или в случае если решение о назначении Андеррайтера принимается до составления Документа, содержащего условия размещения ценных </w:t>
      </w:r>
      <w:r>
        <w:rPr>
          <w:highlight w:val="white"/>
        </w:rPr>
        <w:t xml:space="preserve">бумаг, информация</w:t>
      </w:r>
      <w:r>
        <w:rPr>
          <w:highlight w:val="white"/>
        </w:rPr>
        <w:t xml:space="preserve"> о назначении Андеррайтера раскрывается в соответствии с п. 12.1 Программы и п. </w:t>
      </w:r>
      <w:r>
        <w:rPr>
          <w:highlight w:val="white"/>
        </w:rPr>
        <w:t xml:space="preserve">8.4.</w:t>
      </w:r>
      <w:r>
        <w:rPr>
          <w:highlight w:val="white"/>
        </w:rPr>
        <w:t xml:space="preserve"> Проспекта.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</w:t>
      </w:r>
      <w:r>
        <w:rPr>
          <w:highlight w:val="white"/>
        </w:rPr>
        <w:t xml:space="preserve">привлечении Андеррайтера</w:t>
      </w:r>
      <w:r>
        <w:rPr>
          <w:highlight w:val="white"/>
        </w:rPr>
        <w:t xml:space="preserve"> раскрывается Эмитентом в порядке, предусмотренном п.12.1 Программы биржевых облигаций и п. </w:t>
      </w:r>
      <w:r>
        <w:rPr>
          <w:highlight w:val="white"/>
        </w:rPr>
        <w:t xml:space="preserve">8.4.</w:t>
      </w:r>
      <w:r>
        <w:rPr>
          <w:highlight w:val="white"/>
        </w:rPr>
        <w:t xml:space="preserve"> Проспекта.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 может принять решение о привлечении к размещению Биржевых облигаций профессионального участника рынка ценных бумаг, оказывающего Эмитенту услуги по организации размещения (</w:t>
      </w:r>
      <w:r>
        <w:rPr>
          <w:highlight w:val="white"/>
        </w:rPr>
        <w:t xml:space="preserve">далее –</w:t>
      </w:r>
      <w:r>
        <w:rPr>
          <w:highlight w:val="white"/>
        </w:rPr>
        <w:t xml:space="preserve"> «Организатор»).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случае намерения привлечь Организатора, Организатор либо перечень возможных </w:t>
      </w:r>
      <w:r>
        <w:rPr>
          <w:highlight w:val="white"/>
        </w:rPr>
        <w:t xml:space="preserve">Организаторов отдельного</w:t>
      </w:r>
      <w:r>
        <w:rPr>
          <w:highlight w:val="white"/>
        </w:rPr>
        <w:t xml:space="preserve"> выпуска, </w:t>
      </w:r>
      <w:r>
        <w:rPr>
          <w:highlight w:val="white"/>
        </w:rPr>
        <w:t xml:space="preserve">устанавливается в</w:t>
      </w:r>
      <w:r>
        <w:rPr>
          <w:highlight w:val="white"/>
        </w:rPr>
        <w:t xml:space="preserve"> Документе, содержащем условия </w:t>
      </w:r>
      <w:r>
        <w:rPr>
          <w:highlight w:val="white"/>
        </w:rPr>
        <w:t xml:space="preserve">размещения ценных</w:t>
      </w:r>
      <w:r>
        <w:rPr>
          <w:highlight w:val="white"/>
        </w:rPr>
        <w:t xml:space="preserve"> бумаг.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spacing w:after="240"/>
        <w:ind w:firstLine="709"/>
        <w:contextualSpacing/>
        <w:jc w:val="both"/>
        <w:rPr>
          <w:highlight w:val="white"/>
        </w:rPr>
      </w:pPr>
      <w:r>
        <w:rPr>
          <w:highlight w:val="white"/>
        </w:rPr>
        <w:t xml:space="preserve">В случае если в Документе, содержащем условия размещения ценных бумаг, указан перечень возможных Организаторов или в случае если решение о назначении Организатора принимается до составления Документа, содержащего условия размещения ценных </w:t>
      </w:r>
      <w:r>
        <w:rPr>
          <w:highlight w:val="white"/>
        </w:rPr>
        <w:t xml:space="preserve">бумаг, информация</w:t>
      </w:r>
      <w:r>
        <w:rPr>
          <w:highlight w:val="white"/>
        </w:rPr>
        <w:t xml:space="preserve"> о назначении Организатора раскрывается в соответствии с п. 12.1 Программы и п. </w:t>
      </w:r>
      <w:r>
        <w:rPr>
          <w:highlight w:val="white"/>
        </w:rPr>
        <w:t xml:space="preserve">8.4.</w:t>
      </w:r>
      <w:r>
        <w:rPr>
          <w:highlight w:val="white"/>
        </w:rPr>
        <w:t xml:space="preserve"> Проспекта.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</w:t>
      </w:r>
      <w:r>
        <w:rPr>
          <w:highlight w:val="white"/>
        </w:rPr>
        <w:t xml:space="preserve">привлечении Организатора раскрывается</w:t>
      </w:r>
      <w:r>
        <w:rPr>
          <w:highlight w:val="white"/>
        </w:rPr>
        <w:t xml:space="preserve"> Эмитентом в порядке, предусмотренном п.12.1 Программы биржевых облигаций и п. </w:t>
      </w:r>
      <w:r>
        <w:rPr>
          <w:highlight w:val="white"/>
        </w:rPr>
        <w:t xml:space="preserve">8.4.</w:t>
      </w:r>
      <w:r>
        <w:rPr>
          <w:highlight w:val="white"/>
        </w:rPr>
        <w:t xml:space="preserve"> Проспекта.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Решение об одобрении</w:t>
      </w:r>
      <w:r>
        <w:rPr>
          <w:highlight w:val="white"/>
        </w:rPr>
        <w:t xml:space="preserve"> заключаемой в ходе размещения крупной сделки купли-продажи Биржевых облигаций должно быть принято в порядке, установленном федеральными законами. 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Приобретение Биржевых облигаций выпуска Эмитента в ходе их размещения не может быть осуществлено за счет Эмитента.</w:t>
      </w:r>
      <w:r>
        <w:rPr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Иные условия и порядок размещения Биржевых облигаций условиями Программы Биржевых облигаций не определяется.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widowControl w:val="off"/>
        <w:ind w:firstLine="709"/>
        <w:jc w:val="both"/>
        <w:rPr>
          <w:bCs/>
          <w:iCs/>
          <w:highlight w:val="white"/>
        </w:rPr>
      </w:pPr>
      <w:r>
        <w:rPr>
          <w:highlight w:val="white"/>
        </w:rPr>
        <w:t xml:space="preserve">Порядок </w:t>
      </w:r>
      <w:r>
        <w:rPr>
          <w:highlight w:val="white"/>
        </w:rPr>
        <w:t xml:space="preserve">размещения Биржевых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облигаций будет</w:t>
      </w:r>
      <w:r>
        <w:rPr>
          <w:highlight w:val="white"/>
        </w:rPr>
        <w:t xml:space="preserve"> указан в соответствующем Документе, содержащем условия размещения ценных бумаг.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8.3.3. Цена (цены) или порядок определения цены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  <w:t xml:space="preserve">Цена размещения Биржевых облигаций или порядок ее определения Программой биржевых облигаций и Проспектом не определяются.</w:t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highlight w:val="white"/>
        </w:rPr>
        <w:t xml:space="preserve">Цена (цены) или порядок определения цены размещения Биржевых облиг</w:t>
      </w:r>
      <w:r>
        <w:rPr>
          <w:highlight w:val="white"/>
        </w:rPr>
        <w:t xml:space="preserve">аций отдельного выпуска, размещаемого в рамках Программы биржевых облигаций, либо информация о том, что такие цена или порядок ее определения будут установлены Эмитентом не позднее даты начала размещения Биржевых облигаций, будет указана в соответствующем </w:t>
      </w:r>
      <w:r>
        <w:rPr>
          <w:highlight w:val="white"/>
        </w:rPr>
        <w:t xml:space="preserve">Документе</w:t>
      </w:r>
      <w:r>
        <w:rPr>
          <w:highlight w:val="white"/>
        </w:rPr>
        <w:t xml:space="preserve">, содержащем условия размещения ценных бумаг.</w:t>
      </w:r>
      <w:r>
        <w:rPr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8.3.4. Порядок осуществления преимущественного права приобретения размещаемых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highlight w:val="white"/>
        </w:rPr>
        <w:t xml:space="preserve">Информация будет указана в </w:t>
      </w:r>
      <w:r>
        <w:rPr>
          <w:highlight w:val="white"/>
        </w:rPr>
        <w:t xml:space="preserve">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8.3.5. Условия, порядок и срок оплаты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iCs/>
          <w:highlight w:val="white"/>
        </w:rPr>
        <w:t xml:space="preserve">При приобретении Биржевые облигации оплачиваются денежными средствами в безналичном порядке.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Иные условия, </w:t>
      </w:r>
      <w:r>
        <w:rPr>
          <w:highlight w:val="white"/>
        </w:rPr>
        <w:t xml:space="preserve">порядок и</w:t>
      </w:r>
      <w:r>
        <w:rPr>
          <w:highlight w:val="white"/>
        </w:rPr>
        <w:t xml:space="preserve"> срок оплаты Биржевых облигаций при их размещении Программой биржевых облигаций и Проспектом не определяются.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highlight w:val="white"/>
        </w:rPr>
      </w:pPr>
      <w:r>
        <w:rPr>
          <w:highlight w:val="white"/>
        </w:rPr>
        <w:t xml:space="preserve">Условия, порядок, срок оплаты будут указаны в соответствующем Документе, содержащем условия размещения ценных бумаг.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8.4. Порядок раскрытия эмитентом информации о выпуске (дополнительном выпуске)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tabs>
          <w:tab w:val="left" w:pos="567" w:leader="none"/>
        </w:tabs>
        <w:ind w:firstLine="709"/>
        <w:jc w:val="both"/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Эмитент раскрывает информацию </w:t>
      </w:r>
      <w:r>
        <w:rPr>
          <w:bCs/>
          <w:iCs/>
          <w:highlight w:val="white"/>
        </w:rPr>
        <w:t xml:space="preserve">на каждом этапе эмиссии ценных бумаг</w:t>
      </w:r>
      <w:r>
        <w:rPr>
          <w:bCs/>
          <w:iCs/>
          <w:highlight w:val="white"/>
        </w:rPr>
        <w:t xml:space="preserve"> в порядке, предусмотренном Федеральным </w:t>
      </w:r>
      <w:hyperlink r:id="rId52" w:tooltip="consultantplus://offline/ref=EF065FAF0D82BBB3B2BA34094DBB898F0B4EC2A9DC2F3F203792AA4311D5390555967DE4BDE43EEE86D209644CHET6L" w:history="1">
        <w:r>
          <w:rPr>
            <w:bCs/>
            <w:iCs/>
            <w:highlight w:val="white"/>
          </w:rPr>
          <w:t xml:space="preserve">законом</w:t>
        </w:r>
      </w:hyperlink>
      <w:r>
        <w:rPr>
          <w:bCs/>
          <w:iCs/>
          <w:highlight w:val="white"/>
        </w:rPr>
        <w:t xml:space="preserve"> «О рынке ценных бумаг»</w:t>
      </w:r>
      <w:r>
        <w:rPr>
          <w:bCs/>
          <w:iCs/>
          <w:highlight w:val="white"/>
        </w:rPr>
        <w:t xml:space="preserve">,</w:t>
      </w:r>
      <w:r>
        <w:rPr>
          <w:bCs/>
          <w:iCs/>
          <w:highlight w:val="white"/>
        </w:rPr>
        <w:t xml:space="preserve"> </w:t>
      </w:r>
      <w:r>
        <w:rPr>
          <w:bCs/>
          <w:iCs/>
          <w:highlight w:val="white"/>
        </w:rPr>
        <w:t xml:space="preserve">а также правилами биржи, устанавливающими порядок допуска биржевых облигаций к торгам в порядке и сроки, предусмотренные </w:t>
      </w:r>
      <w:r>
        <w:rPr>
          <w:iCs/>
          <w:highlight w:val="white"/>
          <w:lang w:eastAsia="en-GB"/>
        </w:rPr>
        <w:t xml:space="preserve">Программой биржевых облигаций</w:t>
      </w:r>
      <w:r>
        <w:rPr>
          <w:bCs/>
          <w:iCs/>
          <w:highlight w:val="white"/>
        </w:rPr>
        <w:t xml:space="preserve">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widowControl w:val="off"/>
        <w:ind w:firstLine="709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pStyle w:val="1197"/>
        <w:ind w:firstLine="709"/>
        <w:jc w:val="both"/>
        <w:rPr>
          <w:rFonts w:ascii="Times New Roman" w:hAnsi="Times New Roman"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  <w:t xml:space="preserve">Для раскрытия информации на странице в информационно-телекоммуникационной сети Интернет (ранее и далее – «сеть Интернет») Эмитент использует страницу в сети Интернет, предоставляемую одним из распространителей информации на рынке ценных бумаг, по адресу: </w:t>
      </w:r>
      <w:hyperlink r:id="rId53" w:tooltip="http://www.e-disclosure.ru/portal/company.aspx?id=3207" w:history="1">
        <w:r>
          <w:rPr>
            <w:rFonts w:ascii="Times New Roman" w:hAnsi="Times New Roman" w:cs="Times New Roman"/>
            <w:iCs/>
            <w:sz w:val="24"/>
            <w:szCs w:val="24"/>
            <w:highlight w:val="white"/>
          </w:rPr>
          <w:t xml:space="preserve">http://www.e-disclosure.ru/portal/company.aspx?id=3207</w:t>
        </w:r>
      </w:hyperlink>
      <w:r>
        <w:rPr>
          <w:rFonts w:ascii="Times New Roman" w:hAnsi="Times New Roman"/>
          <w:iCs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iCs/>
          <w:sz w:val="24"/>
          <w:szCs w:val="24"/>
          <w:highlight w:val="white"/>
        </w:rPr>
      </w:r>
      <w:r>
        <w:rPr>
          <w:rFonts w:ascii="Times New Roman" w:hAnsi="Times New Roman"/>
          <w:iCs/>
          <w:sz w:val="24"/>
          <w:szCs w:val="24"/>
          <w:highlight w:val="white"/>
        </w:rPr>
      </w:r>
    </w:p>
    <w:p>
      <w:pPr>
        <w:widowControl w:val="off"/>
        <w:ind w:firstLine="709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Эмитент</w:t>
      </w:r>
      <w:r>
        <w:rPr>
          <w:highlight w:val="white"/>
        </w:rPr>
        <w:t xml:space="preserve"> обязан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раскрывать</w:t>
      </w:r>
      <w:r>
        <w:rPr>
          <w:highlight w:val="white"/>
        </w:rPr>
        <w:t xml:space="preserve"> информаци</w:t>
      </w:r>
      <w:r>
        <w:rPr>
          <w:highlight w:val="white"/>
        </w:rPr>
        <w:t xml:space="preserve">ю</w:t>
      </w:r>
      <w:r>
        <w:rPr>
          <w:highlight w:val="white"/>
        </w:rPr>
        <w:t xml:space="preserve"> в форме отчет</w:t>
      </w:r>
      <w:r>
        <w:rPr>
          <w:highlight w:val="white"/>
        </w:rPr>
        <w:t xml:space="preserve">а</w:t>
      </w:r>
      <w:r>
        <w:rPr>
          <w:highlight w:val="white"/>
        </w:rPr>
        <w:t xml:space="preserve"> эмитента и сообщений о существенных фактах.</w:t>
      </w:r>
      <w:r>
        <w:rPr>
          <w:highlight w:val="white"/>
        </w:rPr>
      </w:r>
    </w:p>
    <w:p>
      <w:pPr>
        <w:ind w:firstLine="540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8.5.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pStyle w:val="1197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bCs/>
          <w:highlight w:val="white"/>
        </w:rPr>
        <w:t xml:space="preserve">Информация будет указана в </w:t>
      </w:r>
      <w:r>
        <w:rPr>
          <w:highlight w:val="white"/>
        </w:rPr>
        <w:t xml:space="preserve">соответствующем Документе, содержащем условия размещения ценных бумаг.</w:t>
      </w:r>
      <w:r>
        <w:rPr>
          <w:highlight w:val="white"/>
        </w:rPr>
      </w:r>
    </w:p>
    <w:p>
      <w:pPr>
        <w:pStyle w:val="1197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Cs/>
          <w:sz w:val="24"/>
          <w:szCs w:val="24"/>
          <w:highlight w:val="white"/>
        </w:rPr>
      </w:r>
    </w:p>
    <w:p>
      <w:pPr>
        <w:ind w:firstLine="709"/>
        <w:jc w:val="both"/>
        <w:outlineLvl w:val="2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 xml:space="preserve">8.6. Иные сведения</w:t>
      </w:r>
      <w:r>
        <w:rPr>
          <w:b/>
          <w:bCs/>
          <w:iCs/>
          <w:highlight w:val="white"/>
        </w:rPr>
      </w:r>
      <w:r>
        <w:rPr>
          <w:b/>
          <w:bCs/>
          <w:iCs/>
          <w:highlight w:val="whit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  <w:t xml:space="preserve">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shd w:val="nil" w:color="auto"/>
        <w:outlineLvl w:val="2"/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jc w:val="both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  <w:t xml:space="preserve">Раздел 9. Сведения о лице, предоставляющем обеспечение по облигациям эмитента, а также об условиях такого обеспечения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jc w:val="both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jc w:val="both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highlight w:val="white"/>
          <w14:ligatures w14:val="none"/>
        </w:rPr>
        <w:t xml:space="preserve">Сведения, предусмотренные настоящим разделом не указываются. Биржевые облигации, размещаемые в рамках Программы облигаций не являются облигациями с обеспечением.</w:t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ind w:firstLine="709"/>
        <w:jc w:val="both"/>
        <w:outlineLvl w:val="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/>
  <w:font w:name="Matura MT Script Capitals">
    <w:panose1 w:val="020207030605050903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409020205020404"/>
  </w:font>
  <w:font w:name="Segoe UI">
    <w:panose1 w:val="020B0502040504020204"/>
  </w:font>
  <w:font w:name="TimesNewRomanPS-BoldItalicMT">
    <w:panose1 w:val="02020603050405020304"/>
  </w:font>
  <w:font w:name="Garamond">
    <w:panose1 w:val="02020603050405020304"/>
  </w:font>
  <w:font w:name="TimesNewRomanPS-BoldMT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79806704"/>
      <w:docPartObj>
        <w:docPartGallery w:val="Page Numbers (Bottom of Page)"/>
        <w:docPartUnique w:val="true"/>
      </w:docPartObj>
      <w:rPr/>
    </w:sdtPr>
    <w:sdtContent>
      <w:p>
        <w:pPr>
          <w:pStyle w:val="12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</w:p>
    </w:sdtContent>
  </w:sdt>
  <w:p>
    <w:pPr>
      <w:pStyle w:val="12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262"/>
      </w:pPr>
      <w:r>
        <w:rPr>
          <w:rStyle w:val="12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Показатели баланса Банка рассчитаны в соответствии с группировкой счетов, используемой Банком России для расчета аналитических показателей  по рынку в целом, и могут отличаться от показателей, приведенных в других разделах документа.</w:t>
      </w:r>
    </w:p>
    <w:p>
      <w:pPr>
        <w:pStyle w:val="126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См. «</w:t>
      </w:r>
      <w:r>
        <w:rPr>
          <w:rFonts w:ascii="Times New Roman" w:hAnsi="Times New Roman" w:eastAsia="Times New Roman" w:cs="Times New Roman"/>
          <w:highlight w:val="white"/>
        </w:rPr>
        <w:t xml:space="preserve">Статистические показатели банковского сектора Российской Федерации». (https://cbr.ru/Collection/Collection/File/55170/obs_268.xlsx</w:t>
      </w:r>
      <w:r>
        <w:rPr>
          <w:rFonts w:ascii="Times New Roman" w:hAnsi="Times New Roman" w:eastAsia="Times New Roman" w:cs="Times New Roman"/>
        </w:rPr>
        <w:t xml:space="preserve">, вкладка Алгоритмы (табл.4)).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262"/>
        <w:jc w:val="both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 поправкой на дивиденды, выплаченный в рамках одной банковской группы и без учета Банка непрофильных активов.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262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Здесь и далее в этом разделе приведены показатели Банка России с устранением валютной переоценки и с корректировкой на отзыв лицензий.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262"/>
      </w:pPr>
      <w:r>
        <w:rPr>
          <w:rStyle w:val="126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Собственная оценка Банка</w:t>
      </w:r>
      <w:r>
        <w:t xml:space="preserve">.</w:t>
      </w:r>
    </w:p>
  </w:footnote>
  <w:footnote w:id="6">
    <w:p>
      <w:pPr>
        <w:pStyle w:val="1262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Без учета банка непрофильных активов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262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Здесь и далее показатели прироста приведены с устранением валютной переоценки, данные Банка России.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262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Показатель скорректирован Банком России на внутригрупповое перераспределение доходов.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262"/>
        <w:jc w:val="both"/>
        <w:rPr>
          <w:rFonts w:ascii="Times New Roman" w:hAnsi="Times New Roman" w:cs="Times New Roman"/>
          <w:highlight w:val="white"/>
        </w:rPr>
      </w:pPr>
      <w:r>
        <w:rPr>
          <w:rStyle w:val="1264"/>
          <w:rFonts w:ascii="Times New Roman" w:hAnsi="Times New Roman" w:cs="Times New Roman"/>
          <w:highlight w:val="white"/>
        </w:rPr>
        <w:footnoteRef/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С поправкой на операции секьюритизации и продажу </w:t>
      </w:r>
      <w:r>
        <w:rPr>
          <w:rFonts w:ascii="Times New Roman" w:hAnsi="Times New Roman" w:cs="Times New Roman"/>
          <w:highlight w:val="white"/>
        </w:rPr>
        <w:t xml:space="preserve">потребительских </w:t>
      </w:r>
      <w:r>
        <w:rPr>
          <w:rFonts w:ascii="Times New Roman" w:hAnsi="Times New Roman" w:cs="Times New Roman"/>
          <w:highlight w:val="white"/>
        </w:rPr>
        <w:t xml:space="preserve">кредитов специализированным финансовым обществам (с учетом погашения</w:t>
      </w:r>
      <w:r>
        <w:rPr>
          <w:rFonts w:ascii="Times New Roman" w:hAnsi="Times New Roman" w:cs="Times New Roman"/>
          <w:highlight w:val="white"/>
        </w:rPr>
        <w:t xml:space="preserve">: в части ипотеки – оценка Банка России, в части потре</w:t>
      </w:r>
      <w:r>
        <w:rPr>
          <w:rFonts w:ascii="Times New Roman" w:hAnsi="Times New Roman" w:cs="Times New Roman"/>
          <w:highlight w:val="white"/>
        </w:rPr>
        <w:t xml:space="preserve">бительских кредитов – собственная оценка Банка</w:t>
      </w:r>
      <w:r>
        <w:rPr>
          <w:rFonts w:ascii="Times New Roman" w:hAnsi="Times New Roman" w:cs="Times New Roman"/>
          <w:highlight w:val="white"/>
        </w:rPr>
        <w:t xml:space="preserve">) портфель снизился на 1%.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</w:footnote>
  <w:footnote w:id="10">
    <w:p>
      <w:pPr>
        <w:pStyle w:val="1262"/>
        <w:jc w:val="both"/>
        <w:rPr>
          <w:rFonts w:ascii="Times New Roman" w:hAnsi="Times New Roman" w:cs="Times New Roman"/>
        </w:rPr>
      </w:pPr>
      <w:r>
        <w:rPr>
          <w:rStyle w:val="12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Показатели баланса Банка рассчитаны в соответствии с группировкой счетов, используемой Банком России для рас</w:t>
      </w:r>
      <w:r>
        <w:rPr>
          <w:highlight w:val="white"/>
        </w:rPr>
        <w:t xml:space="preserve">чета аналитических показателей </w:t>
      </w:r>
      <w:r>
        <w:rPr>
          <w:rFonts w:ascii="Times New Roman" w:hAnsi="Times New Roman" w:eastAsia="Times New Roman" w:cs="Times New Roman"/>
          <w:highlight w:val="white"/>
        </w:rPr>
        <w:t xml:space="preserve">по рынку в целом, и могут немного отличаться от показателей, приведенных в других разделах документа</w:t>
      </w:r>
      <w:r>
        <w:rPr>
          <w:rFonts w:ascii="Times New Roman" w:hAnsi="Times New Roman" w:eastAsia="Times New Roman" w:cs="Times New Roman"/>
        </w:rPr>
        <w:t xml:space="preserve">. См. «</w:t>
      </w:r>
      <w:r>
        <w:rPr>
          <w:rFonts w:ascii="Times New Roman" w:hAnsi="Times New Roman" w:eastAsia="Times New Roman" w:cs="Times New Roman"/>
          <w:highlight w:val="white"/>
        </w:rPr>
        <w:t xml:space="preserve">Статистические показатели банковского сектора Российской Федерации». (https://cbr.ru/Collection/Collection/File/55170/obs_268.xlsx</w:t>
      </w:r>
      <w:r>
        <w:rPr>
          <w:rFonts w:ascii="Times New Roman" w:hAnsi="Times New Roman" w:eastAsia="Times New Roman" w:cs="Times New Roman"/>
        </w:rPr>
        <w:t xml:space="preserve">, вкладка Алгоритмы (табл.4)).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262"/>
        <w:rPr>
          <w:rFonts w:ascii="Times New Roman" w:hAnsi="Times New Roman" w:cs="Times New Roman"/>
          <w:szCs w:val="18"/>
        </w:rPr>
      </w:pPr>
      <w:r>
        <w:rPr>
          <w:rStyle w:val="1264"/>
          <w:rFonts w:ascii="Times New Roman" w:hAnsi="Times New Roman" w:cs="Times New Roman"/>
          <w:szCs w:val="18"/>
        </w:rPr>
        <w:footnoteRef/>
      </w:r>
      <w:r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Протокол Наблюдательного совета Банка от 02.03.2023 № 2.</w:t>
      </w:r>
      <w:r>
        <w:rPr>
          <w:rFonts w:ascii="Times New Roman" w:hAnsi="Times New Roman" w:cs="Times New Roman"/>
          <w:szCs w:val="18"/>
        </w:rPr>
      </w:r>
      <w:r>
        <w:rPr>
          <w:rFonts w:ascii="Times New Roman" w:hAnsi="Times New Roman" w:cs="Times New Roman"/>
          <w:szCs w:val="18"/>
        </w:rPr>
      </w:r>
    </w:p>
  </w:footnote>
  <w:footnote w:id="12">
    <w:p>
      <w:pPr>
        <w:pStyle w:val="1262"/>
        <w:rPr>
          <w:rFonts w:ascii="Times New Roman" w:hAnsi="Times New Roman" w:cs="Times New Roman"/>
        </w:rPr>
      </w:pPr>
      <w:r>
        <w:rPr>
          <w:rStyle w:val="126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Протокол Наблюдател</w:t>
      </w:r>
      <w:r>
        <w:rPr>
          <w:rFonts w:ascii="Times New Roman" w:hAnsi="Times New Roman" w:cs="Times New Roman"/>
        </w:rPr>
        <w:t xml:space="preserve">ьного совета Банка от 25</w:t>
      </w:r>
      <w:r>
        <w:rPr>
          <w:rFonts w:ascii="Times New Roman" w:hAnsi="Times New Roman" w:cs="Times New Roman"/>
        </w:rPr>
        <w:t xml:space="preserve">.09.2024</w:t>
      </w:r>
      <w:r>
        <w:rPr>
          <w:rFonts w:ascii="Times New Roman" w:hAnsi="Times New Roman" w:cs="Times New Roman"/>
        </w:rPr>
        <w:t xml:space="preserve"> № 16.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262"/>
      </w:pPr>
      <w:r>
        <w:rPr>
          <w:rStyle w:val="126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Протокол Наблюдател</w:t>
      </w:r>
      <w:r>
        <w:rPr>
          <w:rFonts w:ascii="Times New Roman" w:hAnsi="Times New Roman" w:cs="Times New Roman"/>
        </w:rPr>
        <w:t xml:space="preserve">ьного совета Банка от 25.09.2024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16.</w:t>
      </w:r>
    </w:p>
  </w:footnote>
  <w:footnote w:id="14">
    <w:p>
      <w:pPr>
        <w:pStyle w:val="1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 </w:t>
      </w: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11.04.2022 - полное наименование</w:t>
      </w:r>
      <w:r>
        <w:rPr>
          <w:rFonts w:ascii="Times New Roman" w:hAnsi="Times New Roman" w:cs="Times New Roman"/>
        </w:rPr>
        <w:t xml:space="preserve"> аудитора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Общество с ограниченной о</w:t>
      </w:r>
      <w:r>
        <w:rPr>
          <w:rFonts w:ascii="Times New Roman" w:hAnsi="Times New Roman" w:cs="Times New Roman"/>
        </w:rPr>
        <w:t xml:space="preserve">тветственностью «Эрнст энд Янг»</w:t>
      </w:r>
      <w:r>
        <w:rPr>
          <w:rFonts w:ascii="Times New Roman" w:hAnsi="Times New Roman" w:cs="Times New Roman"/>
        </w:rPr>
        <w:t xml:space="preserve">, сокращенное наименование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«Эрнст энд Янг»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5">
    <w:p>
      <w:pPr>
        <w:pStyle w:val="1262"/>
        <w:jc w:val="both"/>
        <w:rPr>
          <w:rFonts w:ascii="Times New Roman" w:hAnsi="Times New Roman" w:cs="Times New Roman"/>
        </w:rPr>
      </w:pPr>
      <w:r>
        <w:rPr>
          <w:rStyle w:val="1264"/>
        </w:rPr>
        <w:footnoteRef/>
      </w:r>
      <w:r>
        <w:t xml:space="preserve"> В</w:t>
      </w:r>
      <w:r>
        <w:rPr>
          <w:rFonts w:ascii="Times New Roman" w:hAnsi="Times New Roman" w:cs="Times New Roman"/>
        </w:rPr>
        <w:t xml:space="preserve">о исполнение требований Приказа</w:t>
      </w:r>
      <w:r>
        <w:rPr>
          <w:rFonts w:ascii="Times New Roman" w:hAnsi="Times New Roman" w:cs="Times New Roman"/>
        </w:rPr>
        <w:t xml:space="preserve"> Федерального агентства по управлению государственным имуществом (далее – Росимущество) от 22.02.2011 № 48 «Об организации работы структурных подразделений Федерального агентства по управлению государственным имуществом и его территориальных органов по обе</w:t>
      </w:r>
      <w:r>
        <w:rPr>
          <w:rFonts w:ascii="Times New Roman" w:hAnsi="Times New Roman" w:cs="Times New Roman"/>
        </w:rPr>
        <w:t xml:space="preserve">спечению проведения обязательного ежегодного аудита бухгалтерской (финансовой) отчетности федеральных государственных унитарных предприятий и акционерных обществ, в уставных капиталах которых доля федеральной собственности составляет не менее 25 процентов»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554" w:leader="none"/>
        </w:tabs>
        <w:ind w:left="155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49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567" w:leader="none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–"/>
      <w:lvlJc w:val="left"/>
      <w:pPr>
        <w:tabs>
          <w:tab w:val="num" w:pos="927" w:leader="none"/>
        </w:tabs>
        <w:ind w:left="851" w:hanging="284"/>
      </w:pPr>
      <w:rPr>
        <w:rFonts w:hint="default" w:ascii="Times New Roman" w:hAnsi="Times New Roman"/>
        <w:b w:val="0"/>
        <w:i w:val="0"/>
        <w:caps w:val="0"/>
        <w:strike w:val="0"/>
        <w:vanish w:val="0"/>
        <w:color w:val="auto"/>
        <w:sz w:val="20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080" w:leader="none"/>
        </w:tabs>
        <w:ind w:left="1080" w:hanging="1080"/>
      </w:pPr>
      <w:rPr>
        <w:rFonts w:hint="default" w:ascii="Arial" w:hAnsi="Arial" w:cs="Arial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080" w:leader="none"/>
        </w:tabs>
        <w:ind w:left="1080" w:hanging="1080"/>
      </w:pPr>
      <w:rPr>
        <w:rFonts w:hint="default" w:ascii="Arial" w:hAnsi="Arial" w:cs="Arial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hint="default" w:ascii="Arial" w:hAnsi="Arial" w:cs="Arial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440" w:leader="none"/>
        </w:tabs>
        <w:ind w:left="1440" w:hanging="1440"/>
      </w:pPr>
      <w:rPr>
        <w:rFonts w:hint="default" w:ascii="Arial" w:hAnsi="Arial" w:cs="Arial"/>
        <w:color w:val="00000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9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46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"/>
      <w:lvlJc w:val="left"/>
      <w:pPr>
        <w:ind w:left="2490" w:hanging="141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-2671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19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11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2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9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64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6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18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14"/>
  </w:num>
  <w:num w:numId="3">
    <w:abstractNumId w:val="31"/>
  </w:num>
  <w:num w:numId="4">
    <w:abstractNumId w:val="3"/>
  </w:num>
  <w:num w:numId="5">
    <w:abstractNumId w:val="22"/>
  </w:num>
  <w:num w:numId="6">
    <w:abstractNumId w:val="36"/>
  </w:num>
  <w:num w:numId="7">
    <w:abstractNumId w:val="26"/>
  </w:num>
  <w:num w:numId="8">
    <w:abstractNumId w:val="5"/>
  </w:num>
  <w:num w:numId="9">
    <w:abstractNumId w:val="34"/>
  </w:num>
  <w:num w:numId="10">
    <w:abstractNumId w:val="29"/>
  </w:num>
  <w:num w:numId="11">
    <w:abstractNumId w:val="32"/>
  </w:num>
  <w:num w:numId="12">
    <w:abstractNumId w:val="38"/>
  </w:num>
  <w:num w:numId="13">
    <w:abstractNumId w:val="23"/>
  </w:num>
  <w:num w:numId="14">
    <w:abstractNumId w:val="33"/>
  </w:num>
  <w:num w:numId="15">
    <w:abstractNumId w:val="37"/>
  </w:num>
  <w:num w:numId="16">
    <w:abstractNumId w:val="27"/>
  </w:num>
  <w:num w:numId="17">
    <w:abstractNumId w:val="8"/>
  </w:num>
  <w:num w:numId="18">
    <w:abstractNumId w:val="12"/>
  </w:num>
  <w:num w:numId="19">
    <w:abstractNumId w:val="15"/>
  </w:num>
  <w:num w:numId="20">
    <w:abstractNumId w:val="0"/>
  </w:num>
  <w:num w:numId="21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0"/>
  </w:num>
  <w:num w:numId="24">
    <w:abstractNumId w:val="20"/>
  </w:num>
  <w:num w:numId="25">
    <w:abstractNumId w:val="6"/>
  </w:num>
  <w:num w:numId="26">
    <w:abstractNumId w:val="41"/>
  </w:num>
  <w:num w:numId="27">
    <w:abstractNumId w:val="7"/>
  </w:num>
  <w:num w:numId="28">
    <w:abstractNumId w:val="2"/>
  </w:num>
  <w:num w:numId="29">
    <w:abstractNumId w:val="19"/>
  </w:num>
  <w:num w:numId="30">
    <w:abstractNumId w:val="10"/>
  </w:num>
  <w:num w:numId="31">
    <w:abstractNumId w:val="28"/>
  </w:num>
  <w:num w:numId="32">
    <w:abstractNumId w:val="39"/>
  </w:num>
  <w:num w:numId="33">
    <w:abstractNumId w:val="9"/>
  </w:num>
  <w:num w:numId="34">
    <w:abstractNumId w:val="24"/>
  </w:num>
  <w:num w:numId="35">
    <w:abstractNumId w:val="21"/>
  </w:num>
  <w:num w:numId="36">
    <w:abstractNumId w:val="17"/>
  </w:num>
  <w:num w:numId="37">
    <w:abstractNumId w:val="1"/>
  </w:num>
  <w:num w:numId="38">
    <w:abstractNumId w:val="13"/>
  </w:num>
  <w:num w:numId="39">
    <w:abstractNumId w:val="30"/>
  </w:num>
  <w:num w:numId="40">
    <w:abstractNumId w:val="11"/>
  </w:num>
  <w:num w:numId="41">
    <w:abstractNumId w:val="35"/>
  </w:num>
  <w:num w:numId="42">
    <w:abstractNumId w:val="25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22">
    <w:name w:val="Heading 1 Char"/>
    <w:basedOn w:val="1194"/>
    <w:link w:val="1192"/>
    <w:uiPriority w:val="9"/>
    <w:rPr>
      <w:rFonts w:ascii="Arial" w:hAnsi="Arial" w:eastAsia="Arial" w:cs="Arial"/>
      <w:sz w:val="40"/>
      <w:szCs w:val="40"/>
    </w:rPr>
  </w:style>
  <w:style w:type="paragraph" w:styleId="1023">
    <w:name w:val="Heading 2"/>
    <w:basedOn w:val="1191"/>
    <w:next w:val="1191"/>
    <w:link w:val="102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24">
    <w:name w:val="Heading 2 Char"/>
    <w:basedOn w:val="1194"/>
    <w:link w:val="1023"/>
    <w:uiPriority w:val="9"/>
    <w:rPr>
      <w:rFonts w:ascii="Arial" w:hAnsi="Arial" w:eastAsia="Arial" w:cs="Arial"/>
      <w:sz w:val="34"/>
    </w:rPr>
  </w:style>
  <w:style w:type="paragraph" w:styleId="1025">
    <w:name w:val="Heading 3"/>
    <w:basedOn w:val="1191"/>
    <w:next w:val="1191"/>
    <w:link w:val="102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26">
    <w:name w:val="Heading 3 Char"/>
    <w:basedOn w:val="1194"/>
    <w:link w:val="1025"/>
    <w:uiPriority w:val="9"/>
    <w:rPr>
      <w:rFonts w:ascii="Arial" w:hAnsi="Arial" w:eastAsia="Arial" w:cs="Arial"/>
      <w:sz w:val="30"/>
      <w:szCs w:val="30"/>
    </w:rPr>
  </w:style>
  <w:style w:type="paragraph" w:styleId="1027">
    <w:name w:val="Heading 4"/>
    <w:basedOn w:val="1191"/>
    <w:next w:val="1191"/>
    <w:link w:val="102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28">
    <w:name w:val="Heading 4 Char"/>
    <w:basedOn w:val="1194"/>
    <w:link w:val="1027"/>
    <w:uiPriority w:val="9"/>
    <w:rPr>
      <w:rFonts w:ascii="Arial" w:hAnsi="Arial" w:eastAsia="Arial" w:cs="Arial"/>
      <w:b/>
      <w:bCs/>
      <w:sz w:val="26"/>
      <w:szCs w:val="26"/>
    </w:rPr>
  </w:style>
  <w:style w:type="character" w:styleId="1029">
    <w:name w:val="Heading 5 Char"/>
    <w:basedOn w:val="1194"/>
    <w:link w:val="1193"/>
    <w:uiPriority w:val="9"/>
    <w:rPr>
      <w:rFonts w:ascii="Arial" w:hAnsi="Arial" w:eastAsia="Arial" w:cs="Arial"/>
      <w:b/>
      <w:bCs/>
      <w:sz w:val="24"/>
      <w:szCs w:val="24"/>
    </w:rPr>
  </w:style>
  <w:style w:type="paragraph" w:styleId="1030">
    <w:name w:val="Heading 6"/>
    <w:basedOn w:val="1191"/>
    <w:next w:val="1191"/>
    <w:link w:val="103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31">
    <w:name w:val="Heading 6 Char"/>
    <w:basedOn w:val="1194"/>
    <w:link w:val="1030"/>
    <w:uiPriority w:val="9"/>
    <w:rPr>
      <w:rFonts w:ascii="Arial" w:hAnsi="Arial" w:eastAsia="Arial" w:cs="Arial"/>
      <w:b/>
      <w:bCs/>
      <w:sz w:val="22"/>
      <w:szCs w:val="22"/>
    </w:rPr>
  </w:style>
  <w:style w:type="paragraph" w:styleId="1032">
    <w:name w:val="Heading 7"/>
    <w:basedOn w:val="1191"/>
    <w:next w:val="1191"/>
    <w:link w:val="103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3">
    <w:name w:val="Heading 7 Char"/>
    <w:basedOn w:val="1194"/>
    <w:link w:val="10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4">
    <w:name w:val="Heading 8"/>
    <w:basedOn w:val="1191"/>
    <w:next w:val="1191"/>
    <w:link w:val="103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5">
    <w:name w:val="Heading 8 Char"/>
    <w:basedOn w:val="1194"/>
    <w:link w:val="1034"/>
    <w:uiPriority w:val="9"/>
    <w:rPr>
      <w:rFonts w:ascii="Arial" w:hAnsi="Arial" w:eastAsia="Arial" w:cs="Arial"/>
      <w:i/>
      <w:iCs/>
      <w:sz w:val="22"/>
      <w:szCs w:val="22"/>
    </w:rPr>
  </w:style>
  <w:style w:type="paragraph" w:styleId="1036">
    <w:name w:val="Heading 9"/>
    <w:basedOn w:val="1191"/>
    <w:next w:val="1191"/>
    <w:link w:val="103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7">
    <w:name w:val="Heading 9 Char"/>
    <w:basedOn w:val="1194"/>
    <w:link w:val="1036"/>
    <w:uiPriority w:val="9"/>
    <w:rPr>
      <w:rFonts w:ascii="Arial" w:hAnsi="Arial" w:eastAsia="Arial" w:cs="Arial"/>
      <w:i/>
      <w:iCs/>
      <w:sz w:val="21"/>
      <w:szCs w:val="21"/>
    </w:rPr>
  </w:style>
  <w:style w:type="paragraph" w:styleId="1038">
    <w:name w:val="No Spacing"/>
    <w:uiPriority w:val="1"/>
    <w:qFormat/>
    <w:pPr>
      <w:spacing w:before="0" w:after="0" w:line="240" w:lineRule="auto"/>
    </w:pPr>
  </w:style>
  <w:style w:type="paragraph" w:styleId="1039">
    <w:name w:val="Title"/>
    <w:basedOn w:val="1191"/>
    <w:next w:val="1191"/>
    <w:link w:val="104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040">
    <w:name w:val="Title Char"/>
    <w:basedOn w:val="1194"/>
    <w:link w:val="1039"/>
    <w:uiPriority w:val="10"/>
    <w:rPr>
      <w:sz w:val="48"/>
      <w:szCs w:val="48"/>
    </w:rPr>
  </w:style>
  <w:style w:type="paragraph" w:styleId="1041">
    <w:name w:val="Subtitle"/>
    <w:basedOn w:val="1191"/>
    <w:next w:val="1191"/>
    <w:link w:val="1042"/>
    <w:uiPriority w:val="11"/>
    <w:qFormat/>
    <w:pPr>
      <w:spacing w:before="200" w:after="200"/>
    </w:pPr>
    <w:rPr>
      <w:sz w:val="24"/>
      <w:szCs w:val="24"/>
    </w:rPr>
  </w:style>
  <w:style w:type="character" w:styleId="1042">
    <w:name w:val="Subtitle Char"/>
    <w:basedOn w:val="1194"/>
    <w:link w:val="1041"/>
    <w:uiPriority w:val="11"/>
    <w:rPr>
      <w:sz w:val="24"/>
      <w:szCs w:val="24"/>
    </w:rPr>
  </w:style>
  <w:style w:type="paragraph" w:styleId="1043">
    <w:name w:val="Quote"/>
    <w:basedOn w:val="1191"/>
    <w:next w:val="1191"/>
    <w:link w:val="1044"/>
    <w:uiPriority w:val="29"/>
    <w:qFormat/>
    <w:pPr>
      <w:ind w:left="720" w:right="720"/>
    </w:pPr>
    <w:rPr>
      <w:i/>
    </w:rPr>
  </w:style>
  <w:style w:type="character" w:styleId="1044">
    <w:name w:val="Quote Char"/>
    <w:link w:val="1043"/>
    <w:uiPriority w:val="29"/>
    <w:rPr>
      <w:i/>
    </w:rPr>
  </w:style>
  <w:style w:type="paragraph" w:styleId="1045">
    <w:name w:val="Intense Quote"/>
    <w:basedOn w:val="1191"/>
    <w:next w:val="1191"/>
    <w:link w:val="10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046">
    <w:name w:val="Intense Quote Char"/>
    <w:link w:val="1045"/>
    <w:uiPriority w:val="30"/>
    <w:rPr>
      <w:i/>
    </w:rPr>
  </w:style>
  <w:style w:type="character" w:styleId="1047">
    <w:name w:val="Header Char"/>
    <w:basedOn w:val="1194"/>
    <w:link w:val="1217"/>
    <w:uiPriority w:val="99"/>
  </w:style>
  <w:style w:type="character" w:styleId="1048">
    <w:name w:val="Footer Char"/>
    <w:basedOn w:val="1194"/>
    <w:link w:val="1214"/>
    <w:uiPriority w:val="99"/>
  </w:style>
  <w:style w:type="paragraph" w:styleId="1049">
    <w:name w:val="Caption"/>
    <w:basedOn w:val="1191"/>
    <w:next w:val="1191"/>
    <w:link w:val="10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0">
    <w:name w:val="Caption Char"/>
    <w:basedOn w:val="1194"/>
    <w:link w:val="1049"/>
    <w:uiPriority w:val="35"/>
    <w:rPr>
      <w:b/>
      <w:bCs/>
      <w:color w:val="4f81bd" w:themeColor="accent1"/>
      <w:sz w:val="18"/>
      <w:szCs w:val="18"/>
    </w:rPr>
  </w:style>
  <w:style w:type="table" w:styleId="1051">
    <w:name w:val="Table Grid Light"/>
    <w:basedOn w:val="11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2">
    <w:name w:val="Plain Table 1"/>
    <w:basedOn w:val="11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3">
    <w:name w:val="Plain Table 2"/>
    <w:basedOn w:val="11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4">
    <w:name w:val="Plain Table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5">
    <w:name w:val="Plain Table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Plain Table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1 Light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1 Light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1 Light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1 Light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Grid Table 1 Light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1 Light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Grid Table 1 Light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Grid Table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5">
    <w:name w:val="Grid Table 2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6">
    <w:name w:val="Grid Table 2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7">
    <w:name w:val="Grid Table 2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8">
    <w:name w:val="Grid Table 2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9">
    <w:name w:val="Grid Table 2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0">
    <w:name w:val="Grid Table 2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1">
    <w:name w:val="Grid Table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2">
    <w:name w:val="Grid Table 3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3">
    <w:name w:val="Grid Table 3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4">
    <w:name w:val="Grid Table 3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5">
    <w:name w:val="Grid Table 3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6">
    <w:name w:val="Grid Table 3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7">
    <w:name w:val="Grid Table 3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78">
    <w:name w:val="Grid Table 4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9">
    <w:name w:val="Grid Table 4 - Accent 1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80">
    <w:name w:val="Grid Table 4 - Accent 2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1">
    <w:name w:val="Grid Table 4 - Accent 3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82">
    <w:name w:val="Grid Table 4 - Accent 4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3">
    <w:name w:val="Grid Table 4 - Accent 5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84">
    <w:name w:val="Grid Table 4 - Accent 6"/>
    <w:basedOn w:val="11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5">
    <w:name w:val="Grid Table 5 Dark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086">
    <w:name w:val="Grid Table 5 Dark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1087">
    <w:name w:val="Grid Table 5 Dark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1088">
    <w:name w:val="Grid Table 5 Dark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1089">
    <w:name w:val="Grid Table 5 Dark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1090">
    <w:name w:val="Grid Table 5 Dark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1091">
    <w:name w:val="Grid Table 5 Dark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1092">
    <w:name w:val="Grid Table 6 Colorful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93">
    <w:name w:val="Grid Table 6 Colorful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94">
    <w:name w:val="Grid Table 6 Colorful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5">
    <w:name w:val="Grid Table 6 Colorful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6">
    <w:name w:val="Grid Table 6 Colorful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7">
    <w:name w:val="Grid Table 6 Colorful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8">
    <w:name w:val="Grid Table 6 Colorful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9">
    <w:name w:val="Grid Table 7 Colorful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0">
    <w:name w:val="Grid Table 7 Colorful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1">
    <w:name w:val="Grid Table 7 Colorful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2">
    <w:name w:val="Grid Table 7 Colorful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3">
    <w:name w:val="Grid Table 7 Colorful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4">
    <w:name w:val="Grid Table 7 Colorful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5">
    <w:name w:val="Grid Table 7 Colorful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06">
    <w:name w:val="List Table 1 Light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1 Light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1 Light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1 Light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1 Light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List Table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4">
    <w:name w:val="List Table 2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5">
    <w:name w:val="List Table 2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6">
    <w:name w:val="List Table 2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7">
    <w:name w:val="List Table 2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8">
    <w:name w:val="List Table 2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9">
    <w:name w:val="List Table 2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20">
    <w:name w:val="List Table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3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3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3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3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3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3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4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4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4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4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5 Dark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5">
    <w:name w:val="List Table 5 Dark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5 Dark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7">
    <w:name w:val="List Table 5 Dark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8">
    <w:name w:val="List Table 5 Dark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9">
    <w:name w:val="List Table 5 Dark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0">
    <w:name w:val="List Table 5 Dark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1">
    <w:name w:val="List Table 6 Colorful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42">
    <w:name w:val="List Table 6 Colorful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43">
    <w:name w:val="List Table 6 Colorful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4">
    <w:name w:val="List Table 6 Colorful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5">
    <w:name w:val="List Table 6 Colorful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6">
    <w:name w:val="List Table 6 Colorful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7">
    <w:name w:val="List Table 6 Colorful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8">
    <w:name w:val="List Table 7 Colorful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9">
    <w:name w:val="List Table 7 Colorful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50">
    <w:name w:val="List Table 7 Colorful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51">
    <w:name w:val="List Table 7 Colorful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52">
    <w:name w:val="List Table 7 Colorful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53">
    <w:name w:val="List Table 7 Colorful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54">
    <w:name w:val="List Table 7 Colorful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55">
    <w:name w:val="Lined - Accent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6">
    <w:name w:val="Lined - Accent 1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7">
    <w:name w:val="Lined - Accent 2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8">
    <w:name w:val="Lined - Accent 3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9">
    <w:name w:val="Lined - Accent 4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0">
    <w:name w:val="Lined - Accent 5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61">
    <w:name w:val="Lined - Accent 6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2">
    <w:name w:val="Bordered &amp; Lined - Accent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63">
    <w:name w:val="Bordered &amp; Lined - Accent 1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64">
    <w:name w:val="Bordered &amp; Lined - Accent 2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65">
    <w:name w:val="Bordered &amp; Lined - Accent 3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66">
    <w:name w:val="Bordered &amp; Lined - Accent 4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7">
    <w:name w:val="Bordered &amp; Lined - Accent 5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68">
    <w:name w:val="Bordered &amp; Lined - Accent 6"/>
    <w:basedOn w:val="11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9">
    <w:name w:val="Bordered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70">
    <w:name w:val="Bordered - Accent 1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71">
    <w:name w:val="Bordered - Accent 2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72">
    <w:name w:val="Bordered - Accent 3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73">
    <w:name w:val="Bordered - Accent 4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74">
    <w:name w:val="Bordered - Accent 5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5">
    <w:name w:val="Bordered - Accent 6"/>
    <w:basedOn w:val="11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6">
    <w:name w:val="Footnote Text Char"/>
    <w:link w:val="1262"/>
    <w:uiPriority w:val="99"/>
    <w:rPr>
      <w:sz w:val="18"/>
    </w:rPr>
  </w:style>
  <w:style w:type="paragraph" w:styleId="1177">
    <w:name w:val="endnote text"/>
    <w:basedOn w:val="1191"/>
    <w:link w:val="1178"/>
    <w:uiPriority w:val="99"/>
    <w:semiHidden/>
    <w:unhideWhenUsed/>
    <w:pPr>
      <w:spacing w:after="0" w:line="240" w:lineRule="auto"/>
    </w:pPr>
    <w:rPr>
      <w:sz w:val="20"/>
    </w:rPr>
  </w:style>
  <w:style w:type="character" w:styleId="1178">
    <w:name w:val="Endnote Text Char"/>
    <w:link w:val="1177"/>
    <w:uiPriority w:val="99"/>
    <w:rPr>
      <w:sz w:val="20"/>
    </w:rPr>
  </w:style>
  <w:style w:type="character" w:styleId="1179">
    <w:name w:val="endnote reference"/>
    <w:basedOn w:val="1194"/>
    <w:uiPriority w:val="99"/>
    <w:semiHidden/>
    <w:unhideWhenUsed/>
    <w:rPr>
      <w:vertAlign w:val="superscript"/>
    </w:rPr>
  </w:style>
  <w:style w:type="paragraph" w:styleId="1180">
    <w:name w:val="toc 1"/>
    <w:basedOn w:val="1191"/>
    <w:next w:val="1191"/>
    <w:uiPriority w:val="39"/>
    <w:unhideWhenUsed/>
    <w:pPr>
      <w:spacing w:after="57"/>
      <w:ind w:left="0" w:right="0" w:firstLine="0"/>
    </w:pPr>
  </w:style>
  <w:style w:type="paragraph" w:styleId="1181">
    <w:name w:val="toc 2"/>
    <w:basedOn w:val="1191"/>
    <w:next w:val="1191"/>
    <w:uiPriority w:val="39"/>
    <w:unhideWhenUsed/>
    <w:pPr>
      <w:spacing w:after="57"/>
      <w:ind w:left="283" w:right="0" w:firstLine="0"/>
    </w:pPr>
  </w:style>
  <w:style w:type="paragraph" w:styleId="1182">
    <w:name w:val="toc 3"/>
    <w:basedOn w:val="1191"/>
    <w:next w:val="1191"/>
    <w:uiPriority w:val="39"/>
    <w:unhideWhenUsed/>
    <w:pPr>
      <w:spacing w:after="57"/>
      <w:ind w:left="567" w:right="0" w:firstLine="0"/>
    </w:pPr>
  </w:style>
  <w:style w:type="paragraph" w:styleId="1183">
    <w:name w:val="toc 4"/>
    <w:basedOn w:val="1191"/>
    <w:next w:val="1191"/>
    <w:uiPriority w:val="39"/>
    <w:unhideWhenUsed/>
    <w:pPr>
      <w:spacing w:after="57"/>
      <w:ind w:left="850" w:right="0" w:firstLine="0"/>
    </w:pPr>
  </w:style>
  <w:style w:type="paragraph" w:styleId="1184">
    <w:name w:val="toc 5"/>
    <w:basedOn w:val="1191"/>
    <w:next w:val="1191"/>
    <w:uiPriority w:val="39"/>
    <w:unhideWhenUsed/>
    <w:pPr>
      <w:spacing w:after="57"/>
      <w:ind w:left="1134" w:right="0" w:firstLine="0"/>
    </w:pPr>
  </w:style>
  <w:style w:type="paragraph" w:styleId="1185">
    <w:name w:val="toc 6"/>
    <w:basedOn w:val="1191"/>
    <w:next w:val="1191"/>
    <w:uiPriority w:val="39"/>
    <w:unhideWhenUsed/>
    <w:pPr>
      <w:spacing w:after="57"/>
      <w:ind w:left="1417" w:right="0" w:firstLine="0"/>
    </w:pPr>
  </w:style>
  <w:style w:type="paragraph" w:styleId="1186">
    <w:name w:val="toc 7"/>
    <w:basedOn w:val="1191"/>
    <w:next w:val="1191"/>
    <w:uiPriority w:val="39"/>
    <w:unhideWhenUsed/>
    <w:pPr>
      <w:spacing w:after="57"/>
      <w:ind w:left="1701" w:right="0" w:firstLine="0"/>
    </w:pPr>
  </w:style>
  <w:style w:type="paragraph" w:styleId="1187">
    <w:name w:val="toc 8"/>
    <w:basedOn w:val="1191"/>
    <w:next w:val="1191"/>
    <w:uiPriority w:val="39"/>
    <w:unhideWhenUsed/>
    <w:pPr>
      <w:spacing w:after="57"/>
      <w:ind w:left="1984" w:right="0" w:firstLine="0"/>
    </w:pPr>
  </w:style>
  <w:style w:type="paragraph" w:styleId="1188">
    <w:name w:val="toc 9"/>
    <w:basedOn w:val="1191"/>
    <w:next w:val="1191"/>
    <w:uiPriority w:val="39"/>
    <w:unhideWhenUsed/>
    <w:pPr>
      <w:spacing w:after="57"/>
      <w:ind w:left="2268" w:right="0" w:firstLine="0"/>
    </w:pPr>
  </w:style>
  <w:style w:type="paragraph" w:styleId="1189">
    <w:name w:val="TOC Heading"/>
    <w:uiPriority w:val="39"/>
    <w:unhideWhenUsed/>
  </w:style>
  <w:style w:type="paragraph" w:styleId="1190">
    <w:name w:val="table of figures"/>
    <w:basedOn w:val="1191"/>
    <w:next w:val="1191"/>
    <w:uiPriority w:val="99"/>
    <w:unhideWhenUsed/>
    <w:pPr>
      <w:spacing w:after="0" w:afterAutospacing="0"/>
    </w:pPr>
  </w:style>
  <w:style w:type="paragraph" w:styleId="11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2">
    <w:name w:val="Heading 1"/>
    <w:basedOn w:val="1191"/>
    <w:next w:val="1191"/>
    <w:link w:val="1203"/>
    <w:qFormat/>
    <w:pPr>
      <w:keepNext/>
      <w:outlineLvl w:val="0"/>
    </w:pPr>
    <w:rPr>
      <w:b/>
      <w:sz w:val="22"/>
      <w:szCs w:val="20"/>
    </w:rPr>
  </w:style>
  <w:style w:type="paragraph" w:styleId="1193">
    <w:name w:val="Heading 5"/>
    <w:basedOn w:val="1191"/>
    <w:next w:val="1191"/>
    <w:link w:val="1211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sz w:val="22"/>
      <w:szCs w:val="22"/>
      <w:lang w:eastAsia="en-US"/>
    </w:rPr>
  </w:style>
  <w:style w:type="character" w:styleId="1194" w:default="1">
    <w:name w:val="Default Paragraph Font"/>
    <w:uiPriority w:val="1"/>
    <w:semiHidden/>
    <w:unhideWhenUsed/>
  </w:style>
  <w:style w:type="table" w:styleId="11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96" w:default="1">
    <w:name w:val="No List"/>
    <w:uiPriority w:val="99"/>
    <w:semiHidden/>
    <w:unhideWhenUsed/>
  </w:style>
  <w:style w:type="paragraph" w:styleId="1197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198" w:customStyle="1">
    <w:name w:val="em-абзац"/>
    <w:basedOn w:val="1191"/>
    <w:link w:val="1199"/>
    <w:pPr>
      <w:ind w:firstLine="567"/>
      <w:jc w:val="both"/>
    </w:pPr>
    <w:rPr>
      <w:sz w:val="22"/>
      <w:szCs w:val="22"/>
    </w:rPr>
  </w:style>
  <w:style w:type="character" w:styleId="1199" w:customStyle="1">
    <w:name w:val="em-абзац Знак"/>
    <w:basedOn w:val="1194"/>
    <w:link w:val="1198"/>
    <w:rPr>
      <w:rFonts w:ascii="Times New Roman" w:hAnsi="Times New Roman" w:eastAsia="Times New Roman" w:cs="Times New Roman"/>
      <w:lang w:eastAsia="ru-RU"/>
    </w:rPr>
  </w:style>
  <w:style w:type="paragraph" w:styleId="1200">
    <w:name w:val="List Paragraph"/>
    <w:basedOn w:val="1191"/>
    <w:link w:val="1202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val="en-US" w:eastAsia="en-US"/>
    </w:rPr>
  </w:style>
  <w:style w:type="paragraph" w:styleId="1201" w:customStyle="1">
    <w:name w:val="БДО информация"/>
    <w:pPr>
      <w:spacing w:after="0" w:line="220" w:lineRule="exact"/>
      <w:jc w:val="both"/>
    </w:pPr>
    <w:rPr>
      <w:rFonts w:ascii="Garamond" w:hAnsi="Garamond" w:eastAsia="Times New Roman" w:cs="Garamond"/>
      <w:lang w:eastAsia="ru-RU"/>
    </w:rPr>
  </w:style>
  <w:style w:type="character" w:styleId="1202" w:customStyle="1">
    <w:name w:val="Абзац списка Знак"/>
    <w:link w:val="1200"/>
    <w:uiPriority w:val="34"/>
    <w:rPr>
      <w:rFonts w:eastAsiaTheme="minorEastAsia"/>
      <w:lang w:val="en-US"/>
    </w:rPr>
  </w:style>
  <w:style w:type="character" w:styleId="1203" w:customStyle="1">
    <w:name w:val="Заголовок 1 Знак"/>
    <w:basedOn w:val="1194"/>
    <w:link w:val="1192"/>
    <w:rPr>
      <w:rFonts w:ascii="Times New Roman" w:hAnsi="Times New Roman" w:eastAsia="Times New Roman" w:cs="Times New Roman"/>
      <w:b/>
      <w:szCs w:val="20"/>
      <w:lang w:eastAsia="ru-RU"/>
    </w:rPr>
  </w:style>
  <w:style w:type="paragraph" w:styleId="1204" w:customStyle="1">
    <w:name w:val="ConsNormal"/>
    <w:link w:val="1205"/>
    <w:pPr>
      <w:widowControl w:val="off"/>
      <w:spacing w:after="0" w:line="240" w:lineRule="auto"/>
      <w:ind w:right="19772" w:firstLine="720"/>
    </w:pPr>
    <w:rPr>
      <w:rFonts w:ascii="Arial" w:hAnsi="Arial" w:eastAsia="Times New Roman" w:cs="Arial"/>
      <w:sz w:val="24"/>
      <w:szCs w:val="24"/>
      <w:lang w:eastAsia="ru-RU"/>
    </w:rPr>
  </w:style>
  <w:style w:type="character" w:styleId="1205" w:customStyle="1">
    <w:name w:val="ConsNormal Char"/>
    <w:link w:val="1204"/>
    <w:rPr>
      <w:rFonts w:ascii="Arial" w:hAnsi="Arial" w:eastAsia="Times New Roman" w:cs="Arial"/>
      <w:sz w:val="24"/>
      <w:szCs w:val="24"/>
      <w:lang w:eastAsia="ru-RU"/>
    </w:rPr>
  </w:style>
  <w:style w:type="paragraph" w:styleId="120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207" w:customStyle="1">
    <w:name w:val="__SUBST"/>
    <w:rPr>
      <w:b/>
      <w:i/>
      <w:sz w:val="22"/>
    </w:rPr>
  </w:style>
  <w:style w:type="table" w:styleId="1208">
    <w:name w:val="Table Grid"/>
    <w:basedOn w:val="11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09">
    <w:name w:val="Body Text"/>
    <w:basedOn w:val="1191"/>
    <w:link w:val="1210"/>
    <w:pPr>
      <w:widowControl w:val="off"/>
      <w:suppressLineNumbers/>
      <w:spacing w:line="216" w:lineRule="auto"/>
      <w:ind w:right="1"/>
      <w:jc w:val="both"/>
    </w:pPr>
    <w:rPr>
      <w:rFonts w:ascii="Arial" w:hAnsi="Arial" w:cs="Arial"/>
      <w:sz w:val="18"/>
      <w:szCs w:val="18"/>
      <w:lang w:val="en-GB"/>
    </w:rPr>
  </w:style>
  <w:style w:type="character" w:styleId="1210" w:customStyle="1">
    <w:name w:val="Основной текст Знак"/>
    <w:basedOn w:val="1194"/>
    <w:link w:val="1209"/>
    <w:rPr>
      <w:rFonts w:ascii="Arial" w:hAnsi="Arial" w:eastAsia="Times New Roman" w:cs="Arial"/>
      <w:sz w:val="18"/>
      <w:szCs w:val="18"/>
      <w:lang w:val="en-GB" w:eastAsia="ru-RU"/>
    </w:rPr>
  </w:style>
  <w:style w:type="character" w:styleId="1211" w:customStyle="1">
    <w:name w:val="Заголовок 5 Знак"/>
    <w:basedOn w:val="1194"/>
    <w:link w:val="1193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paragraph" w:styleId="1212">
    <w:name w:val="Balloon Text"/>
    <w:basedOn w:val="1191"/>
    <w:link w:val="1213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1213" w:customStyle="1">
    <w:name w:val="Текст выноски Знак"/>
    <w:basedOn w:val="1194"/>
    <w:link w:val="1212"/>
    <w:uiPriority w:val="99"/>
    <w:semiHidden/>
    <w:rPr>
      <w:rFonts w:ascii="Segoe UI" w:hAnsi="Segoe UI" w:cs="Segoe UI"/>
      <w:sz w:val="18"/>
      <w:szCs w:val="18"/>
    </w:rPr>
  </w:style>
  <w:style w:type="paragraph" w:styleId="1214">
    <w:name w:val="Footer"/>
    <w:basedOn w:val="1191"/>
    <w:link w:val="1216"/>
    <w:uiPriority w:val="99"/>
    <w:pPr>
      <w:tabs>
        <w:tab w:val="center" w:pos="4677" w:leader="none"/>
        <w:tab w:val="right" w:pos="9355" w:leader="none"/>
      </w:tabs>
    </w:pPr>
  </w:style>
  <w:style w:type="character" w:styleId="1215" w:customStyle="1">
    <w:name w:val="Нижний колонтитул Знак"/>
    <w:basedOn w:val="11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16" w:customStyle="1">
    <w:name w:val="Нижний колонтитул Знак1"/>
    <w:basedOn w:val="1194"/>
    <w:link w:val="12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7">
    <w:name w:val="Header"/>
    <w:basedOn w:val="1191"/>
    <w:link w:val="1218"/>
    <w:pPr>
      <w:tabs>
        <w:tab w:val="center" w:pos="4677" w:leader="none"/>
        <w:tab w:val="right" w:pos="9355" w:leader="none"/>
      </w:tabs>
    </w:pPr>
  </w:style>
  <w:style w:type="character" w:styleId="1218" w:customStyle="1">
    <w:name w:val="Верхний колонтитул Знак"/>
    <w:basedOn w:val="1194"/>
    <w:link w:val="12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19">
    <w:name w:val="Hyperlink"/>
    <w:basedOn w:val="1194"/>
    <w:uiPriority w:val="99"/>
    <w:rPr>
      <w:rFonts w:cs="Times New Roman"/>
      <w:color w:val="0000ff"/>
      <w:u w:val="single"/>
    </w:rPr>
  </w:style>
  <w:style w:type="paragraph" w:styleId="1220" w:customStyle="1">
    <w:name w:val="em-пункт"/>
    <w:basedOn w:val="1191"/>
    <w:pPr>
      <w:ind w:firstLine="567"/>
      <w:jc w:val="both"/>
    </w:pPr>
    <w:rPr>
      <w:b/>
      <w:sz w:val="22"/>
      <w:szCs w:val="22"/>
    </w:rPr>
  </w:style>
  <w:style w:type="paragraph" w:styleId="1221" w:customStyle="1">
    <w:name w:val="em-подраздел"/>
    <w:basedOn w:val="1191"/>
    <w:link w:val="1222"/>
    <w:pPr>
      <w:ind w:firstLine="567"/>
      <w:jc w:val="both"/>
    </w:pPr>
    <w:rPr>
      <w:b/>
      <w:sz w:val="22"/>
      <w:szCs w:val="22"/>
    </w:rPr>
  </w:style>
  <w:style w:type="character" w:styleId="1222" w:customStyle="1">
    <w:name w:val="em-подраздел Знак"/>
    <w:basedOn w:val="1194"/>
    <w:link w:val="1221"/>
    <w:rPr>
      <w:rFonts w:ascii="Times New Roman" w:hAnsi="Times New Roman" w:eastAsia="Times New Roman" w:cs="Times New Roman"/>
      <w:b/>
      <w:lang w:eastAsia="ru-RU"/>
    </w:rPr>
  </w:style>
  <w:style w:type="paragraph" w:styleId="1223" w:customStyle="1">
    <w:name w:val="prilozhenie"/>
    <w:basedOn w:val="1191"/>
    <w:pPr>
      <w:ind w:firstLine="709"/>
      <w:jc w:val="both"/>
    </w:pPr>
    <w:rPr>
      <w:lang w:eastAsia="en-US"/>
    </w:rPr>
  </w:style>
  <w:style w:type="paragraph" w:styleId="1224" w:customStyle="1">
    <w:name w:val="Normal Prefix"/>
    <w:link w:val="1225"/>
    <w:pPr>
      <w:widowControl w:val="off"/>
      <w:spacing w:before="200" w:after="40" w:line="240" w:lineRule="auto"/>
    </w:pPr>
    <w:rPr>
      <w:rFonts w:ascii="Times New Roman" w:hAnsi="Times New Roman" w:eastAsia="Times New Roman" w:cs="Times New Roman"/>
      <w:lang w:val="en-AU" w:eastAsia="ru-RU"/>
    </w:rPr>
  </w:style>
  <w:style w:type="character" w:styleId="1225" w:customStyle="1">
    <w:name w:val="Normal Prefix Char1"/>
    <w:link w:val="1224"/>
    <w:rPr>
      <w:rFonts w:ascii="Times New Roman" w:hAnsi="Times New Roman" w:eastAsia="Times New Roman" w:cs="Times New Roman"/>
      <w:lang w:val="en-AU" w:eastAsia="ru-RU"/>
    </w:rPr>
  </w:style>
  <w:style w:type="paragraph" w:styleId="1226" w:customStyle="1">
    <w:name w:val="RSHB - paragrah in Notes"/>
    <w:qFormat/>
    <w:pPr>
      <w:spacing w:after="120" w:line="240" w:lineRule="auto"/>
      <w:jc w:val="both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227" w:customStyle="1">
    <w:name w:val="ABC - paragrah in Notes"/>
    <w:link w:val="1228"/>
    <w:qFormat/>
    <w:pPr>
      <w:spacing w:after="240" w:line="216" w:lineRule="auto"/>
      <w:jc w:val="both"/>
    </w:pPr>
    <w:rPr>
      <w:rFonts w:ascii="Arial" w:hAnsi="Arial" w:eastAsia="Times New Roman" w:cs="Times New Roman"/>
      <w:sz w:val="20"/>
      <w:szCs w:val="20"/>
      <w:lang w:val="en-GB"/>
    </w:rPr>
  </w:style>
  <w:style w:type="character" w:styleId="1228" w:customStyle="1">
    <w:name w:val="ABC - paragrah in Notes Char1"/>
    <w:link w:val="1227"/>
    <w:rPr>
      <w:rFonts w:ascii="Arial" w:hAnsi="Arial" w:eastAsia="Times New Roman" w:cs="Times New Roman"/>
      <w:sz w:val="20"/>
      <w:szCs w:val="20"/>
      <w:lang w:val="en-GB"/>
    </w:rPr>
  </w:style>
  <w:style w:type="character" w:styleId="1229" w:customStyle="1">
    <w:name w:val="Font Style134"/>
    <w:rPr>
      <w:rFonts w:ascii="Arial" w:hAnsi="Arial" w:cs="Arial"/>
      <w:sz w:val="16"/>
      <w:szCs w:val="16"/>
    </w:rPr>
  </w:style>
  <w:style w:type="paragraph" w:styleId="1230" w:customStyle="1">
    <w:name w:val="Style11"/>
    <w:basedOn w:val="1191"/>
    <w:pPr>
      <w:widowControl w:val="off"/>
      <w:spacing w:line="213" w:lineRule="exact"/>
      <w:ind w:left="40" w:right="1457"/>
      <w:jc w:val="both"/>
    </w:pPr>
    <w:rPr>
      <w:rFonts w:ascii="Arial" w:hAnsi="Arial"/>
    </w:rPr>
  </w:style>
  <w:style w:type="paragraph" w:styleId="1231" w:customStyle="1">
    <w:name w:val="Style67"/>
    <w:basedOn w:val="1191"/>
    <w:pPr>
      <w:widowControl w:val="off"/>
      <w:spacing w:line="226" w:lineRule="exact"/>
      <w:ind w:left="40" w:right="1457" w:hanging="552"/>
      <w:jc w:val="both"/>
    </w:pPr>
    <w:rPr>
      <w:rFonts w:ascii="Arial" w:hAnsi="Arial"/>
    </w:rPr>
  </w:style>
  <w:style w:type="paragraph" w:styleId="1232" w:customStyle="1">
    <w:name w:val="RSHB - Bullets in Notes"/>
    <w:pPr>
      <w:tabs>
        <w:tab w:val="left" w:pos="851" w:leader="none"/>
      </w:tabs>
      <w:spacing w:after="120" w:line="216" w:lineRule="auto"/>
      <w:ind w:right="17"/>
      <w:jc w:val="both"/>
    </w:pPr>
    <w:rPr>
      <w:rFonts w:ascii="Arial" w:hAnsi="Arial" w:eastAsia="Times New Roman" w:cs="Arial"/>
      <w:sz w:val="20"/>
      <w:szCs w:val="18"/>
      <w:lang w:val="en-GB" w:eastAsia="ru-RU"/>
    </w:rPr>
  </w:style>
  <w:style w:type="character" w:styleId="1233" w:customStyle="1">
    <w:name w:val="ABC - paragrah in Notes Char"/>
    <w:rPr>
      <w:lang w:val="en-GB" w:eastAsia="en-US"/>
    </w:rPr>
  </w:style>
  <w:style w:type="paragraph" w:styleId="1234" w:customStyle="1">
    <w:name w:val="RSHB - Continued"/>
    <w:qFormat/>
    <w:pPr>
      <w:spacing w:after="240" w:line="240" w:lineRule="auto"/>
      <w:ind w:left="567" w:hanging="567"/>
      <w:jc w:val="both"/>
    </w:pPr>
    <w:rPr>
      <w:rFonts w:ascii="Arial" w:hAnsi="Arial" w:eastAsia="Times New Roman" w:cs="Arial"/>
      <w:b/>
      <w:bCs/>
      <w:sz w:val="20"/>
      <w:szCs w:val="20"/>
      <w:lang w:val="en-US" w:eastAsia="ru-RU"/>
    </w:rPr>
  </w:style>
  <w:style w:type="paragraph" w:styleId="1235" w:customStyle="1">
    <w:name w:val="Comment Subject1"/>
    <w:basedOn w:val="1237"/>
    <w:next w:val="1237"/>
    <w:semiHidden/>
    <w:pPr>
      <w:spacing w:after="0" w:line="216" w:lineRule="auto"/>
      <w:ind w:right="17"/>
    </w:pPr>
    <w:rPr>
      <w:rFonts w:ascii="Arial" w:hAnsi="Arial" w:eastAsia="Times New Roman" w:cs="Arial"/>
      <w:b/>
      <w:bCs/>
      <w:sz w:val="18"/>
      <w:szCs w:val="18"/>
      <w:lang w:val="en-GB" w:eastAsia="ru-RU"/>
    </w:rPr>
  </w:style>
  <w:style w:type="character" w:styleId="1236" w:customStyle="1">
    <w:name w:val="ABC - subhead in Notes"/>
    <w:rPr>
      <w:b/>
      <w:bCs/>
      <w:i/>
      <w:iCs/>
    </w:rPr>
  </w:style>
  <w:style w:type="paragraph" w:styleId="1237">
    <w:name w:val="annotation text"/>
    <w:basedOn w:val="1191"/>
    <w:link w:val="1238"/>
    <w:uiPriority w:val="99"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1238" w:customStyle="1">
    <w:name w:val="Текст примечания Знак"/>
    <w:basedOn w:val="1194"/>
    <w:link w:val="1237"/>
    <w:uiPriority w:val="99"/>
    <w:rPr>
      <w:sz w:val="20"/>
      <w:szCs w:val="20"/>
    </w:rPr>
  </w:style>
  <w:style w:type="paragraph" w:styleId="1239" w:customStyle="1">
    <w:name w:val="Titre ABC2"/>
    <w:basedOn w:val="1247"/>
    <w:uiPriority w:val="54"/>
    <w:pPr>
      <w:spacing w:line="220" w:lineRule="auto"/>
      <w:ind w:left="198" w:right="17" w:hanging="198"/>
    </w:pPr>
    <w:rPr>
      <w:rFonts w:ascii="Arial" w:hAnsi="Arial" w:eastAsia="Times New Roman" w:cs="Arial"/>
      <w:bCs/>
      <w:sz w:val="18"/>
      <w:szCs w:val="18"/>
      <w:lang w:val="en-US" w:eastAsia="ru-RU"/>
    </w:rPr>
  </w:style>
  <w:style w:type="paragraph" w:styleId="1240" w:customStyle="1">
    <w:name w:val="Table text"/>
    <w:basedOn w:val="1191"/>
    <w:pPr>
      <w:spacing w:line="216" w:lineRule="auto"/>
      <w:ind w:left="85" w:right="17" w:hanging="85"/>
    </w:pPr>
    <w:rPr>
      <w:rFonts w:ascii="Arial" w:hAnsi="Arial" w:cs="Arial"/>
      <w:sz w:val="18"/>
      <w:szCs w:val="18"/>
      <w:lang w:val="en-GB"/>
    </w:rPr>
  </w:style>
  <w:style w:type="paragraph" w:styleId="1241" w:customStyle="1">
    <w:name w:val="Row header"/>
    <w:basedOn w:val="1191"/>
    <w:pPr>
      <w:spacing w:line="216" w:lineRule="auto"/>
      <w:ind w:left="85" w:right="17" w:hanging="85"/>
    </w:pPr>
    <w:rPr>
      <w:rFonts w:ascii="Arial" w:hAnsi="Arial" w:cs="Arial"/>
      <w:b/>
      <w:sz w:val="18"/>
      <w:szCs w:val="18"/>
      <w:lang w:val="en-GB"/>
    </w:rPr>
  </w:style>
  <w:style w:type="paragraph" w:styleId="1242" w:customStyle="1">
    <w:name w:val="Column header"/>
    <w:basedOn w:val="1191"/>
    <w:uiPriority w:val="6"/>
    <w:pPr>
      <w:tabs>
        <w:tab w:val="decimal" w:pos="1503" w:leader="none"/>
      </w:tabs>
      <w:spacing w:line="228" w:lineRule="auto"/>
      <w:ind w:right="-56"/>
    </w:pPr>
    <w:rPr>
      <w:rFonts w:ascii="Arial" w:hAnsi="Arial" w:cs="Arial"/>
      <w:b/>
      <w:sz w:val="18"/>
      <w:szCs w:val="18"/>
      <w:lang w:val="en-GB"/>
    </w:rPr>
  </w:style>
  <w:style w:type="paragraph" w:styleId="1243" w:customStyle="1">
    <w:name w:val="Table numbers1"/>
    <w:link w:val="1244"/>
    <w:pPr>
      <w:tabs>
        <w:tab w:val="decimal" w:pos="1503" w:leader="none"/>
      </w:tabs>
      <w:spacing w:after="0" w:line="216" w:lineRule="auto"/>
      <w:ind w:right="-56"/>
    </w:pPr>
    <w:rPr>
      <w:rFonts w:ascii="Arial" w:hAnsi="Arial" w:eastAsia="Times New Roman" w:cs="Times New Roman"/>
      <w:sz w:val="18"/>
      <w:szCs w:val="20"/>
      <w:lang w:val="en-GB"/>
    </w:rPr>
  </w:style>
  <w:style w:type="character" w:styleId="1244" w:customStyle="1">
    <w:name w:val="Table numbers1 Char"/>
    <w:link w:val="1243"/>
    <w:rPr>
      <w:rFonts w:ascii="Arial" w:hAnsi="Arial" w:eastAsia="Times New Roman" w:cs="Times New Roman"/>
      <w:sz w:val="18"/>
      <w:szCs w:val="20"/>
      <w:lang w:val="en-GB"/>
    </w:rPr>
  </w:style>
  <w:style w:type="paragraph" w:styleId="1245" w:customStyle="1">
    <w:name w:val="Char Char"/>
    <w:uiPriority w:val="7"/>
    <w:pPr>
      <w:spacing w:after="240" w:line="216" w:lineRule="auto"/>
      <w:jc w:val="both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246" w:customStyle="1">
    <w:name w:val="RSHB - Table numbers"/>
    <w:qFormat/>
    <w:pPr>
      <w:tabs>
        <w:tab w:val="decimal" w:pos="1503" w:leader="none"/>
      </w:tabs>
      <w:spacing w:after="0" w:line="216" w:lineRule="auto"/>
      <w:ind w:right="-56"/>
    </w:pPr>
    <w:rPr>
      <w:rFonts w:ascii="Arial" w:hAnsi="Arial" w:eastAsia="Times New Roman" w:cs="Times New Roman"/>
      <w:sz w:val="18"/>
      <w:szCs w:val="20"/>
      <w:lang w:val="en-GB"/>
    </w:rPr>
  </w:style>
  <w:style w:type="paragraph" w:styleId="1247">
    <w:name w:val="index 2"/>
    <w:basedOn w:val="1191"/>
    <w:next w:val="1191"/>
    <w:uiPriority w:val="99"/>
    <w:semiHidden/>
    <w:unhideWhenUsed/>
    <w:pPr>
      <w:ind w:left="440" w:hanging="2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248" w:customStyle="1">
    <w:name w:val="RR thousands"/>
    <w:basedOn w:val="1191"/>
    <w:link w:val="1249"/>
    <w:pPr>
      <w:spacing w:line="216" w:lineRule="auto"/>
      <w:ind w:left="86" w:right="17" w:hanging="86"/>
    </w:pPr>
    <w:rPr>
      <w:rFonts w:ascii="Arial" w:hAnsi="Arial" w:cs="Arial"/>
      <w:i/>
      <w:iCs/>
      <w:sz w:val="16"/>
      <w:szCs w:val="16"/>
      <w:lang w:val="en-GB"/>
    </w:rPr>
  </w:style>
  <w:style w:type="character" w:styleId="1249" w:customStyle="1">
    <w:name w:val="RR thousands Char"/>
    <w:link w:val="1248"/>
    <w:rPr>
      <w:rFonts w:ascii="Arial" w:hAnsi="Arial" w:eastAsia="Times New Roman" w:cs="Arial"/>
      <w:i/>
      <w:iCs/>
      <w:sz w:val="16"/>
      <w:szCs w:val="16"/>
      <w:lang w:val="en-GB" w:eastAsia="ru-RU"/>
    </w:rPr>
  </w:style>
  <w:style w:type="paragraph" w:styleId="1250" w:customStyle="1">
    <w:name w:val="Style15"/>
    <w:basedOn w:val="1191"/>
    <w:uiPriority w:val="54"/>
    <w:pPr>
      <w:widowControl w:val="off"/>
      <w:spacing w:line="216" w:lineRule="auto"/>
      <w:ind w:right="17"/>
    </w:pPr>
    <w:rPr>
      <w:rFonts w:ascii="Arial" w:hAnsi="Arial" w:cs="Arial"/>
    </w:rPr>
  </w:style>
  <w:style w:type="paragraph" w:styleId="1251" w:customStyle="1">
    <w:name w:val="Style17"/>
    <w:basedOn w:val="1191"/>
    <w:uiPriority w:val="54"/>
    <w:pPr>
      <w:widowControl w:val="off"/>
      <w:spacing w:line="197" w:lineRule="exact"/>
      <w:ind w:right="17"/>
    </w:pPr>
    <w:rPr>
      <w:rFonts w:ascii="Arial" w:hAnsi="Arial" w:cs="Arial"/>
    </w:rPr>
  </w:style>
  <w:style w:type="paragraph" w:styleId="1252" w:customStyle="1">
    <w:name w:val="Style24"/>
    <w:basedOn w:val="1191"/>
    <w:uiPriority w:val="54"/>
    <w:pPr>
      <w:widowControl w:val="off"/>
      <w:spacing w:line="216" w:lineRule="auto"/>
      <w:ind w:right="17"/>
      <w:jc w:val="right"/>
    </w:pPr>
    <w:rPr>
      <w:rFonts w:ascii="Arial" w:hAnsi="Arial" w:cs="Arial"/>
    </w:rPr>
  </w:style>
  <w:style w:type="paragraph" w:styleId="1253" w:customStyle="1">
    <w:name w:val="Style41"/>
    <w:basedOn w:val="1191"/>
    <w:uiPriority w:val="54"/>
    <w:pPr>
      <w:widowControl w:val="off"/>
      <w:spacing w:line="216" w:lineRule="exact"/>
      <w:ind w:right="17" w:hanging="120"/>
    </w:pPr>
    <w:rPr>
      <w:rFonts w:ascii="Arial" w:hAnsi="Arial" w:cs="Arial"/>
    </w:rPr>
  </w:style>
  <w:style w:type="paragraph" w:styleId="1254" w:customStyle="1">
    <w:name w:val="RSHB - Column header"/>
    <w:basedOn w:val="1191"/>
    <w:qFormat/>
    <w:pPr>
      <w:tabs>
        <w:tab w:val="decimal" w:pos="1503" w:leader="none"/>
      </w:tabs>
      <w:spacing w:line="228" w:lineRule="auto"/>
      <w:jc w:val="right"/>
    </w:pPr>
    <w:rPr>
      <w:rFonts w:ascii="Arial" w:hAnsi="Arial"/>
      <w:b/>
      <w:sz w:val="18"/>
      <w:szCs w:val="20"/>
      <w:lang w:val="en-GB" w:eastAsia="en-US"/>
    </w:rPr>
  </w:style>
  <w:style w:type="paragraph" w:styleId="1255">
    <w:name w:val="Body Text Indent"/>
    <w:basedOn w:val="1191"/>
    <w:link w:val="1256"/>
    <w:uiPriority w:val="99"/>
    <w:semiHidden/>
    <w:unhideWhenUsed/>
    <w:pPr>
      <w:spacing w:after="120" w:line="259" w:lineRule="auto"/>
      <w:ind w:left="283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256" w:customStyle="1">
    <w:name w:val="Основной текст с отступом Знак"/>
    <w:basedOn w:val="1194"/>
    <w:link w:val="1255"/>
    <w:uiPriority w:val="99"/>
    <w:semiHidden/>
  </w:style>
  <w:style w:type="character" w:styleId="1257">
    <w:name w:val="annotation reference"/>
    <w:uiPriority w:val="99"/>
    <w:semiHidden/>
    <w:unhideWhenUsed/>
    <w:rPr>
      <w:sz w:val="16"/>
      <w:szCs w:val="16"/>
    </w:rPr>
  </w:style>
  <w:style w:type="paragraph" w:styleId="1258" w:customStyle="1">
    <w:name w:val="Reports Cover 4"/>
    <w:basedOn w:val="1191"/>
    <w:pPr>
      <w:framePr w:wrap="auto" w:vAnchor="page" w:hAnchor="margin" w:y="2361"/>
      <w:widowControl w:val="off"/>
      <w:tabs>
        <w:tab w:val="left" w:pos="620" w:leader="none"/>
      </w:tabs>
      <w:spacing w:line="400" w:lineRule="exact"/>
      <w:ind w:left="79" w:right="-23"/>
      <w:jc w:val="both"/>
    </w:pPr>
    <w:rPr>
      <w:sz w:val="36"/>
      <w:szCs w:val="20"/>
      <w:lang w:val="en-US" w:eastAsia="en-US"/>
    </w:rPr>
  </w:style>
  <w:style w:type="paragraph" w:styleId="1259">
    <w:name w:val="annotation subject"/>
    <w:basedOn w:val="1237"/>
    <w:next w:val="1237"/>
    <w:link w:val="1260"/>
    <w:uiPriority w:val="99"/>
    <w:semiHidden/>
    <w:unhideWhenUsed/>
    <w:rPr>
      <w:b/>
      <w:bCs/>
    </w:rPr>
  </w:style>
  <w:style w:type="character" w:styleId="1260" w:customStyle="1">
    <w:name w:val="Тема примечания Знак"/>
    <w:basedOn w:val="1238"/>
    <w:link w:val="1259"/>
    <w:uiPriority w:val="99"/>
    <w:semiHidden/>
    <w:rPr>
      <w:b/>
      <w:bCs/>
      <w:sz w:val="20"/>
      <w:szCs w:val="20"/>
    </w:rPr>
  </w:style>
  <w:style w:type="paragraph" w:styleId="1261" w:customStyle="1">
    <w:name w:val="Абзац списка2"/>
    <w:basedOn w:val="1191"/>
    <w:qFormat/>
    <w:pPr>
      <w:ind w:left="720"/>
      <w:contextualSpacing/>
    </w:pPr>
    <w:rPr>
      <w:rFonts w:eastAsia="Arial"/>
    </w:rPr>
  </w:style>
  <w:style w:type="paragraph" w:styleId="1262">
    <w:name w:val="footnote text"/>
    <w:basedOn w:val="1191"/>
    <w:link w:val="1263"/>
    <w:uiPriority w:val="99"/>
    <w:unhideWhenUsed/>
    <w:qFormat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1263" w:customStyle="1">
    <w:name w:val="Текст сноски Знак"/>
    <w:basedOn w:val="1194"/>
    <w:link w:val="1262"/>
    <w:uiPriority w:val="99"/>
    <w:rPr>
      <w:sz w:val="20"/>
      <w:szCs w:val="20"/>
    </w:rPr>
  </w:style>
  <w:style w:type="character" w:styleId="1264">
    <w:name w:val="footnote reference"/>
    <w:basedOn w:val="1194"/>
    <w:uiPriority w:val="99"/>
    <w:unhideWhenUsed/>
    <w:qFormat/>
    <w:rPr>
      <w:vertAlign w:val="superscript"/>
    </w:rPr>
  </w:style>
  <w:style w:type="character" w:styleId="1265" w:customStyle="1">
    <w:name w:val="Гипертекстовая ссылка"/>
    <w:basedOn w:val="1194"/>
    <w:uiPriority w:val="99"/>
    <w:rPr>
      <w:color w:val="106bbe"/>
    </w:rPr>
  </w:style>
  <w:style w:type="paragraph" w:styleId="1266" w:customStyle="1">
    <w:name w:val="Нормальный (таблица)"/>
    <w:basedOn w:val="1191"/>
    <w:next w:val="1191"/>
    <w:uiPriority w:val="99"/>
    <w:pPr>
      <w:jc w:val="both"/>
    </w:pPr>
    <w:rPr>
      <w:rFonts w:ascii="Arial" w:hAnsi="Arial" w:cs="Arial" w:eastAsiaTheme="minorHAnsi"/>
      <w:lang w:eastAsia="en-US"/>
    </w:rPr>
  </w:style>
  <w:style w:type="paragraph" w:styleId="1267" w:customStyle="1">
    <w:name w:val="Прижатый влево"/>
    <w:basedOn w:val="1191"/>
    <w:next w:val="1191"/>
    <w:uiPriority w:val="99"/>
    <w:rPr>
      <w:rFonts w:ascii="Arial" w:hAnsi="Arial" w:cs="Arial" w:eastAsiaTheme="minorHAnsi"/>
      <w:lang w:eastAsia="en-US"/>
    </w:rPr>
  </w:style>
  <w:style w:type="paragraph" w:styleId="1268">
    <w:name w:val="Normal (Web)"/>
    <w:basedOn w:val="1191"/>
    <w:uiPriority w:val="99"/>
    <w:unhideWhenUsed/>
    <w:pPr>
      <w:spacing w:before="100" w:beforeAutospacing="1" w:after="100" w:afterAutospacing="1"/>
    </w:pPr>
  </w:style>
  <w:style w:type="character" w:styleId="1269">
    <w:name w:val="Strong"/>
    <w:qFormat/>
    <w:rPr>
      <w:rFonts w:cs="Times New Roman"/>
      <w:b/>
      <w:bCs/>
    </w:rPr>
  </w:style>
  <w:style w:type="character" w:styleId="1270" w:customStyle="1">
    <w:name w:val="hps"/>
    <w:basedOn w:val="1194"/>
  </w:style>
  <w:style w:type="paragraph" w:styleId="1271" w:customStyle="1">
    <w:name w:val="ConsNonformat"/>
    <w:pPr>
      <w:widowControl w:val="off"/>
      <w:spacing w:after="0" w:line="240" w:lineRule="auto"/>
    </w:pPr>
    <w:rPr>
      <w:rFonts w:ascii="Courier New" w:hAnsi="Courier New" w:eastAsia="Times New Roman" w:cs="Times New Roman"/>
      <w:sz w:val="16"/>
      <w:szCs w:val="20"/>
      <w:lang w:eastAsia="ru-RU"/>
    </w:rPr>
  </w:style>
  <w:style w:type="table" w:styleId="1272" w:customStyle="1">
    <w:name w:val="Сетка таблицы светлая1"/>
    <w:basedOn w:val="1195"/>
    <w:uiPriority w:val="40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1273">
    <w:name w:val="Revision"/>
    <w:hidden/>
    <w:uiPriority w:val="99"/>
    <w:semiHidden/>
    <w:pPr>
      <w:spacing w:after="0" w:line="240" w:lineRule="auto"/>
    </w:pPr>
  </w:style>
  <w:style w:type="character" w:styleId="1274">
    <w:name w:val="Emphasis"/>
    <w:basedOn w:val="1194"/>
    <w:uiPriority w:val="20"/>
    <w:qFormat/>
    <w:rPr>
      <w:i/>
      <w:iCs/>
    </w:rPr>
  </w:style>
  <w:style w:type="character" w:styleId="1275">
    <w:name w:val="FollowedHyperlink"/>
    <w:basedOn w:val="119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40052&amp;dst=414" TargetMode="External"/><Relationship Id="rId12" Type="http://schemas.openxmlformats.org/officeDocument/2006/relationships/hyperlink" Target="https://login.consultant.ru/link/?req=doc&amp;base=LAW&amp;n=440052&amp;dst=620" TargetMode="External"/><Relationship Id="rId13" Type="http://schemas.openxmlformats.org/officeDocument/2006/relationships/hyperlink" Target="https://login.consultant.ru/link/?req=doc&amp;base=LAW&amp;n=440052&amp;dst=632" TargetMode="External"/><Relationship Id="rId14" Type="http://schemas.openxmlformats.org/officeDocument/2006/relationships/hyperlink" Target="consultantplus://offline/ref=818DDE07045A8694AAF8008F8AD959D48C90815FDD08E4DE751FD3E9591E16F08D55FF23F390D4330331B5D0489D74F90629014D234EfFm9J" TargetMode="External"/><Relationship Id="rId15" Type="http://schemas.openxmlformats.org/officeDocument/2006/relationships/hyperlink" Target="http://www.consultant.ru/document/cons_doc_LAW_154017/" TargetMode="External"/><Relationship Id="rId16" Type="http://schemas.openxmlformats.org/officeDocument/2006/relationships/hyperlink" Target="consultantplus://offline/ref=F6117B8773BB734CFA154A711F51C1EF2FEE17EDF3EC351407EC933B8573E6FB0DE68E103B187C648203A1D45D51D2D6ABFDF16AE987134AYFOAL" TargetMode="External"/><Relationship Id="rId17" Type="http://schemas.openxmlformats.org/officeDocument/2006/relationships/hyperlink" Target="consultantplus://offline/ref=134EAB9BB4787D08FB767FF6D74814694BFCE2572933E623E49775157C09E81AC6FB12D3240ADE61EFB4AFD4254631D778EBCFE5E535h3uFM" TargetMode="External"/><Relationship Id="rId18" Type="http://schemas.openxmlformats.org/officeDocument/2006/relationships/hyperlink" Target="consultantplus://offline/ref=F6117B8773BB734CFA154A711F51C1EF2FEE17EDF3EC351407EC933B8573E6FB0DE68E103B1879608003A1D45D51D2D6ABFDF16AE987134AYFOAL" TargetMode="External"/><Relationship Id="rId19" Type="http://schemas.openxmlformats.org/officeDocument/2006/relationships/hyperlink" Target="https://login.consultant.ru/link/?req=doc&amp;base=LAW&amp;n=440052&amp;dst=414" TargetMode="External"/><Relationship Id="rId20" Type="http://schemas.openxmlformats.org/officeDocument/2006/relationships/hyperlink" Target="consultantplus://offline/ref=9AEDFF8C039E75E3A7B5597AC488A1B40066042602BCD306C6C282F52CB5F75EFD3A0BF9C666364553D38E8EF3TDC6J" TargetMode="External"/><Relationship Id="rId21" Type="http://schemas.openxmlformats.org/officeDocument/2006/relationships/hyperlink" Target="consultantplus://offline/ref=9AEDFF8C039E75E3A7B5597AC488A1B40066042602BCD306C6C282F52CB5F75EFD3A0BF9C666364553D38E8EF3TDC6J" TargetMode="External"/><Relationship Id="rId22" Type="http://schemas.openxmlformats.org/officeDocument/2006/relationships/hyperlink" Target="consultantplus://offline/ref=9AEDFF8C039E75E3A7B5597AC488A1B40066042602BCD306C6C282F52CB5F75EFD3A0BF9C666364553D38E8EF3TDC6J" TargetMode="External"/><Relationship Id="rId23" Type="http://schemas.openxmlformats.org/officeDocument/2006/relationships/hyperlink" Target="https://www.rshb.ru/insider/." TargetMode="External"/><Relationship Id="rId24" Type="http://schemas.openxmlformats.org/officeDocument/2006/relationships/hyperlink" Target="https://www.ratings.ru/methodologies/scales/" TargetMode="External"/><Relationship Id="rId25" Type="http://schemas.openxmlformats.org/officeDocument/2006/relationships/hyperlink" Target="https://www.ratings.ru/upload/iblock/4e1/fha5x6cj67xb45ieiqdjdoqfcbvqxaxf/Terms_and_definitions_200824.pdf" TargetMode="External"/><Relationship Id="rId26" Type="http://schemas.openxmlformats.org/officeDocument/2006/relationships/hyperlink" Target="https://www.ratings.ru/methodologies/current/" TargetMode="External"/><Relationship Id="rId27" Type="http://schemas.openxmlformats.org/officeDocument/2006/relationships/hyperlink" Target="https://www.ratings.ru/upload/iblock/5b4/5bdokoq51l0ko7f9ewjcrawldcxnebz2/Banks_methodology_210224.pdf" TargetMode="External"/><Relationship Id="rId28" Type="http://schemas.openxmlformats.org/officeDocument/2006/relationships/hyperlink" Target="https://www.ratings.ru/upload/iblock/d78/bopyk04a7g4lzso0614j305qv7g1313x/External_Influence_290824.pdf" TargetMode="External"/><Relationship Id="rId29" Type="http://schemas.openxmlformats.org/officeDocument/2006/relationships/hyperlink" Target="https://www.acra-ratings.ru/about-ratings/definitions-of-ratings/" TargetMode="External"/><Relationship Id="rId30" Type="http://schemas.openxmlformats.org/officeDocument/2006/relationships/hyperlink" Target="https://www.acra-ratings.ru/about-ratings/scales/" TargetMode="External"/><Relationship Id="rId31" Type="http://schemas.openxmlformats.org/officeDocument/2006/relationships/hyperlink" Target="https://www.acra-ratings.ru/criteria/80/" TargetMode="External"/><Relationship Id="rId32" Type="http://schemas.openxmlformats.org/officeDocument/2006/relationships/hyperlink" Target="https://www.acra-ratings.ru/criteria/382/" TargetMode="External"/><Relationship Id="rId33" Type="http://schemas.openxmlformats.org/officeDocument/2006/relationships/hyperlink" Target="https://www.acra-ratings.ru/criteria/2449/" TargetMode="External"/><Relationship Id="rId34" Type="http://schemas.openxmlformats.org/officeDocument/2006/relationships/hyperlink" Target="https://www.fitchratings.com/site/definitions" TargetMode="External"/><Relationship Id="rId35" Type="http://schemas.openxmlformats.org/officeDocument/2006/relationships/hyperlink" Target="https://www.fitchratings.com/criteria/banks" TargetMode="External"/><Relationship Id="rId36" Type="http://schemas.openxmlformats.org/officeDocument/2006/relationships/hyperlink" Target="https://www.fitchratings.com/research/banks/bank-rating-criteria-15-03-2024" TargetMode="External"/><Relationship Id="rId37" Type="http://schemas.openxmlformats.org/officeDocument/2006/relationships/hyperlink" Target="https://www.fitchratings.com/research/banks/fitch-ratings-to-withdraw-ratings-on-russian-entities-23-03-2022" TargetMode="External"/><Relationship Id="rId38" Type="http://schemas.openxmlformats.org/officeDocument/2006/relationships/hyperlink" Target="https://ratings.moodys.com/rating-definitions" TargetMode="External"/><Relationship Id="rId39" Type="http://schemas.openxmlformats.org/officeDocument/2006/relationships/hyperlink" Target="https://ratings.moodys.com/api/rmc-documents/53954" TargetMode="External"/><Relationship Id="rId40" Type="http://schemas.openxmlformats.org/officeDocument/2006/relationships/hyperlink" Target="https://ratings.moodys.com/rating-methodologies" TargetMode="External"/><Relationship Id="rId41" Type="http://schemas.openxmlformats.org/officeDocument/2006/relationships/hyperlink" Target="https://ratings.moodys.com/rmc-documents/409852" TargetMode="External"/><Relationship Id="rId42" Type="http://schemas.openxmlformats.org/officeDocument/2006/relationships/hyperlink" Target="consultantplus://offline/ref=EF065FAF0D82BBB3B2BA34094DBB898F0B4EC2A9DC2F3F203792AA4311D53905479625E8BFE527E883C75F350AB1D557D7F2A553CA2E8E5FH3TEL" TargetMode="External"/><Relationship Id="rId43" Type="http://schemas.openxmlformats.org/officeDocument/2006/relationships/hyperlink" Target="https://www.e-disclosure.ru/portal/files.aspx?id=3207&amp;type=4" TargetMode="External"/><Relationship Id="rId44" Type="http://schemas.openxmlformats.org/officeDocument/2006/relationships/hyperlink" Target="https://www.e-disclosure.ru/portal/files.aspx?id=3207&amp;type=4" TargetMode="External"/><Relationship Id="rId45" Type="http://schemas.openxmlformats.org/officeDocument/2006/relationships/hyperlink" Target="https://www.e-disclosure.ru/portal/files.aspx?id=3207&amp;type=4" TargetMode="External"/><Relationship Id="rId46" Type="http://schemas.openxmlformats.org/officeDocument/2006/relationships/hyperlink" Target="https://www.e-disclosure.ru/portal/files.aspx?id=3207&amp;type=4" TargetMode="External"/><Relationship Id="rId47" Type="http://schemas.openxmlformats.org/officeDocument/2006/relationships/hyperlink" Target="https://www.rshb.ru/investors/reports_year/" TargetMode="External"/><Relationship Id="rId48" Type="http://schemas.openxmlformats.org/officeDocument/2006/relationships/hyperlink" Target="https://www.rshb.ru/investors/reports_year/" TargetMode="External"/><Relationship Id="rId49" Type="http://schemas.openxmlformats.org/officeDocument/2006/relationships/hyperlink" Target="https://www.rshb.ru/investors/reports_year/" TargetMode="External"/><Relationship Id="rId50" Type="http://schemas.openxmlformats.org/officeDocument/2006/relationships/hyperlink" Target="https://login.consultant.ru/link/?req=doc&amp;base=LAW&amp;n=440052&amp;dst=620" TargetMode="External"/><Relationship Id="rId51" Type="http://schemas.openxmlformats.org/officeDocument/2006/relationships/hyperlink" Target="https://login.consultant.ru/link/?req=doc&amp;base=LAW&amp;n=440052&amp;dst=632" TargetMode="External"/><Relationship Id="rId52" Type="http://schemas.openxmlformats.org/officeDocument/2006/relationships/hyperlink" Target="consultantplus://offline/ref=EF065FAF0D82BBB3B2BA34094DBB898F0B4EC2A9DC2F3F203792AA4311D5390555967DE4BDE43EEE86D209644CHET6L" TargetMode="External"/><Relationship Id="rId53" Type="http://schemas.openxmlformats.org/officeDocument/2006/relationships/hyperlink" Target="http://www.e-disclosure.ru/portal/company.aspx?id=32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45FE-B113-4BFB-A73C-FD45FCDD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Завиткова Юлия Евгеньевна</dc:creator>
  <cp:keywords/>
  <dc:description/>
  <cp:lastModifiedBy>kudyakova-ti</cp:lastModifiedBy>
  <cp:revision>64</cp:revision>
  <dcterms:created xsi:type="dcterms:W3CDTF">2024-12-11T09:51:00Z</dcterms:created>
  <dcterms:modified xsi:type="dcterms:W3CDTF">2025-08-26T07:23:41Z</dcterms:modified>
</cp:coreProperties>
</file>