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00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jc w:val="both"/>
                          <w:spacing w:before="17" w:beforeAutospacing="0" w:after="17" w:afterAutospacing="0" w:line="28" w:lineRule="atLeast"/>
                          <w:tabs>
                            <w:tab w:val="left" w:pos="709" w:leader="none"/>
                            <w:tab w:val="left" w:pos="850" w:leader="none"/>
                          </w:tabs>
                          <w:rPr>
                            <w:rFonts w:ascii="Times New Roman" w:hAnsi="Times New Roman" w:eastAsia="Times New Roman"/>
                            <w:sz w:val="24"/>
                            <w:szCs w:val="24"/>
                            <w:highlight w:val="none"/>
                          </w:rPr>
                        </w:pPr>
                        <w:r>
                          <w:rPr>
                            <w:rFonts w:ascii="Times New Roman" w:hAnsi="Times New Roman" w:eastAsia="Times New Roman"/>
                            <w:sz w:val="24"/>
                            <w:szCs w:val="24"/>
                            <w:highlight w:val="none"/>
                          </w:rPr>
                        </w:r>
                        <w:r>
                          <w:rPr>
                            <w:rFonts w:ascii="Times New Roman" w:hAnsi="Times New Roman" w:eastAsia="Times New Roman"/>
                            <w:sz w:val="24"/>
                            <w:szCs w:val="24"/>
                            <w:highlight w:val="none"/>
                          </w:rPr>
                          <w:t xml:space="preserve">Департамент транзакционных продуктов и сервисов (ДТПиС)</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1148"/>
                          <w:jc w:val="both"/>
                          <w:spacing w:line="300" w:lineRule="auto"/>
                          <w:rPr>
                            <w:color w:val="000000"/>
                            <w:lang w:eastAsia="en-US"/>
                          </w:rPr>
                        </w:pPr>
                        <w:r>
                          <w:rPr>
                            <w:color w:val="000000"/>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64"/>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64"/>
                    <w:jc w:val="center"/>
                  </w:pPr>
                  <w:r/>
                  <w:r/>
                </w:p>
              </w:tc>
            </w:tr>
            <w:tr>
              <w:tblPrEx/>
              <w:trPr>
                <w:trHeight w:val="360"/>
              </w:trPr>
              <w:tc>
                <w:tcPr>
                  <w:tcBorders>
                    <w:top w:val="single" w:color="008444" w:sz="12" w:space="0"/>
                  </w:tcBorders>
                  <w:tcW w:w="5000" w:type="pct"/>
                  <w:vAlign w:val="center"/>
                  <w:textDirection w:val="lrTb"/>
                  <w:noWrap w:val="false"/>
                </w:tcPr>
                <w:p>
                  <w:pPr>
                    <w:pStyle w:val="116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bCs/>
                      <w:sz w:val="32"/>
                      <w:szCs w:val="32"/>
                    </w:rPr>
                  </w:pPr>
                  <w:r>
                    <w:rPr>
                      <w:bCs/>
                      <w:sz w:val="32"/>
                      <w:szCs w:val="32"/>
                    </w:rPr>
                    <w:t xml:space="preserve">действуют с 01</w:t>
                  </w:r>
                  <w:r>
                    <w:rPr>
                      <w:bCs/>
                      <w:sz w:val="32"/>
                      <w:szCs w:val="32"/>
                    </w:rPr>
                    <w:t xml:space="preserve">.01</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bCs/>
                      <w:sz w:val="32"/>
                      <w:szCs w:val="32"/>
                    </w:rPr>
                  </w:r>
                </w:p>
              </w:tc>
            </w:tr>
          </w:tbl>
          <w:p>
            <w:pPr>
              <w:pStyle w:val="1164"/>
              <w:jc w:val="center"/>
              <w:rPr>
                <w:rFonts w:ascii="Cambria" w:hAnsi="Cambria"/>
                <w:caps/>
                <w:sz w:val="32"/>
                <w:szCs w:val="32"/>
              </w:rPr>
            </w:pPr>
            <w:r>
              <w:rPr>
                <w:rFonts w:ascii="Cambria" w:hAnsi="Cambria"/>
                <w:sz w:val="32"/>
                <w:szCs w:val="32"/>
              </w:rPr>
              <w:t xml:space="preserve">ТАТАРСТАНСКИЙ </w:t>
            </w:r>
            <w:r>
              <w:rPr>
                <w:rFonts w:ascii="Cambria" w:hAnsi="Cambria"/>
                <w:sz w:val="32"/>
                <w:szCs w:val="32"/>
              </w:rPr>
              <w:t xml:space="preserve">Р</w:t>
            </w:r>
            <w:r>
              <w:rPr>
                <w:rFonts w:ascii="Cambria" w:hAnsi="Cambria"/>
                <w:sz w:val="32"/>
                <w:szCs w:val="32"/>
              </w:rPr>
              <w:t xml:space="preserve">Ф</w:t>
            </w:r>
            <w:r>
              <w:rPr>
                <w:rFonts w:ascii="Cambria" w:hAnsi="Cambria"/>
                <w:sz w:val="32"/>
                <w:szCs w:val="32"/>
              </w:rPr>
              <w:t xml:space="preserve"> АО </w:t>
            </w:r>
            <w:r>
              <w:rPr>
                <w:rFonts w:ascii="Cambria" w:hAnsi="Cambria"/>
                <w:caps/>
                <w:sz w:val="32"/>
                <w:szCs w:val="32"/>
              </w:rPr>
              <w:t xml:space="preserve"> «РОССЕЛЬХОЗБАНК» </w:t>
            </w:r>
            <w:r>
              <w:rPr>
                <w:rFonts w:ascii="Cambria" w:hAnsi="Cambria"/>
                <w:caps/>
                <w:sz w:val="32"/>
                <w:szCs w:val="32"/>
              </w:rPr>
            </w:r>
            <w:r>
              <w:rPr>
                <w:rFonts w:ascii="Cambria" w:hAnsi="Cambria"/>
                <w:caps/>
                <w:sz w:val="32"/>
                <w:szCs w:val="32"/>
              </w:rPr>
            </w:r>
          </w:p>
        </w:tc>
      </w:tr>
    </w:tbl>
    <w:p>
      <w:pPr>
        <w:pStyle w:val="116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48"/>
      </w:pPr>
      <w:r/>
      <w:r/>
    </w:p>
    <w:p>
      <w:pPr>
        <w:pStyle w:val="114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48"/>
        <w:rPr>
          <w:b/>
          <w:caps/>
        </w:rPr>
      </w:pPr>
      <w:r>
        <w:rPr>
          <w:i/>
        </w:rPr>
        <w:br w:type="page" w:clear="all"/>
      </w:r>
      <w:r>
        <w:rPr>
          <w:b/>
          <w:caps/>
        </w:rPr>
        <w:t xml:space="preserve">Содержание</w:t>
      </w:r>
      <w:r>
        <w:rPr>
          <w:b/>
          <w:caps/>
        </w:rPr>
        <w:t xml:space="preserve">:</w:t>
      </w:r>
      <w:r>
        <w:rPr>
          <w:b/>
          <w:caps/>
        </w:rPr>
      </w:r>
      <w:r>
        <w:rPr>
          <w:b/>
          <w:caps/>
        </w:rPr>
      </w:r>
    </w:p>
    <w:p>
      <w:pPr>
        <w:pStyle w:val="1148"/>
        <w:rPr>
          <w:caps/>
        </w:rPr>
      </w:pPr>
      <w:r>
        <w:rPr>
          <w:caps/>
        </w:rPr>
      </w:r>
      <w:r>
        <w:rPr>
          <w:caps/>
        </w:rPr>
      </w:r>
      <w:r>
        <w:rPr>
          <w:caps/>
        </w:rPr>
      </w:r>
    </w:p>
    <w:p>
      <w:pPr>
        <w:pStyle w:val="116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66"/>
          <w:color w:val="000000"/>
        </w:rPr>
        <w:fldChar w:fldCharType="begin"/>
      </w:r>
      <w:r>
        <w:rPr>
          <w:rStyle w:val="1166"/>
          <w:color w:val="000000"/>
        </w:rPr>
        <w:instrText xml:space="preserve"> </w:instrText>
      </w:r>
      <w:r>
        <w:instrText xml:space="preserve">HYPERLINK \l "_Toc170984446"</w:instrText>
      </w:r>
      <w:r>
        <w:rPr>
          <w:rStyle w:val="1166"/>
          <w:color w:val="000000"/>
        </w:rPr>
        <w:instrText xml:space="preserve"> </w:instrText>
      </w:r>
      <w:r>
        <w:rPr>
          <w:rStyle w:val="1166"/>
          <w:color w:val="000000"/>
        </w:rPr>
        <w:fldChar w:fldCharType="separate"/>
      </w:r>
      <w:r>
        <w:rPr>
          <w:rStyle w:val="1166"/>
          <w:color w:val="000000"/>
        </w:rPr>
        <w:t xml:space="preserve">1.</w:t>
      </w:r>
      <w:r>
        <w:rPr>
          <w:rFonts w:ascii="Calibri" w:hAnsi="Calibri"/>
          <w:bCs w:val="0"/>
          <w:caps w:val="0"/>
          <w:szCs w:val="22"/>
        </w:rPr>
        <w:tab/>
      </w:r>
      <w:r>
        <w:rPr>
          <w:rStyle w:val="1166"/>
          <w:color w:val="000000"/>
        </w:rPr>
        <w:t xml:space="preserve">Открытие и ведение счетов</w:t>
      </w:r>
      <w:r>
        <w:tab/>
      </w:r>
      <w:r>
        <w:t xml:space="preserve">3</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"_Toc170984447"</w:instrText>
      </w:r>
      <w:r>
        <w:rPr>
          <w:rStyle w:val="1166"/>
          <w:color w:val="000000"/>
        </w:rPr>
        <w:instrText xml:space="preserve"> </w:instrText>
      </w:r>
      <w:r>
        <w:rPr>
          <w:rStyle w:val="1166"/>
          <w:color w:val="000000"/>
        </w:rPr>
        <w:fldChar w:fldCharType="separate"/>
      </w:r>
      <w:r>
        <w:rPr>
          <w:rStyle w:val="1166"/>
          <w:color w:val="000000"/>
        </w:rPr>
        <w:t xml:space="preserve">2.</w:t>
      </w:r>
      <w:r>
        <w:rPr>
          <w:rFonts w:ascii="Calibri" w:hAnsi="Calibri"/>
          <w:bCs w:val="0"/>
          <w:caps w:val="0"/>
          <w:szCs w:val="22"/>
        </w:rPr>
        <w:tab/>
      </w:r>
      <w:r>
        <w:rPr>
          <w:rStyle w:val="1166"/>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66"/>
          <w:color w:val="000000"/>
        </w:rPr>
        <w:fldChar w:fldCharType="end"/>
      </w:r>
      <w:r>
        <w:rPr>
          <w:rStyle w:val="1166"/>
          <w:color w:val="000000"/>
        </w:rPr>
        <w:t xml:space="preserve">5</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"_Toc170984448"</w:instrText>
      </w:r>
      <w:r>
        <w:rPr>
          <w:rStyle w:val="1166"/>
          <w:color w:val="000000"/>
        </w:rPr>
        <w:instrText xml:space="preserve"> </w:instrText>
      </w:r>
      <w:r>
        <w:rPr>
          <w:rStyle w:val="1166"/>
          <w:color w:val="000000"/>
        </w:rPr>
        <w:fldChar w:fldCharType="separate"/>
      </w:r>
      <w:r>
        <w:rPr>
          <w:rStyle w:val="1166"/>
          <w:color w:val="000000"/>
        </w:rPr>
        <w:t xml:space="preserve">3.</w:t>
      </w:r>
      <w:r>
        <w:rPr>
          <w:rFonts w:ascii="Calibri" w:hAnsi="Calibri"/>
          <w:bCs w:val="0"/>
          <w:caps w:val="0"/>
          <w:szCs w:val="22"/>
        </w:rPr>
        <w:tab/>
      </w:r>
      <w:r>
        <w:rPr>
          <w:rStyle w:val="1166"/>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66"/>
          <w:color w:val="000000"/>
        </w:rPr>
        <w:fldChar w:fldCharType="end"/>
      </w:r>
      <w:r>
        <w:rPr>
          <w:rStyle w:val="1166"/>
          <w:color w:val="000000"/>
        </w:rPr>
        <w:t xml:space="preserve">9</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"_Toc170984449"</w:instrText>
      </w:r>
      <w:r>
        <w:rPr>
          <w:rStyle w:val="1166"/>
          <w:color w:val="000000"/>
        </w:rPr>
        <w:instrText xml:space="preserve"> </w:instrText>
      </w:r>
      <w:r>
        <w:rPr>
          <w:rStyle w:val="1166"/>
          <w:color w:val="000000"/>
        </w:rPr>
        <w:fldChar w:fldCharType="separate"/>
      </w:r>
      <w:r>
        <w:rPr>
          <w:rStyle w:val="1166"/>
          <w:color w:val="000000"/>
        </w:rPr>
        <w:t xml:space="preserve">4.</w:t>
      </w:r>
      <w:r>
        <w:rPr>
          <w:rFonts w:ascii="Calibri" w:hAnsi="Calibri"/>
          <w:bCs w:val="0"/>
          <w:caps w:val="0"/>
          <w:szCs w:val="22"/>
        </w:rPr>
        <w:tab/>
      </w:r>
      <w:r>
        <w:rPr>
          <w:rStyle w:val="1166"/>
          <w:color w:val="000000"/>
        </w:rPr>
        <w:t xml:space="preserve">Операции с ценными бумагами</w:t>
      </w:r>
      <w:r>
        <w:tab/>
        <w:t xml:space="preserve">3</w:t>
      </w:r>
      <w:r>
        <w:fldChar w:fldCharType="begin"/>
      </w:r>
      <w:r>
        <w:instrText xml:space="preserve"> PAGEREF _Toc170984449 \h </w:instrText>
      </w:r>
      <w:r>
        <w:fldChar w:fldCharType="separate"/>
      </w:r>
      <w:r>
        <w:t xml:space="preserve">3</w:t>
      </w:r>
      <w:r>
        <w:fldChar w:fldCharType="end"/>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"_Toc170984450"</w:instrText>
      </w:r>
      <w:r>
        <w:rPr>
          <w:rStyle w:val="1166"/>
          <w:color w:val="000000"/>
        </w:rPr>
        <w:instrText xml:space="preserve"> </w:instrText>
      </w:r>
      <w:r>
        <w:rPr>
          <w:rStyle w:val="1166"/>
          <w:color w:val="000000"/>
        </w:rPr>
        <w:fldChar w:fldCharType="separate"/>
      </w:r>
      <w:r>
        <w:rPr>
          <w:rStyle w:val="1166"/>
          <w:color w:val="000000"/>
        </w:rPr>
        <w:t xml:space="preserve">5.</w:t>
      </w:r>
      <w:r>
        <w:rPr>
          <w:rFonts w:ascii="Calibri" w:hAnsi="Calibri"/>
          <w:bCs w:val="0"/>
          <w:caps w:val="0"/>
          <w:szCs w:val="22"/>
        </w:rPr>
        <w:tab/>
      </w:r>
      <w:r>
        <w:rPr>
          <w:rStyle w:val="1166"/>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66"/>
          <w:color w:val="000000"/>
        </w:rPr>
        <w:fldChar w:fldCharType="end"/>
      </w:r>
      <w:r>
        <w:rPr>
          <w:rStyle w:val="1166"/>
          <w:color w:val="000000"/>
        </w:rPr>
        <w:t xml:space="preserve">4</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"_Toc170984451"</w:instrText>
      </w:r>
      <w:r>
        <w:rPr>
          <w:rStyle w:val="1166"/>
          <w:color w:val="000000"/>
        </w:rPr>
        <w:instrText xml:space="preserve"> </w:instrText>
      </w:r>
      <w:r>
        <w:rPr>
          <w:rStyle w:val="1166"/>
          <w:color w:val="000000"/>
        </w:rPr>
        <w:fldChar w:fldCharType="separate"/>
      </w:r>
      <w:r>
        <w:rPr>
          <w:rStyle w:val="1166"/>
          <w:color w:val="000000"/>
        </w:rPr>
        <w:t xml:space="preserve">6.</w:t>
      </w:r>
      <w:r>
        <w:rPr>
          <w:rFonts w:ascii="Calibri" w:hAnsi="Calibri"/>
          <w:bCs w:val="0"/>
          <w:caps w:val="0"/>
          <w:szCs w:val="22"/>
        </w:rPr>
        <w:tab/>
      </w:r>
      <w:r>
        <w:rPr>
          <w:rStyle w:val="1166"/>
          <w:color w:val="000000"/>
        </w:rPr>
        <w:t xml:space="preserve">Гарантийные операции</w:t>
      </w:r>
      <w:r>
        <w:tab/>
      </w:r>
      <w:r>
        <w:rPr>
          <w:rStyle w:val="1166"/>
          <w:color w:val="000000"/>
        </w:rPr>
        <w:fldChar w:fldCharType="end"/>
      </w:r>
      <w:r>
        <w:rPr>
          <w:rStyle w:val="1166"/>
          <w:color w:val="000000"/>
          <w:sz w:val="22"/>
          <w:szCs w:val="22"/>
        </w:rPr>
        <w:t xml:space="preserve">41</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"_Toc170984452"</w:instrText>
      </w:r>
      <w:r>
        <w:rPr>
          <w:rStyle w:val="1166"/>
          <w:color w:val="000000"/>
        </w:rPr>
        <w:instrText xml:space="preserve"> </w:instrText>
      </w:r>
      <w:r>
        <w:rPr>
          <w:rStyle w:val="1166"/>
          <w:color w:val="000000"/>
        </w:rPr>
        <w:fldChar w:fldCharType="separate"/>
      </w:r>
      <w:r>
        <w:rPr>
          <w:rStyle w:val="1166"/>
          <w:color w:val="000000"/>
        </w:rPr>
        <w:t xml:space="preserve">7.</w:t>
      </w:r>
      <w:r>
        <w:rPr>
          <w:rFonts w:ascii="Calibri" w:hAnsi="Calibri"/>
          <w:bCs w:val="0"/>
          <w:caps w:val="0"/>
          <w:szCs w:val="22"/>
        </w:rPr>
        <w:tab/>
      </w:r>
      <w:r>
        <w:rPr>
          <w:rStyle w:val="1166"/>
          <w:color w:val="000000"/>
        </w:rPr>
        <w:t xml:space="preserve">Дистанционное банковское обслуживание (ДБО)</w:t>
      </w:r>
      <w:r>
        <w:tab/>
      </w:r>
      <w:r>
        <w:rPr>
          <w:rStyle w:val="1166"/>
          <w:color w:val="000000"/>
        </w:rPr>
        <w:fldChar w:fldCharType="end"/>
      </w:r>
      <w:r>
        <w:rPr>
          <w:rStyle w:val="1166"/>
          <w:color w:val="000000"/>
          <w:sz w:val="22"/>
          <w:szCs w:val="22"/>
        </w:rPr>
        <w:t xml:space="preserve">43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"_Toc170984453"</w:instrText>
      </w:r>
      <w:r>
        <w:rPr>
          <w:rStyle w:val="1166"/>
          <w:color w:val="000000"/>
        </w:rPr>
        <w:instrText xml:space="preserve"> </w:instrText>
      </w:r>
      <w:r>
        <w:rPr>
          <w:rStyle w:val="1166"/>
          <w:color w:val="000000"/>
        </w:rPr>
        <w:fldChar w:fldCharType="separate"/>
      </w:r>
      <w:r>
        <w:rPr>
          <w:rStyle w:val="1166"/>
          <w:color w:val="000000"/>
        </w:rPr>
        <w:t xml:space="preserve">8.</w:t>
      </w:r>
      <w:r>
        <w:rPr>
          <w:rFonts w:ascii="Calibri" w:hAnsi="Calibri"/>
          <w:bCs w:val="0"/>
          <w:caps w:val="0"/>
          <w:szCs w:val="22"/>
        </w:rPr>
        <w:tab/>
      </w:r>
      <w:r>
        <w:rPr>
          <w:rStyle w:val="1166"/>
          <w:color w:val="000000"/>
        </w:rPr>
        <w:t xml:space="preserve">Хранение ценностей клиентов в хранилище ценностей Банка</w:t>
      </w:r>
      <w:r>
        <w:tab/>
        <w:t xml:space="preserve">50</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"_Toc170984454"</w:instrText>
      </w:r>
      <w:r>
        <w:rPr>
          <w:rStyle w:val="1166"/>
          <w:color w:val="000000"/>
        </w:rPr>
        <w:instrText xml:space="preserve"> </w:instrText>
      </w:r>
      <w:r>
        <w:rPr>
          <w:rStyle w:val="1166"/>
          <w:color w:val="000000"/>
        </w:rPr>
        <w:fldChar w:fldCharType="separate"/>
      </w:r>
      <w:r>
        <w:rPr>
          <w:rStyle w:val="1166"/>
          <w:color w:val="000000"/>
        </w:rPr>
        <w:t xml:space="preserve">9.</w:t>
      </w:r>
      <w:r>
        <w:rPr>
          <w:rFonts w:ascii="Calibri" w:hAnsi="Calibri"/>
          <w:bCs w:val="0"/>
          <w:caps w:val="0"/>
          <w:szCs w:val="22"/>
        </w:rPr>
        <w:tab/>
      </w:r>
      <w:r>
        <w:rPr>
          <w:rStyle w:val="1166"/>
          <w:color w:val="000000"/>
        </w:rPr>
        <w:t xml:space="preserve">Операции по предоставлению клиентам в аренду индивидуальных сейфовых ячеек</w:t>
      </w:r>
      <w:r>
        <w:tab/>
        <w:t xml:space="preserve">50</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"_Toc170984455"</w:instrText>
      </w:r>
      <w:r>
        <w:rPr>
          <w:rStyle w:val="1166"/>
          <w:color w:val="000000"/>
        </w:rPr>
        <w:instrText xml:space="preserve"> </w:instrText>
      </w:r>
      <w:r>
        <w:rPr>
          <w:rStyle w:val="1166"/>
          <w:color w:val="000000"/>
        </w:rPr>
        <w:fldChar w:fldCharType="separate"/>
      </w:r>
      <w:r>
        <w:rPr>
          <w:rStyle w:val="1166"/>
          <w:color w:val="000000"/>
        </w:rPr>
        <w:t xml:space="preserve">10.</w:t>
      </w:r>
      <w:r>
        <w:rPr>
          <w:rFonts w:ascii="Calibri" w:hAnsi="Calibri"/>
          <w:bCs w:val="0"/>
          <w:caps w:val="0"/>
          <w:szCs w:val="22"/>
        </w:rPr>
        <w:tab/>
      </w:r>
      <w:r>
        <w:rPr>
          <w:rStyle w:val="1166"/>
          <w:color w:val="000000"/>
        </w:rPr>
        <w:t xml:space="preserve">Услуги инкассации</w:t>
      </w:r>
      <w:r>
        <w:tab/>
      </w:r>
      <w:r>
        <w:rPr>
          <w:rStyle w:val="1166"/>
          <w:color w:val="000000"/>
        </w:rPr>
        <w:fldChar w:fldCharType="end"/>
      </w:r>
      <w:r>
        <w:rPr>
          <w:rStyle w:val="1166"/>
          <w:color w:val="000000"/>
          <w:sz w:val="22"/>
          <w:szCs w:val="22"/>
        </w:rPr>
        <w:t xml:space="preserve">51</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"_Toc170984456"</w:instrText>
      </w:r>
      <w:r>
        <w:rPr>
          <w:rStyle w:val="1166"/>
          <w:color w:val="000000"/>
        </w:rPr>
        <w:instrText xml:space="preserve"> </w:instrText>
      </w:r>
      <w:r>
        <w:rPr>
          <w:rStyle w:val="1166"/>
          <w:color w:val="000000"/>
        </w:rPr>
        <w:fldChar w:fldCharType="separate"/>
      </w:r>
      <w:r>
        <w:rPr>
          <w:rStyle w:val="1166"/>
          <w:color w:val="000000"/>
        </w:rPr>
        <w:t xml:space="preserve">11.</w:t>
      </w:r>
      <w:r>
        <w:rPr>
          <w:rFonts w:ascii="Calibri" w:hAnsi="Calibri"/>
          <w:bCs w:val="0"/>
          <w:caps w:val="0"/>
          <w:szCs w:val="22"/>
        </w:rPr>
        <w:tab/>
      </w:r>
      <w:r>
        <w:rPr>
          <w:rStyle w:val="1166"/>
          <w:color w:val="000000"/>
        </w:rPr>
        <w:t xml:space="preserve">Операции по покупке-продаже иностранной валюты</w:t>
      </w:r>
      <w:r>
        <w:tab/>
      </w:r>
      <w:r>
        <w:rPr>
          <w:rStyle w:val="1166"/>
          <w:color w:val="000000"/>
        </w:rPr>
        <w:fldChar w:fldCharType="end"/>
      </w:r>
      <w:r>
        <w:rPr>
          <w:rStyle w:val="1166"/>
          <w:color w:val="000000"/>
          <w:sz w:val="22"/>
          <w:szCs w:val="22"/>
        </w:rPr>
        <w:t xml:space="preserve">52</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"_Toc170984457"</w:instrText>
      </w:r>
      <w:r>
        <w:rPr>
          <w:rStyle w:val="1166"/>
          <w:color w:val="000000"/>
        </w:rPr>
        <w:instrText xml:space="preserve"> </w:instrText>
      </w:r>
      <w:r>
        <w:rPr>
          <w:rStyle w:val="1166"/>
          <w:color w:val="000000"/>
        </w:rPr>
        <w:fldChar w:fldCharType="separate"/>
      </w:r>
      <w:r>
        <w:rPr>
          <w:rStyle w:val="1166"/>
          <w:color w:val="000000"/>
        </w:rPr>
        <w:t xml:space="preserve">12.</w:t>
      </w:r>
      <w:r>
        <w:rPr>
          <w:rFonts w:ascii="Calibri" w:hAnsi="Calibri"/>
          <w:bCs w:val="0"/>
          <w:caps w:val="0"/>
          <w:szCs w:val="22"/>
        </w:rPr>
        <w:tab/>
      </w:r>
      <w:r>
        <w:rPr>
          <w:rStyle w:val="1166"/>
          <w:color w:val="000000"/>
        </w:rPr>
        <w:t xml:space="preserve">Кредитные операции</w:t>
      </w:r>
      <w:r>
        <w:tab/>
      </w:r>
      <w:r>
        <w:rPr>
          <w:rStyle w:val="1166"/>
          <w:color w:val="000000"/>
        </w:rPr>
        <w:fldChar w:fldCharType="end"/>
      </w:r>
      <w:r>
        <w:rPr>
          <w:rStyle w:val="1166"/>
          <w:color w:val="000000"/>
          <w:sz w:val="22"/>
          <w:szCs w:val="22"/>
        </w:rPr>
        <w:t xml:space="preserve">53</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"_Toc170984458"</w:instrText>
      </w:r>
      <w:r>
        <w:rPr>
          <w:rStyle w:val="1166"/>
          <w:color w:val="000000"/>
        </w:rPr>
        <w:instrText xml:space="preserve"> </w:instrText>
      </w:r>
      <w:r>
        <w:rPr>
          <w:rStyle w:val="1166"/>
          <w:color w:val="000000"/>
        </w:rPr>
        <w:fldChar w:fldCharType="separate"/>
      </w:r>
      <w:r>
        <w:rPr>
          <w:rStyle w:val="1166"/>
          <w:color w:val="000000"/>
        </w:rPr>
        <w:t xml:space="preserve">13.</w:t>
      </w:r>
      <w:r>
        <w:rPr>
          <w:rFonts w:ascii="Calibri" w:hAnsi="Calibri"/>
          <w:bCs w:val="0"/>
          <w:caps w:val="0"/>
          <w:szCs w:val="22"/>
        </w:rPr>
        <w:tab/>
      </w:r>
      <w:r>
        <w:rPr>
          <w:rStyle w:val="1166"/>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66"/>
          <w:color w:val="000000"/>
        </w:rPr>
        <w:fldChar w:fldCharType="end"/>
      </w:r>
      <w:r>
        <w:rPr>
          <w:rStyle w:val="1166"/>
          <w:color w:val="000000"/>
          <w:sz w:val="22"/>
          <w:szCs w:val="22"/>
        </w:rPr>
        <w:t xml:space="preserve">64</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"_Toc170984459"</w:instrText>
      </w:r>
      <w:r>
        <w:rPr>
          <w:rStyle w:val="1166"/>
          <w:color w:val="000000"/>
        </w:rPr>
        <w:instrText xml:space="preserve"> </w:instrText>
      </w:r>
      <w:r>
        <w:rPr>
          <w:rStyle w:val="1166"/>
          <w:color w:val="000000"/>
        </w:rPr>
        <w:fldChar w:fldCharType="separate"/>
      </w:r>
      <w:r>
        <w:rPr>
          <w:rStyle w:val="1166"/>
          <w:color w:val="000000"/>
        </w:rPr>
        <w:t xml:space="preserve">14. Депозитарные услуги**</w:t>
      </w:r>
      <w:r>
        <w:tab/>
      </w:r>
      <w:r>
        <w:rPr>
          <w:rStyle w:val="1166"/>
          <w:color w:val="000000"/>
        </w:rPr>
        <w:fldChar w:fldCharType="end"/>
      </w:r>
      <w:r>
        <w:rPr>
          <w:rStyle w:val="1166"/>
          <w:color w:val="000000"/>
          <w:sz w:val="22"/>
          <w:szCs w:val="22"/>
        </w:rPr>
        <w:t xml:space="preserve">66</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"_Toc170984460"</w:instrText>
      </w:r>
      <w:r>
        <w:rPr>
          <w:rStyle w:val="1166"/>
          <w:color w:val="000000"/>
        </w:rPr>
        <w:instrText xml:space="preserve"> </w:instrText>
      </w:r>
      <w:r>
        <w:rPr>
          <w:rStyle w:val="1166"/>
          <w:color w:val="000000"/>
        </w:rPr>
        <w:fldChar w:fldCharType="separate"/>
      </w:r>
      <w:r>
        <w:rPr>
          <w:rStyle w:val="1166"/>
          <w:color w:val="000000"/>
        </w:rPr>
        <w:t xml:space="preserve">15. Операции с монетами из драгоценных металлов</w:t>
      </w:r>
      <w:r>
        <w:tab/>
      </w:r>
      <w:r>
        <w:rPr>
          <w:rStyle w:val="1166"/>
          <w:color w:val="000000"/>
        </w:rPr>
        <w:fldChar w:fldCharType="end"/>
      </w:r>
      <w:r>
        <w:rPr>
          <w:rStyle w:val="1166"/>
          <w:color w:val="000000"/>
        </w:rPr>
        <w:t xml:space="preserve">71</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"_Toc170984461"</w:instrText>
      </w:r>
      <w:r>
        <w:rPr>
          <w:rStyle w:val="1166"/>
          <w:color w:val="000000"/>
        </w:rPr>
        <w:instrText xml:space="preserve"> </w:instrText>
      </w:r>
      <w:r>
        <w:rPr>
          <w:rStyle w:val="1166"/>
          <w:color w:val="000000"/>
        </w:rPr>
        <w:fldChar w:fldCharType="separate"/>
      </w:r>
      <w:r>
        <w:rPr>
          <w:rStyle w:val="1166"/>
          <w:color w:val="000000"/>
        </w:rPr>
        <w:t xml:space="preserve">16. Операции с драгоценными металлами</w:t>
      </w:r>
      <w:r>
        <w:tab/>
      </w:r>
      <w:r>
        <w:rPr>
          <w:rStyle w:val="1166"/>
          <w:color w:val="000000"/>
        </w:rPr>
        <w:fldChar w:fldCharType="end"/>
      </w:r>
      <w:r>
        <w:rPr>
          <w:rStyle w:val="1166"/>
          <w:color w:val="000000"/>
          <w:sz w:val="22"/>
          <w:szCs w:val="22"/>
        </w:rPr>
        <w:t xml:space="preserve">71</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"_Toc170984462"</w:instrText>
      </w:r>
      <w:r>
        <w:rPr>
          <w:rStyle w:val="1166"/>
          <w:color w:val="000000"/>
        </w:rPr>
        <w:instrText xml:space="preserve"> </w:instrText>
      </w:r>
      <w:r>
        <w:rPr>
          <w:rStyle w:val="1166"/>
          <w:color w:val="000000"/>
        </w:rPr>
        <w:fldChar w:fldCharType="separate"/>
      </w:r>
      <w:r>
        <w:rPr>
          <w:rStyle w:val="1166"/>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66"/>
          <w:color w:val="000000"/>
        </w:rPr>
        <w:fldChar w:fldCharType="end"/>
      </w:r>
      <w:r>
        <w:rPr>
          <w:rStyle w:val="1166"/>
          <w:color w:val="000000"/>
          <w:sz w:val="22"/>
          <w:szCs w:val="22"/>
        </w:rPr>
        <w:t xml:space="preserve">72</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"_Toc170984463"</w:instrText>
      </w:r>
      <w:r>
        <w:rPr>
          <w:rStyle w:val="1166"/>
          <w:color w:val="000000"/>
        </w:rPr>
        <w:instrText xml:space="preserve"> </w:instrText>
      </w:r>
      <w:r>
        <w:rPr>
          <w:rStyle w:val="1166"/>
          <w:color w:val="000000"/>
        </w:rPr>
        <w:fldChar w:fldCharType="separate"/>
      </w:r>
      <w:r>
        <w:rPr>
          <w:rStyle w:val="1166"/>
          <w:color w:val="000000"/>
        </w:rPr>
        <w:t xml:space="preserve">18. Операци</w:t>
      </w:r>
      <w:bookmarkStart w:id="3" w:name="_Hlt170984464"/>
      <w:r>
        <w:rPr>
          <w:rStyle w:val="1166"/>
          <w:color w:val="000000"/>
        </w:rPr>
        <w:t xml:space="preserve">и</w:t>
      </w:r>
      <w:bookmarkEnd w:id="3"/>
      <w:r>
        <w:rPr>
          <w:rStyle w:val="1166"/>
          <w:color w:val="000000"/>
        </w:rPr>
        <w:t xml:space="preserve"> с использованием цифрового рубля</w:t>
      </w:r>
      <w:r>
        <w:tab/>
      </w:r>
      <w:r>
        <w:rPr>
          <w:rStyle w:val="1166"/>
          <w:color w:val="000000"/>
        </w:rPr>
        <w:fldChar w:fldCharType="end"/>
      </w:r>
      <w:r>
        <w:rPr>
          <w:rStyle w:val="1166"/>
          <w:color w:val="000000"/>
          <w:sz w:val="22"/>
          <w:szCs w:val="22"/>
        </w:rPr>
        <w:t xml:space="preserve">75</w:t>
      </w:r>
      <w:r>
        <w:rPr>
          <w:rFonts w:ascii="Calibri" w:hAnsi="Calibri"/>
          <w:bCs w:val="0"/>
          <w:caps w:val="0"/>
          <w:szCs w:val="22"/>
          <w:lang w:val="en-US"/>
        </w:rPr>
      </w:r>
      <w:r>
        <w:rPr>
          <w:rFonts w:ascii="Calibri" w:hAnsi="Calibri"/>
          <w:bCs w:val="0"/>
          <w:caps w:val="0"/>
          <w:szCs w:val="22"/>
          <w:lang w:val="en-US"/>
        </w:rPr>
      </w:r>
    </w:p>
    <w:p>
      <w:pPr>
        <w:pStyle w:val="1168"/>
        <w:tabs>
          <w:tab w:val="left" w:pos="480" w:leader="none"/>
          <w:tab w:val="right" w:pos="9889" w:leader="dot"/>
        </w:tabs>
        <w:rPr>
          <w:rStyle w:val="116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66"/>
        </w:rPr>
      </w:r>
      <w:r>
        <w:rPr>
          <w:rStyle w:val="1166"/>
        </w:rPr>
      </w:r>
    </w:p>
    <w:p>
      <w:pPr>
        <w:pStyle w:val="116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rPr>
          <w:lang w:val="en-US" w:eastAsia="en-US"/>
        </w:rPr>
      </w:pPr>
      <w:r>
        <w:rPr>
          <w:lang w:val="en-US" w:eastAsia="en-US"/>
        </w:rPr>
      </w:r>
      <w:r>
        <w:rPr>
          <w:lang w:val="en-US" w:eastAsia="en-US"/>
        </w:rPr>
      </w:r>
      <w:r>
        <w:rPr>
          <w:lang w:val="en-US" w:eastAsia="en-US"/>
        </w:rPr>
      </w:r>
    </w:p>
    <w:p>
      <w:pPr>
        <w:pStyle w:val="1148"/>
      </w:pPr>
      <w:r/>
      <w:r/>
    </w:p>
    <w:p>
      <w:pPr>
        <w:pStyle w:val="1148"/>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52"/>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4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4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4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1.1.7.1.</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w:t>
            </w: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p>
            <w:pPr>
              <w:jc w:val="center"/>
              <w:spacing w:before="28" w:beforeAutospacing="0" w:after="0" w:afterAutospacing="0" w:line="240" w:lineRule="auto"/>
              <w:rPr>
                <w:rFonts w:ascii="Times New Roman" w:hAnsi="Times New Roman"/>
                <w:sz w:val="20"/>
                <w:szCs w:val="20"/>
                <w14:ligatures w14:val="none"/>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highlight w:val="none"/>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4"/>
                <w:szCs w:val="24"/>
              </w:rPr>
              <w:t xml:space="preserve">.</w:t>
            </w:r>
            <w:r>
              <w:rPr>
                <w:rFonts w:ascii="Times New Roman" w:hAnsi="Times New Roman"/>
                <w:highlight w:val="none"/>
              </w:rPr>
            </w:r>
            <w:r>
              <w:rPr>
                <w:rFonts w:ascii="Times New Roman" w:hAnsi="Times New Roman"/>
                <w:highlight w:val="none"/>
              </w:rPr>
            </w:r>
          </w:p>
          <w:p>
            <w:pPr>
              <w:pStyle w:val="1148"/>
              <w:jc w:val="center"/>
              <w:spacing w:after="120"/>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4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8"/>
              <w:jc w:val="both"/>
              <w:rPr>
                <w:sz w:val="20"/>
                <w:szCs w:val="20"/>
              </w:rPr>
            </w:pPr>
            <w:r>
              <w:rPr>
                <w:sz w:val="20"/>
                <w:szCs w:val="20"/>
              </w:rPr>
              <w:t xml:space="preserve">- перечисление алиментов, пенсий,</w:t>
            </w:r>
            <w:r>
              <w:rPr>
                <w:sz w:val="20"/>
                <w:szCs w:val="20"/>
              </w:rPr>
            </w:r>
            <w:r>
              <w:rPr>
                <w:sz w:val="20"/>
                <w:szCs w:val="20"/>
              </w:rPr>
            </w:r>
          </w:p>
          <w:p>
            <w:pPr>
              <w:pStyle w:val="114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4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4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2"/>
                <w:szCs w:val="22"/>
              </w:rPr>
            </w:pPr>
            <w:r>
              <w:rPr>
                <w:bCs/>
                <w:sz w:val="22"/>
                <w:szCs w:val="22"/>
              </w:rPr>
              <w:t xml:space="preserve">500 руб.</w:t>
            </w:r>
            <w:r>
              <w:rPr>
                <w:bCs/>
                <w:sz w:val="22"/>
                <w:szCs w:val="22"/>
              </w:rPr>
            </w:r>
            <w:r>
              <w:rPr>
                <w:bCs/>
                <w:sz w:val="22"/>
                <w:szCs w:val="22"/>
              </w:rPr>
            </w:r>
          </w:p>
          <w:p>
            <w:pPr>
              <w:pStyle w:val="114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4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4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4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4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4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firstLine="52"/>
              <w:jc w:val="both"/>
              <w:spacing w:before="40"/>
              <w:rPr>
                <w:bCs/>
                <w:sz w:val="20"/>
                <w:szCs w:val="20"/>
              </w:rPr>
            </w:pPr>
            <w:r>
              <w:rPr>
                <w:bCs/>
                <w:sz w:val="20"/>
                <w:szCs w:val="20"/>
              </w:rPr>
            </w:r>
            <w:r>
              <w:rPr>
                <w:bCs/>
                <w:sz w:val="20"/>
                <w:szCs w:val="20"/>
              </w:rPr>
            </w:r>
            <w:r>
              <w:rPr>
                <w:bCs/>
                <w:sz w:val="20"/>
                <w:szCs w:val="20"/>
              </w:rPr>
            </w:r>
          </w:p>
          <w:p>
            <w:pPr>
              <w:pStyle w:val="114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4"/>
                <w:szCs w:val="24"/>
              </w:rPr>
              <w:t xml:space="preserve">з</w:t>
            </w:r>
            <w:r>
              <w:rPr>
                <w:rFonts w:ascii="Times New Roman" w:hAnsi="Times New Roman"/>
                <w:sz w:val="20"/>
                <w:szCs w:val="20"/>
              </w:rPr>
              <w:t xml:space="preserve">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4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4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rFonts w:eastAsia="Calibri"/>
                <w:sz w:val="22"/>
                <w:szCs w:val="22"/>
                <w:highlight w:val="none"/>
                <w:lang w:eastAsia="en-US"/>
              </w:rPr>
              <w:t xml:space="preserve"> -</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rFonts w:eastAsia="Calibri"/>
                <w:sz w:val="20"/>
                <w:szCs w:val="20"/>
              </w:rPr>
            </w:pPr>
            <w:r>
              <w:rPr>
                <w:rFonts w:ascii="Times New Roman" w:hAnsi="Times New Roman"/>
                <w:sz w:val="20"/>
                <w:szCs w:val="20"/>
                <w:highlight w:val="none"/>
              </w:rPr>
            </w:r>
            <w:r>
              <w:rPr>
                <w:rFonts w:eastAsia="Calibri"/>
                <w:sz w:val="20"/>
                <w:szCs w:val="20"/>
              </w:rPr>
            </w:r>
            <w:r>
              <w:rPr>
                <w:rFonts w:eastAsia="Calibri"/>
                <w:sz w:val="20"/>
                <w:szCs w:val="20"/>
              </w:rPr>
            </w:r>
          </w:p>
          <w:p>
            <w:pPr>
              <w:pStyle w:val="1148"/>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eastAsia="Calibri"/>
                <w:sz w:val="20"/>
                <w:szCs w:val="20"/>
              </w:rPr>
            </w:r>
            <w:r>
              <w:rPr>
                <w:rFonts w:eastAsia="Calibri"/>
                <w:sz w:val="20"/>
                <w:szCs w:val="20"/>
              </w:rPr>
            </w:r>
          </w:p>
          <w:p>
            <w:pPr>
              <w:pStyle w:val="1148"/>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0,33%</w:t>
            </w:r>
            <w:r>
              <w:rPr>
                <w:sz w:val="20"/>
                <w:szCs w:val="20"/>
              </w:rPr>
            </w:r>
            <w:r>
              <w:rPr>
                <w:sz w:val="20"/>
                <w:szCs w:val="20"/>
              </w:rPr>
            </w:r>
          </w:p>
          <w:p>
            <w:pPr>
              <w:pStyle w:val="1148"/>
              <w:jc w:val="center"/>
              <w:rPr>
                <w:sz w:val="20"/>
                <w:szCs w:val="20"/>
              </w:rPr>
            </w:pPr>
            <w:r>
              <w:rPr>
                <w:sz w:val="20"/>
                <w:szCs w:val="20"/>
              </w:rPr>
              <w:t xml:space="preserve">минимум </w:t>
            </w:r>
            <w:r>
              <w:rPr>
                <w:sz w:val="20"/>
                <w:szCs w:val="20"/>
              </w:rPr>
            </w:r>
            <w:r>
              <w:rPr>
                <w:sz w:val="20"/>
                <w:szCs w:val="20"/>
              </w:rPr>
            </w:r>
          </w:p>
          <w:p>
            <w:pPr>
              <w:pStyle w:val="1148"/>
              <w:jc w:val="center"/>
              <w:rPr>
                <w:sz w:val="20"/>
                <w:szCs w:val="20"/>
              </w:rPr>
            </w:pPr>
            <w:r>
              <w:rPr>
                <w:sz w:val="20"/>
                <w:szCs w:val="20"/>
              </w:rPr>
              <w:t xml:space="preserve">25 долл. США,</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4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4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4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4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4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48"/>
        <w:rPr>
          <w:lang w:eastAsia="en-US"/>
        </w:rPr>
      </w:pPr>
      <w:r>
        <w:rPr>
          <w:lang w:eastAsia="en-US"/>
        </w:rPr>
      </w:r>
      <w:r>
        <w:rPr>
          <w:lang w:eastAsia="en-US"/>
        </w:rPr>
      </w:r>
      <w:r>
        <w:rPr>
          <w:lang w:eastAsia="en-US"/>
        </w:rPr>
      </w:r>
    </w:p>
    <w:p>
      <w:pPr>
        <w:pStyle w:val="114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4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4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4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5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bCs/>
                <w:sz w:val="20"/>
                <w:szCs w:val="20"/>
              </w:rPr>
            </w:pPr>
            <w:r>
              <w:rPr>
                <w:b/>
                <w:bCs/>
                <w:sz w:val="20"/>
                <w:szCs w:val="20"/>
              </w:rPr>
              <w:t xml:space="preserve">№</w:t>
            </w:r>
            <w:r>
              <w:rPr>
                <w:b/>
                <w:bCs/>
                <w:sz w:val="20"/>
                <w:szCs w:val="20"/>
              </w:rPr>
            </w:r>
            <w:r>
              <w:rPr>
                <w:b/>
                <w:bCs/>
                <w:sz w:val="20"/>
                <w:szCs w:val="20"/>
              </w:rPr>
            </w:r>
          </w:p>
          <w:p>
            <w:pPr>
              <w:pStyle w:val="114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sz w:val="20"/>
                <w:szCs w:val="20"/>
              </w:rPr>
            </w:r>
            <w:r>
              <w:rPr>
                <w:rFonts w:ascii="Times New Roman" w:hAnsi="Times New Roman"/>
                <w:sz w:val="20"/>
                <w:szCs w:val="20"/>
              </w:rPr>
            </w:r>
          </w:p>
          <w:p>
            <w:pPr>
              <w:pStyle w:val="1148"/>
              <w:jc w:val="center"/>
              <w:rPr>
                <w:sz w:val="20"/>
                <w:szCs w:val="20"/>
                <w:lang w:eastAsia="en-US"/>
              </w:rPr>
            </w:pP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tabs>
                <w:tab w:val="left" w:pos="0" w:leader="none"/>
                <w:tab w:val="left" w:pos="1134" w:leader="none"/>
              </w:tabs>
              <w:rPr>
                <w:sz w:val="20"/>
                <w:szCs w:val="20"/>
                <w:highlight w:val="none"/>
                <w:lang w:eastAsia="en-US"/>
              </w:rPr>
            </w:pPr>
            <w:r>
              <w:rPr>
                <w:sz w:val="20"/>
                <w:szCs w:val="20"/>
                <w:lang w:eastAsia="en-US"/>
              </w:rPr>
              <w:t xml:space="preserve">Для определения размера тарифа по каждой операции рассчитывается Суммарный объем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highlight w:val="none"/>
                <w:lang w:eastAsia="en-US"/>
              </w:rPr>
            </w:r>
          </w:p>
          <w:p>
            <w:pPr>
              <w:jc w:val="both"/>
              <w:tabs>
                <w:tab w:val="left" w:pos="0" w:leader="none"/>
                <w:tab w:val="left" w:pos="1134" w:leader="none"/>
              </w:tabs>
              <w:rPr>
                <w:sz w:val="20"/>
                <w:szCs w:val="20"/>
                <w:highlight w:val="none"/>
                <w:lang w:eastAsia="en-US"/>
              </w:rPr>
            </w:pPr>
            <w:r>
              <w:rPr>
                <w:sz w:val="20"/>
                <w:szCs w:val="20"/>
                <w:highlight w:val="none"/>
                <w:lang w:eastAsia="en-US"/>
              </w:rPr>
            </w:r>
            <w:r>
              <w:rPr>
                <w:sz w:val="20"/>
                <w:szCs w:val="20"/>
                <w:highlight w:val="none"/>
                <w:lang w:eastAsia="en-US"/>
              </w:rPr>
            </w:r>
          </w:p>
          <w:p>
            <w:pPr>
              <w:ind w:left="0" w:right="0" w:firstLine="0"/>
              <w:jc w:val="both"/>
              <w:spacing w:before="0" w:beforeAutospacing="0" w:after="0" w:line="240" w:lineRule="auto"/>
              <w:rPr>
                <w:rFonts w:ascii="Times New Roman" w:hAnsi="Times New Roman" w:eastAsia="Times New Roman"/>
                <w:sz w:val="24"/>
                <w:szCs w:val="24"/>
                <w:highlight w:val="none"/>
              </w:rPr>
            </w:pP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eastAsia="Times New Roman"/>
                <w:sz w:val="20"/>
                <w:szCs w:val="20"/>
                <w:highlight w:val="none"/>
                <w:lang w:eastAsia="ru-RU"/>
              </w:rPr>
              <w:t xml:space="preserve">»</w:t>
            </w:r>
            <w:r>
              <w:rPr>
                <w:rFonts w:ascii="Times New Roman" w:hAnsi="Times New Roman" w:eastAsia="Times New Roman"/>
                <w:sz w:val="20"/>
                <w:szCs w:val="20"/>
                <w:highlight w:val="none"/>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tabs>
                <w:tab w:val="left" w:pos="0" w:leader="none"/>
                <w:tab w:val="left" w:pos="1134" w:leader="none"/>
              </w:tabs>
              <w:rPr>
                <w:sz w:val="20"/>
                <w:szCs w:val="20"/>
                <w:lang w:eastAsia="en-US"/>
              </w:rPr>
            </w:pPr>
            <w:r>
              <w:rPr>
                <w:sz w:val="20"/>
                <w:szCs w:val="20"/>
                <w:highlight w:val="none"/>
                <w:lang w:eastAsia="en-US"/>
              </w:rPr>
            </w:r>
            <w:r>
              <w:rPr>
                <w:sz w:val="20"/>
                <w:szCs w:val="20"/>
                <w:highlight w:val="none"/>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w:t>
            </w:r>
            <w:r>
              <w:rPr>
                <w:sz w:val="20"/>
                <w:szCs w:val="20"/>
                <w:lang w:eastAsia="en-US"/>
              </w:rPr>
            </w:r>
          </w:p>
          <w:p>
            <w:pPr>
              <w:jc w:val="both"/>
              <w:tabs>
                <w:tab w:val="left" w:pos="0" w:leader="none"/>
                <w:tab w:val="left" w:pos="1134" w:leader="none"/>
              </w:tabs>
              <w:rPr>
                <w:sz w:val="20"/>
                <w:szCs w:val="20"/>
                <w:lang w:eastAsia="en-US"/>
              </w:rPr>
            </w:pPr>
            <w:r>
              <w:rPr>
                <w:sz w:val="20"/>
                <w:szCs w:val="20"/>
                <w:lang w:eastAsia="en-US"/>
              </w:rPr>
              <w:t xml:space="preserve">Суммарного  объема.</w:t>
            </w:r>
            <w:r>
              <w:rPr>
                <w:sz w:val="20"/>
                <w:szCs w:val="20"/>
                <w:lang w:eastAsia="en-US"/>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p>
            <w:pPr>
              <w:pStyle w:val="1148"/>
              <w:jc w:val="center"/>
              <w:spacing w:before="40"/>
              <w:rPr>
                <w:sz w:val="20"/>
                <w:szCs w:val="20"/>
                <w:lang w:eastAsia="en-US"/>
              </w:rPr>
            </w:pP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highlight w:val="none"/>
                <w:lang w:eastAsia="en-US"/>
              </w:rPr>
            </w:pPr>
            <w:r>
              <w:rPr>
                <w:sz w:val="20"/>
                <w:szCs w:val="20"/>
                <w:lang w:eastAsia="en-US"/>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highlight w:val="none"/>
                <w:lang w:eastAsia="en-US"/>
              </w:rPr>
            </w:r>
          </w:p>
          <w:p>
            <w:pPr>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p>
          <w:p>
            <w:pPr>
              <w:ind w:left="0" w:right="0" w:firstLine="0"/>
              <w:jc w:val="both"/>
              <w:spacing w:before="0" w:beforeAutospacing="0" w:after="0" w:line="240" w:lineRule="auto"/>
              <w:rPr>
                <w:rFonts w:ascii="Times New Roman" w:hAnsi="Times New Roman" w:eastAsia="Times New Roman"/>
                <w:sz w:val="24"/>
                <w:szCs w:val="24"/>
                <w:highlight w:val="none"/>
              </w:rPr>
            </w:pP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eastAsia="Times New Roman"/>
                <w:sz w:val="20"/>
                <w:szCs w:val="20"/>
                <w:highlight w:val="none"/>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40"/>
              <w:tabs>
                <w:tab w:val="left" w:pos="0" w:leader="none"/>
                <w:tab w:val="left" w:pos="1134" w:leader="none"/>
              </w:tabs>
              <w:rPr>
                <w:sz w:val="20"/>
                <w:szCs w:val="20"/>
                <w:lang w:eastAsia="en-US"/>
              </w:rPr>
            </w:pPr>
            <w:r>
              <w:rPr>
                <w:sz w:val="20"/>
                <w:szCs w:val="20"/>
                <w:highlight w:val="none"/>
                <w:lang w:eastAsia="en-US"/>
              </w:rPr>
            </w:r>
            <w:r>
              <w:rPr>
                <w:sz w:val="20"/>
                <w:szCs w:val="20"/>
                <w:highlight w:val="none"/>
                <w:lang w:eastAsia="en-US"/>
              </w:rPr>
            </w:r>
          </w:p>
          <w:p>
            <w:pPr>
              <w:pStyle w:val="1148"/>
              <w:jc w:val="both"/>
              <w:tabs>
                <w:tab w:val="left" w:pos="0" w:leader="none"/>
                <w:tab w:val="left" w:pos="1134" w:leader="none"/>
              </w:tabs>
              <w:rPr>
                <w:sz w:val="20"/>
                <w:szCs w:val="20"/>
                <w:highlight w:val="none"/>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highlight w:val="none"/>
                <w:lang w:eastAsia="en-US"/>
              </w:rPr>
            </w:r>
          </w:p>
          <w:p>
            <w:pPr>
              <w:jc w:val="both"/>
              <w:tabs>
                <w:tab w:val="left" w:pos="0" w:leader="none"/>
                <w:tab w:val="left" w:pos="1134" w:leader="none"/>
              </w:tabs>
              <w:rPr>
                <w:sz w:val="20"/>
                <w:szCs w:val="20"/>
                <w:lang w:eastAsia="en-US"/>
              </w:rPr>
            </w:pPr>
            <w:r>
              <w:rPr>
                <w:sz w:val="20"/>
                <w:szCs w:val="20"/>
                <w:highlight w:val="none"/>
                <w:lang w:eastAsia="en-US"/>
              </w:rPr>
            </w:r>
            <w:r>
              <w:rPr>
                <w:sz w:val="20"/>
                <w:szCs w:val="20"/>
                <w:highlight w:val="none"/>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Суммарного  объема.</w:t>
            </w:r>
            <w:r>
              <w:rPr>
                <w:sz w:val="20"/>
                <w:szCs w:val="20"/>
                <w:lang w:eastAsia="en-US"/>
              </w:rPr>
            </w:r>
            <w:r>
              <w:rPr>
                <w:sz w:val="20"/>
                <w:szCs w:val="20"/>
                <w:lang w:eastAsia="en-US"/>
              </w:rPr>
            </w:r>
          </w:p>
          <w:p>
            <w:pPr>
              <w:pStyle w:val="114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4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4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4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4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4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4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4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contextualSpacing/>
              <w:jc w:val="center"/>
              <w:spacing w:before="40"/>
              <w:rPr>
                <w:sz w:val="20"/>
                <w:szCs w:val="20"/>
              </w:rPr>
            </w:pPr>
            <w:r>
              <w:rPr>
                <w:sz w:val="20"/>
                <w:szCs w:val="20"/>
              </w:rPr>
              <w:t xml:space="preserve">0,15 % </w:t>
            </w:r>
            <w:r>
              <w:rPr>
                <w:sz w:val="20"/>
                <w:szCs w:val="20"/>
              </w:rPr>
            </w:r>
            <w:r>
              <w:rPr>
                <w:sz w:val="20"/>
                <w:szCs w:val="20"/>
              </w:rPr>
            </w:r>
          </w:p>
          <w:p>
            <w:pPr>
              <w:pStyle w:val="1148"/>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4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4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4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4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4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4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4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4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4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4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4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4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3 000 руб.</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0,15 % </w:t>
            </w:r>
            <w:r>
              <w:rPr>
                <w:sz w:val="20"/>
                <w:szCs w:val="20"/>
              </w:rPr>
            </w:r>
            <w:r>
              <w:rPr>
                <w:sz w:val="20"/>
                <w:szCs w:val="20"/>
              </w:rPr>
            </w:r>
          </w:p>
          <w:p>
            <w:pPr>
              <w:pStyle w:val="1148"/>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rPr>
                <w:sz w:val="20"/>
                <w:szCs w:val="20"/>
              </w:rPr>
            </w:pPr>
            <w:r>
              <w:rPr>
                <w:sz w:val="20"/>
                <w:szCs w:val="20"/>
              </w:rPr>
              <w:t xml:space="preserve">Комиссия взимается:</w:t>
            </w:r>
            <w:r>
              <w:rPr>
                <w:sz w:val="20"/>
                <w:szCs w:val="20"/>
              </w:rPr>
            </w:r>
            <w:r>
              <w:rPr>
                <w:sz w:val="20"/>
                <w:szCs w:val="20"/>
              </w:rPr>
            </w:r>
          </w:p>
          <w:p>
            <w:pPr>
              <w:pStyle w:val="114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4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48"/>
              <w:contextualSpacing/>
              <w:jc w:val="center"/>
              <w:rPr>
                <w:sz w:val="20"/>
                <w:szCs w:val="20"/>
              </w:rPr>
            </w:pPr>
            <w:r>
              <w:rPr>
                <w:sz w:val="20"/>
                <w:szCs w:val="20"/>
              </w:rPr>
              <w:t xml:space="preserve">0,12%</w:t>
            </w:r>
            <w:r>
              <w:rPr>
                <w:sz w:val="20"/>
                <w:szCs w:val="20"/>
              </w:rPr>
            </w:r>
            <w:r>
              <w:rPr>
                <w:sz w:val="20"/>
                <w:szCs w:val="20"/>
              </w:rPr>
            </w:r>
          </w:p>
          <w:p>
            <w:pPr>
              <w:pStyle w:val="1148"/>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48"/>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48"/>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8"/>
              <w:jc w:val="both"/>
              <w:rPr>
                <w:b/>
                <w:sz w:val="20"/>
                <w:szCs w:val="20"/>
              </w:rPr>
            </w:pPr>
            <w:r>
              <w:rPr>
                <w:b/>
                <w:sz w:val="20"/>
                <w:szCs w:val="20"/>
              </w:rPr>
              <w:t xml:space="preserve">Комиссия не взимается:</w:t>
            </w:r>
            <w:r>
              <w:rPr>
                <w:b/>
                <w:sz w:val="20"/>
                <w:szCs w:val="20"/>
              </w:rPr>
            </w:r>
            <w:r>
              <w:rPr>
                <w:b/>
                <w:sz w:val="20"/>
                <w:szCs w:val="20"/>
              </w:rPr>
            </w:r>
          </w:p>
          <w:p>
            <w:pPr>
              <w:pStyle w:val="114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4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4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4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4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4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4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spacing w:after="120"/>
              <w:rPr>
                <w:sz w:val="20"/>
                <w:szCs w:val="20"/>
              </w:rPr>
            </w:pPr>
            <w:r>
              <w:rPr>
                <w:sz w:val="20"/>
                <w:szCs w:val="20"/>
              </w:rPr>
            </w:r>
            <w:r>
              <w:rPr>
                <w:sz w:val="20"/>
                <w:szCs w:val="20"/>
              </w:rPr>
            </w:r>
            <w:r>
              <w:rPr>
                <w:sz w:val="20"/>
                <w:szCs w:val="20"/>
              </w:rPr>
            </w:r>
          </w:p>
        </w:tc>
      </w:tr>
    </w:tbl>
    <w:p>
      <w:pPr>
        <w:pStyle w:val="1148"/>
      </w:pPr>
      <w:r/>
      <w:r/>
    </w:p>
    <w:p>
      <w:pPr>
        <w:pStyle w:val="114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4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4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4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4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4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4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4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4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4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4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4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4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4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4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4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4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4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4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4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48"/>
        <w:rPr>
          <w:bCs/>
          <w:i/>
          <w:sz w:val="20"/>
          <w:szCs w:val="20"/>
        </w:rPr>
      </w:pPr>
      <w:r>
        <w:rPr>
          <w:bCs/>
          <w:i/>
          <w:sz w:val="20"/>
          <w:szCs w:val="20"/>
        </w:rPr>
        <w:t xml:space="preserve">4.     При проверке СПД:</w:t>
      </w:r>
      <w:r>
        <w:rPr>
          <w:bCs/>
          <w:i/>
          <w:sz w:val="20"/>
          <w:szCs w:val="20"/>
        </w:rPr>
      </w:r>
      <w:r>
        <w:rPr>
          <w:bCs/>
          <w:i/>
          <w:sz w:val="20"/>
          <w:szCs w:val="20"/>
        </w:rPr>
      </w:r>
    </w:p>
    <w:p>
      <w:pPr>
        <w:pStyle w:val="114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4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4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4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4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4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4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4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4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4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4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4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4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4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4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4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48"/>
      </w:pPr>
      <w:r/>
      <w:bookmarkStart w:id="32" w:name="_Toc341179150"/>
      <w:r/>
      <w:bookmarkStart w:id="33" w:name="_Toc341179207"/>
      <w:r/>
      <w:r/>
    </w:p>
    <w:p>
      <w:pPr>
        <w:pStyle w:val="1152"/>
        <w:numPr>
          <w:ilvl w:val="0"/>
          <w:numId w:val="16"/>
        </w:numPr>
      </w:pPr>
      <w:r/>
      <w:bookmarkStart w:id="34" w:name="_Toc170984450"/>
      <w:r>
        <w:t xml:space="preserve">Документарные операции</w:t>
      </w:r>
      <w:bookmarkEnd w:id="32"/>
      <w:r/>
      <w:bookmarkEnd w:id="33"/>
      <w:r/>
      <w:bookmarkEnd w:id="34"/>
      <w:r/>
      <w:r/>
    </w:p>
    <w:p>
      <w:pPr>
        <w:pStyle w:val="114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
                <w:sz w:val="22"/>
                <w:szCs w:val="22"/>
              </w:rPr>
            </w:pPr>
            <w:r>
              <w:rPr>
                <w:b/>
                <w:sz w:val="22"/>
                <w:szCs w:val="22"/>
              </w:rPr>
              <w:t xml:space="preserve">№</w:t>
            </w:r>
            <w:r>
              <w:rPr>
                <w:b/>
                <w:sz w:val="22"/>
                <w:szCs w:val="22"/>
              </w:rPr>
            </w:r>
            <w:r>
              <w:rPr>
                <w:b/>
                <w:sz w:val="22"/>
                <w:szCs w:val="22"/>
              </w:rPr>
            </w:r>
          </w:p>
          <w:p>
            <w:pPr>
              <w:pStyle w:val="114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4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4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4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4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4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4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4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4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4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6.2.2.</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48"/>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4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4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48"/>
      </w:pPr>
      <w:r/>
      <w:r/>
    </w:p>
    <w:p>
      <w:pPr>
        <w:pStyle w:val="115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4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4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8"/>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4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8"/>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4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4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4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48"/>
              <w:jc w:val="center"/>
              <w:rPr>
                <w:sz w:val="20"/>
                <w:szCs w:val="20"/>
              </w:rPr>
            </w:pPr>
            <w:r>
              <w:rPr>
                <w:sz w:val="20"/>
                <w:szCs w:val="20"/>
              </w:rPr>
              <w:t xml:space="preserve">5 000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4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4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4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4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4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8"/>
              <w:jc w:val="both"/>
              <w:spacing w:before="40"/>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4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4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4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4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4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4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4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4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4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4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4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4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4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4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4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48"/>
            </w:pPr>
            <w:r>
              <w:t xml:space="preserve">Сервис «SMS информирование»</w:t>
            </w: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4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4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4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4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4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4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4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48"/>
        <w:jc w:val="both"/>
        <w:rPr>
          <w:bCs/>
          <w:iCs/>
          <w:sz w:val="20"/>
          <w:szCs w:val="20"/>
        </w:rPr>
      </w:pPr>
      <w:r>
        <w:rPr>
          <w:bCs/>
          <w:iCs/>
          <w:sz w:val="20"/>
          <w:szCs w:val="20"/>
        </w:rPr>
      </w:r>
      <w:r>
        <w:rPr>
          <w:bCs/>
          <w:iCs/>
          <w:sz w:val="20"/>
          <w:szCs w:val="20"/>
        </w:rPr>
      </w:r>
      <w:r>
        <w:rPr>
          <w:bCs/>
          <w:iCs/>
          <w:sz w:val="20"/>
          <w:szCs w:val="20"/>
        </w:rPr>
      </w:r>
    </w:p>
    <w:p>
      <w:pPr>
        <w:pStyle w:val="114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4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5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4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4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4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4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4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48"/>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4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4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4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г. Бугульма: </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80"/>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48"/>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48"/>
              <w:ind w:left="-51" w:firstLine="51"/>
              <w:jc w:val="center"/>
              <w:rPr>
                <w:rFonts w:eastAsia="Calibri"/>
                <w:sz w:val="20"/>
                <w:szCs w:val="20"/>
                <w:lang w:eastAsia="en-US"/>
              </w:rPr>
            </w:pPr>
            <w:r>
              <w:rPr>
                <w:rFonts w:eastAsia="Calibri"/>
                <w:sz w:val="20"/>
                <w:szCs w:val="20"/>
                <w:lang w:eastAsia="en-US"/>
              </w:rPr>
              <w:t xml:space="preserve">до 600 000,00 </w:t>
            </w:r>
            <w:r>
              <w:rPr>
                <w:rStyle w:val="1180"/>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минимум 510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0,10% от суммы с 600 000,01</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0,05% от суммы с 5 000 000,01</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4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4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0,2% от суммы,</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r>
              <w:rPr>
                <w:rFonts w:eastAsia="Calibri"/>
                <w:sz w:val="20"/>
                <w:szCs w:val="20"/>
                <w:lang w:eastAsia="en-US"/>
              </w:rPr>
            </w:r>
          </w:p>
          <w:p>
            <w:pPr>
              <w:pStyle w:val="1148"/>
              <w:ind w:left="-51" w:firstLine="51"/>
              <w:jc w:val="center"/>
              <w:spacing w:before="40" w:after="40"/>
              <w:rPr>
                <w:sz w:val="20"/>
                <w:szCs w:val="20"/>
              </w:rPr>
            </w:pPr>
            <w:r>
              <w:rPr>
                <w:rFonts w:eastAsia="Calibri"/>
                <w:sz w:val="20"/>
                <w:szCs w:val="20"/>
                <w:lang w:eastAsia="en-US"/>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4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4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4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8"/>
        <w:tabs>
          <w:tab w:val="left" w:pos="2985" w:leader="none"/>
        </w:tabs>
        <w:rPr>
          <w:sz w:val="20"/>
          <w:szCs w:val="20"/>
        </w:rPr>
      </w:pPr>
      <w:r>
        <w:rPr>
          <w:sz w:val="20"/>
          <w:szCs w:val="20"/>
        </w:rPr>
      </w:r>
      <w:r>
        <w:rPr>
          <w:sz w:val="20"/>
          <w:szCs w:val="20"/>
        </w:rPr>
      </w:r>
      <w:r>
        <w:rPr>
          <w:sz w:val="20"/>
          <w:szCs w:val="20"/>
        </w:rPr>
      </w:r>
    </w:p>
    <w:p>
      <w:pPr>
        <w:pStyle w:val="115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4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4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4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4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4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4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4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4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4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49"/>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1148"/>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4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4"/>
            </w:r>
            <w:r>
              <w:rPr>
                <w:sz w:val="20"/>
                <w:szCs w:val="20"/>
              </w:rPr>
              <w:t xml:space="preserve"> со дня, следующего за: </w:t>
            </w:r>
            <w:r>
              <w:rPr>
                <w:sz w:val="20"/>
                <w:szCs w:val="20"/>
              </w:rPr>
            </w:r>
            <w:r>
              <w:rPr>
                <w:sz w:val="20"/>
                <w:szCs w:val="20"/>
              </w:rPr>
            </w:r>
          </w:p>
          <w:p>
            <w:pPr>
              <w:pStyle w:val="114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4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4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96"/>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4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4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rPr>
                <w:sz w:val="20"/>
                <w:szCs w:val="20"/>
              </w:rPr>
            </w:pPr>
            <w:r>
              <w:rPr>
                <w:sz w:val="20"/>
                <w:szCs w:val="20"/>
              </w:rPr>
              <w:t xml:space="preserve">При изменении:</w:t>
            </w:r>
            <w:r>
              <w:rPr>
                <w:sz w:val="20"/>
                <w:szCs w:val="20"/>
              </w:rPr>
            </w:r>
            <w:r>
              <w:rPr>
                <w:sz w:val="20"/>
                <w:szCs w:val="20"/>
              </w:rPr>
            </w:r>
          </w:p>
          <w:p>
            <w:pPr>
              <w:pStyle w:val="114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4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4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4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4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4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4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48"/>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48"/>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48"/>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48"/>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48"/>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48"/>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4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4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4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4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48"/>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48"/>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48"/>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4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4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более 1,5% </w:t>
            </w:r>
            <w:r>
              <w:rPr>
                <w:sz w:val="20"/>
                <w:szCs w:val="20"/>
              </w:rPr>
            </w:r>
            <w:r>
              <w:rPr>
                <w:sz w:val="20"/>
                <w:szCs w:val="20"/>
              </w:rPr>
            </w:r>
          </w:p>
          <w:p>
            <w:pPr>
              <w:pStyle w:val="1148"/>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0,2% от суммы, </w:t>
            </w:r>
            <w:r>
              <w:rPr>
                <w:sz w:val="20"/>
                <w:szCs w:val="20"/>
              </w:rPr>
            </w:r>
            <w:r>
              <w:rPr>
                <w:sz w:val="20"/>
                <w:szCs w:val="20"/>
              </w:rPr>
            </w:r>
          </w:p>
          <w:p>
            <w:pPr>
              <w:pStyle w:val="1148"/>
              <w:jc w:val="center"/>
              <w:spacing w:before="40" w:after="40"/>
              <w:rPr>
                <w:sz w:val="20"/>
                <w:szCs w:val="20"/>
              </w:rPr>
            </w:pPr>
            <w:r>
              <w:rPr>
                <w:sz w:val="20"/>
                <w:szCs w:val="20"/>
              </w:rPr>
              <w:t xml:space="preserve">минимум - 30 000 руб.,</w:t>
            </w:r>
            <w:r>
              <w:rPr>
                <w:sz w:val="20"/>
                <w:szCs w:val="20"/>
              </w:rPr>
            </w:r>
            <w:r>
              <w:rPr>
                <w:sz w:val="20"/>
                <w:szCs w:val="20"/>
              </w:rPr>
            </w:r>
          </w:p>
          <w:p>
            <w:pPr>
              <w:pStyle w:val="114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8"/>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4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4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48"/>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48"/>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bl>
    <w:p>
      <w:pPr>
        <w:pStyle w:val="114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8"/>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114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w:t>
      </w:r>
      <w:r>
        <w:rPr>
          <w:bCs/>
          <w:iCs/>
          <w:sz w:val="20"/>
          <w:szCs w:val="20"/>
        </w:rPr>
        <w:t xml:space="preserve">Российской Федерации о порядке предоставления субсидии </w:t>
      </w:r>
      <w:r>
        <w:rPr>
          <w:bCs/>
          <w:iCs/>
          <w:sz w:val="20"/>
          <w:szCs w:val="20"/>
        </w:rPr>
        <w:t xml:space="preserve">№</w:t>
      </w:r>
      <w:r>
        <w:rPr>
          <w:bCs/>
          <w:iCs/>
          <w:sz w:val="20"/>
          <w:szCs w:val="20"/>
        </w:rPr>
        <w:t xml:space="preserve"> 25-66428-01969-Р</w:t>
      </w:r>
      <w:r>
        <w:t xml:space="preserve"> </w:t>
      </w:r>
      <w:r>
        <w:rPr>
          <w:bCs/>
          <w:iCs/>
          <w:sz w:val="20"/>
          <w:szCs w:val="20"/>
        </w:rPr>
        <w:t xml:space="preserve">«Возмещение недополученных российскими кредитными организациями, международными</w:t>
      </w:r>
      <w:r>
        <w:t xml:space="preserve"> </w:t>
      </w:r>
      <w:r>
        <w:rPr>
          <w:bCs/>
          <w:iCs/>
          <w:sz w:val="20"/>
          <w:szCs w:val="20"/>
        </w:rPr>
        <w:t xml:space="preserve">финансовыми организациями и государственной корпорацией развития «ВЭБ.РФ» доходов</w:t>
      </w:r>
      <w:r>
        <w:t xml:space="preserve"> </w:t>
      </w:r>
      <w:r>
        <w:rPr>
          <w:bCs/>
          <w:iCs/>
          <w:sz w:val="20"/>
          <w:szCs w:val="20"/>
        </w:rPr>
        <w:t xml:space="preserve">по кредитам, выданным сельскохозяйственным товаропроизводителям (за исключением</w:t>
      </w:r>
      <w:r>
        <w:t xml:space="preserve"> </w:t>
      </w:r>
      <w:r>
        <w:rPr>
          <w:bCs/>
          <w:iCs/>
          <w:sz w:val="20"/>
          <w:szCs w:val="20"/>
        </w:rPr>
        <w:t xml:space="preserve">сельскохозяйственных кредитных потребительских кооперативов), организациям и</w:t>
      </w:r>
      <w:r>
        <w:t xml:space="preserve">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1969-Р),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Российской </w:t>
      </w:r>
      <w:r>
        <w:rPr>
          <w:bCs/>
          <w:iCs/>
          <w:sz w:val="20"/>
          <w:szCs w:val="20"/>
        </w:rPr>
        <w:t xml:space="preserve">Федерации о порядке  предоставления субсидии </w:t>
      </w:r>
      <w:r>
        <w:rPr>
          <w:bCs/>
          <w:iCs/>
          <w:sz w:val="20"/>
          <w:szCs w:val="20"/>
        </w:rPr>
        <w:t xml:space="preserve">№</w:t>
      </w:r>
      <w:r>
        <w:rPr>
          <w:bCs/>
          <w:iCs/>
          <w:sz w:val="20"/>
          <w:szCs w:val="20"/>
        </w:rPr>
        <w:t xml:space="preserve"> 25-68850-01698-Р «Возмещение</w:t>
      </w:r>
      <w:r>
        <w:t xml:space="preserve"> </w:t>
      </w:r>
      <w:r>
        <w:rPr>
          <w:bCs/>
          <w:iCs/>
          <w:sz w:val="20"/>
          <w:szCs w:val="20"/>
        </w:rPr>
        <w:t xml:space="preserve">недополученных российскими кредитными организациями, международными финансовыми</w:t>
      </w:r>
      <w:r>
        <w:t xml:space="preserve"> </w:t>
      </w:r>
      <w:r>
        <w:rPr>
          <w:bCs/>
          <w:iCs/>
          <w:sz w:val="20"/>
          <w:szCs w:val="20"/>
        </w:rPr>
        <w:t xml:space="preserve">организациями и государственной корпорацией развития «ВЭБ.РФ» доходов по кредитам,</w:t>
      </w:r>
      <w:r>
        <w:t xml:space="preserve"> </w:t>
      </w:r>
      <w:r>
        <w:rPr>
          <w:bCs/>
          <w:iCs/>
          <w:sz w:val="20"/>
          <w:szCs w:val="20"/>
        </w:rPr>
        <w:t xml:space="preserve">выданным</w:t>
      </w:r>
      <w:r>
        <w:t xml:space="preserve"> </w:t>
      </w:r>
      <w:r>
        <w:rPr>
          <w:bCs/>
          <w:iCs/>
          <w:sz w:val="20"/>
          <w:szCs w:val="20"/>
        </w:rPr>
        <w:t xml:space="preserve"> сельскохозяйственным</w:t>
      </w:r>
      <w:r>
        <w:t xml:space="preserve"> </w:t>
      </w:r>
      <w:r>
        <w:rPr>
          <w:bCs/>
          <w:iCs/>
          <w:sz w:val="20"/>
          <w:szCs w:val="20"/>
        </w:rPr>
        <w:t xml:space="preserve"> товаропроизводителям</w:t>
      </w:r>
      <w:r>
        <w:t xml:space="preserve"> </w:t>
      </w:r>
      <w:r>
        <w:rPr>
          <w:bCs/>
          <w:iCs/>
          <w:sz w:val="20"/>
          <w:szCs w:val="20"/>
        </w:rPr>
        <w:t xml:space="preserve"> (за</w:t>
      </w:r>
      <w:r>
        <w:t xml:space="preserve"> </w:t>
      </w:r>
      <w:r>
        <w:rPr>
          <w:bCs/>
          <w:iCs/>
          <w:sz w:val="20"/>
          <w:szCs w:val="20"/>
        </w:rPr>
        <w:t xml:space="preserve"> исключением</w:t>
      </w:r>
      <w:r>
        <w:rPr>
          <w:bCs/>
          <w:iCs/>
          <w:sz w:val="20"/>
          <w:szCs w:val="20"/>
        </w:rPr>
      </w:r>
      <w:r/>
    </w:p>
    <w:p>
      <w:pPr>
        <w:pStyle w:val="1148"/>
        <w:jc w:val="both"/>
        <w:spacing w:before="40"/>
        <w:rPr>
          <w:sz w:val="20"/>
          <w:szCs w:val="20"/>
          <w:highlight w:val="none"/>
        </w:rPr>
        <w:outlineLvl w:val="5"/>
      </w:pPr>
      <w:r>
        <w:rPr>
          <w:bCs/>
          <w:iCs/>
          <w:sz w:val="20"/>
          <w:szCs w:val="20"/>
        </w:rPr>
        <w:t xml:space="preserve">сельскохозяйственных кредитных потребительских кооперативов), организациям и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1698-Р),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sz w:val="20"/>
          <w:szCs w:val="20"/>
          <w:highlight w:val="none"/>
        </w:rPr>
      </w:r>
      <w:r>
        <w:rPr>
          <w:sz w:val="20"/>
          <w:szCs w:val="20"/>
          <w:highlight w:val="none"/>
        </w:rPr>
      </w:r>
    </w:p>
    <w:p>
      <w:pPr>
        <w:jc w:val="both"/>
        <w:spacing w:before="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p>
      <w:pPr>
        <w:jc w:val="both"/>
        <w:spacing w:before="40"/>
        <w:rPr>
          <w:sz w:val="20"/>
          <w:szCs w:val="20"/>
        </w:rPr>
        <w:outlineLvl w:val="5"/>
      </w:pPr>
      <w:r>
        <w:rPr>
          <w:bCs/>
          <w:iCs/>
          <w:sz w:val="20"/>
          <w:szCs w:val="20"/>
        </w:rPr>
      </w:r>
      <w:r>
        <w:rPr>
          <w:bCs/>
          <w:iCs/>
          <w:sz w:val="20"/>
          <w:szCs w:val="20"/>
        </w:rPr>
        <w:t xml:space="preserve">- при кредитовании в рамках Правил возмещения кр</w:t>
      </w:r>
      <w:r>
        <w:rPr>
          <w:bCs/>
          <w:iCs/>
          <w:sz w:val="20"/>
          <w:szCs w:val="20"/>
        </w:rPr>
        <w:t xml:space="preserve">едитным</w:t>
      </w:r>
      <w:r>
        <w:rPr>
          <w:bCs/>
          <w:iCs/>
          <w:sz w:val="20"/>
          <w:szCs w:val="20"/>
        </w:rPr>
        <w:t xml:space="preserve">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sz w:val="20"/>
          <w:szCs w:val="20"/>
        </w:rPr>
      </w:r>
      <w:r>
        <w:rPr>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r>
        <w:rPr>
          <w:bCs/>
          <w:iCs/>
          <w:color w:val="000000"/>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r>
        <w:rPr>
          <w:bCs/>
          <w:iCs/>
          <w:color w:val="000000"/>
          <w:sz w:val="20"/>
          <w:szCs w:val="20"/>
        </w:rPr>
      </w:r>
    </w:p>
    <w:p>
      <w:pPr>
        <w:pStyle w:val="1148"/>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r>
        <w:rPr>
          <w:bCs/>
          <w:iCs/>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r>
        <w:rPr>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r>
        <w:rPr>
          <w:color w:val="000000"/>
          <w:sz w:val="20"/>
          <w:szCs w:val="20"/>
        </w:rPr>
      </w:r>
    </w:p>
    <w:p>
      <w:pPr>
        <w:pStyle w:val="1148"/>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7</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8</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16.03.2022 № 375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16.03.2022 № 375</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9</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17.03.2022 № 393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10</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02.04.2022 № 574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11</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18.05.2022 № 895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12</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 </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1969-Р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1969-Р (в рамках ППРФ </w:t>
            </w: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1698-Р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1698-Р (в рамках ППРФ</w:t>
            </w:r>
            <w:r/>
          </w:p>
          <w:p>
            <w:pPr>
              <w:keepNext/>
              <w:spacing w:before="40" w:after="40"/>
              <w:rPr>
                <w:sz w:val="20"/>
                <w:szCs w:val="20"/>
              </w:rPr>
              <w:outlineLvl w:val="5"/>
            </w:pP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18</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19</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4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4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4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48"/>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1148"/>
              <w:jc w:val="center"/>
              <w:keepLines/>
              <w:keepNext/>
              <w:rPr>
                <w:sz w:val="20"/>
                <w:szCs w:val="20"/>
              </w:rPr>
            </w:pPr>
            <w:r>
              <w:rPr>
                <w:sz w:val="20"/>
                <w:szCs w:val="20"/>
              </w:rPr>
              <w:t xml:space="preserve">0,70% от суммы операции, но не более </w:t>
            </w:r>
            <w:r>
              <w:rPr>
                <w:sz w:val="20"/>
                <w:szCs w:val="20"/>
              </w:rPr>
            </w:r>
            <w:r>
              <w:rPr>
                <w:sz w:val="20"/>
                <w:szCs w:val="20"/>
              </w:rPr>
            </w:r>
          </w:p>
          <w:p>
            <w:pPr>
              <w:pStyle w:val="1148"/>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114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rPr>
          <w:i/>
          <w:sz w:val="20"/>
          <w:szCs w:val="20"/>
        </w:rPr>
      </w:pPr>
      <w:r>
        <w:rPr>
          <w:i/>
          <w:sz w:val="20"/>
          <w:szCs w:val="20"/>
        </w:rPr>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1148"/>
      </w:pPr>
      <w:r/>
      <w:r/>
    </w:p>
    <w:p>
      <w:pPr>
        <w:pStyle w:val="1148"/>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pPr>
      <w:r/>
      <w:r/>
    </w:p>
    <w:p>
      <w:pPr>
        <w:pStyle w:val="115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4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2 000 руб., </w:t>
            </w:r>
            <w:r>
              <w:rPr>
                <w:sz w:val="20"/>
                <w:szCs w:val="20"/>
              </w:rPr>
            </w:r>
            <w:r>
              <w:rPr>
                <w:sz w:val="20"/>
                <w:szCs w:val="20"/>
              </w:rPr>
            </w:r>
          </w:p>
          <w:p>
            <w:pPr>
              <w:pStyle w:val="114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4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4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9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ind w:left="-142" w:right="0" w:firstLine="142"/>
              <w:jc w:val="both"/>
              <w:rPr>
                <w:iCs/>
                <w:highlight w:val="none"/>
              </w:rPr>
            </w:pPr>
            <w:r>
              <w:rPr>
                <w:rFonts w:eastAsia="Times New Roman"/>
                <w:color w:val="000000"/>
                <w:sz w:val="20"/>
                <w:szCs w:val="20"/>
              </w:rPr>
              <w:t xml:space="preserve">Хранение и учет на счете ДЕПО ценных бумаг Депонентов,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iCs/>
                <w:sz w:val="20"/>
                <w:szCs w:val="20"/>
                <w:highlight w:val="none"/>
              </w:rPr>
            </w:r>
            <w:r>
              <w:rPr>
                <w:iCs/>
                <w:highlight w:val="none"/>
              </w:rPr>
            </w:r>
          </w:p>
          <w:p>
            <w:pPr>
              <w:pStyle w:val="1194"/>
              <w:ind w:left="-142" w:right="0" w:firstLine="142"/>
              <w:jc w:val="both"/>
              <w:spacing w:before="40" w:after="40"/>
              <w:rPr>
                <w:rFonts w:eastAsia="Times New Roman"/>
                <w:color w:val="000000"/>
                <w:sz w:val="20"/>
                <w:szCs w:val="20"/>
              </w:rPr>
            </w:pPr>
            <w:r>
              <w:rPr>
                <w:rFonts w:eastAsia="Times New Roman"/>
                <w:color w:val="000000"/>
                <w:sz w:val="20"/>
                <w:szCs w:val="20"/>
              </w:rPr>
              <w:t xml:space="preserve">принятых АО «Россельхозбанк» на брокерское обслуживание</w:t>
            </w:r>
            <w:r>
              <w:rPr>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4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4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4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500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9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jc w:val="both"/>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jc w:val="both"/>
              <w:spacing w:before="40" w:after="40"/>
              <w:rPr>
                <w:sz w:val="20"/>
                <w:szCs w:val="20"/>
              </w:rPr>
            </w:pPr>
            <w:r>
              <w:rPr>
                <w:sz w:val="20"/>
                <w:szCs w:val="20"/>
              </w:rPr>
            </w:r>
            <w:r>
              <w:rPr>
                <w:sz w:val="20"/>
                <w:szCs w:val="20"/>
              </w:rPr>
            </w:r>
            <w:r>
              <w:rPr>
                <w:sz w:val="20"/>
                <w:szCs w:val="20"/>
              </w:rPr>
            </w:r>
          </w:p>
          <w:p>
            <w:pPr>
              <w:jc w:val="both"/>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до 1 года </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от 1 года (включительно) до 3-х (включительно)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более 3-х лет </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1"/>
        </w:trPr>
        <w:tc>
          <w:tcPr>
            <w:tcW w:w="993" w:type="dxa"/>
            <w:vAlign w:val="top"/>
            <w:textDirection w:val="lrTb"/>
            <w:noWrap w:val="false"/>
          </w:tcPr>
          <w:p>
            <w:pPr>
              <w:pStyle w:val="1148"/>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копий поручений, приложений, договоров и других . документов (за исключением документов, указанных в п. 14.8.7 Тарифов) по запросу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На бумажном носителе -100 руб. за лист</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1131"/>
        </w:trPr>
        <w:tc>
          <w:tcPr>
            <w:tcW w:w="993" w:type="dxa"/>
            <w:vAlign w:val="top"/>
            <w:vMerge w:val="restart"/>
            <w:textDirection w:val="lrTb"/>
            <w:noWrap w:val="false"/>
          </w:tcPr>
          <w:p>
            <w:pPr>
              <w:pStyle w:val="1148"/>
              <w:jc w:val="center"/>
              <w:spacing w:before="40" w:after="40"/>
              <w:rPr>
                <w:bCs/>
                <w:sz w:val="20"/>
                <w:szCs w:val="20"/>
              </w:rPr>
            </w:pPr>
            <w:r>
              <w:rPr>
                <w:bCs/>
                <w:sz w:val="20"/>
                <w:szCs w:val="20"/>
              </w:rPr>
              <w:t xml:space="preserve">14.8.7</w:t>
            </w:r>
            <w:r>
              <w:rPr>
                <w:bCs/>
                <w:sz w:val="20"/>
                <w:szCs w:val="20"/>
              </w:rPr>
            </w:r>
            <w:r>
              <w:rPr>
                <w:bCs/>
                <w:sz w:val="20"/>
                <w:szCs w:val="20"/>
              </w:rPr>
            </w:r>
          </w:p>
        </w:tc>
        <w:tc>
          <w:tcPr>
            <w:tcW w:w="3969" w:type="dxa"/>
            <w:vAlign w:val="top"/>
            <w:vMerge w:val="restart"/>
            <w:textDirection w:val="lrTb"/>
            <w:noWrap w:val="false"/>
          </w:tcPr>
          <w:p>
            <w:pPr>
              <w:pStyle w:val="988"/>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5" w:type="dxa"/>
            <w:vAlign w:val="top"/>
            <w:vMerge w:val="restart"/>
            <w:textDirection w:val="lrTb"/>
            <w:noWrap w:val="false"/>
          </w:tcPr>
          <w:p>
            <w:pPr>
              <w:pStyle w:val="98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W w:w="2976" w:type="dxa"/>
            <w:vAlign w:val="top"/>
            <w:vMerge w:val="restart"/>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rPr>
          <w:bCs/>
          <w:i/>
          <w:sz w:val="16"/>
          <w:szCs w:val="16"/>
        </w:rPr>
      </w:pPr>
      <w:r>
        <w:rPr>
          <w:i/>
          <w:sz w:val="16"/>
          <w:szCs w:val="16"/>
          <w:highlight w:val="none"/>
        </w:rPr>
      </w:r>
      <w:r>
        <w:rPr>
          <w:i/>
          <w:sz w:val="16"/>
          <w:szCs w:val="16"/>
          <w:highlight w:val="none"/>
        </w:rPr>
      </w:r>
      <w:r>
        <w:rPr>
          <w:bCs/>
          <w:i/>
          <w:sz w:val="16"/>
          <w:szCs w:val="16"/>
        </w:rPr>
      </w:r>
    </w:p>
    <w:p>
      <w:pPr>
        <w:pStyle w:val="1148"/>
        <w:rPr>
          <w:bCs/>
          <w:i/>
          <w:sz w:val="16"/>
          <w:szCs w:val="16"/>
          <w:highlight w:val="none"/>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bCs/>
          <w:i/>
          <w:sz w:val="16"/>
          <w:szCs w:val="16"/>
          <w:highlight w:val="none"/>
        </w:rPr>
      </w:r>
      <w:r>
        <w:rPr>
          <w:bCs/>
          <w:i/>
          <w:sz w:val="16"/>
          <w:szCs w:val="16"/>
          <w:highlight w:val="none"/>
        </w:rPr>
      </w:r>
    </w:p>
    <w:p>
      <w:pPr>
        <w:pStyle w:val="114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48"/>
        <w:rPr>
          <w:i/>
          <w:sz w:val="16"/>
          <w:szCs w:val="16"/>
        </w:rPr>
      </w:pPr>
      <w:r>
        <w:rPr>
          <w:i/>
          <w:sz w:val="16"/>
          <w:szCs w:val="16"/>
        </w:rPr>
      </w:r>
      <w:r>
        <w:rPr>
          <w:i/>
          <w:sz w:val="16"/>
          <w:szCs w:val="16"/>
        </w:rPr>
      </w:r>
      <w:r>
        <w:rPr>
          <w:i/>
          <w:sz w:val="16"/>
          <w:szCs w:val="16"/>
        </w:rPr>
      </w:r>
    </w:p>
    <w:p>
      <w:pPr>
        <w:pStyle w:val="115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4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4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4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4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4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4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52"/>
        <w:rPr>
          <w:lang w:val="ru-RU"/>
        </w:rPr>
      </w:pPr>
      <w:r>
        <w:t xml:space="preserve">16. Операции с драгоценными металлами</w:t>
      </w:r>
      <w:r>
        <w:rPr>
          <w:lang w:val="ru-RU"/>
        </w:rPr>
      </w:r>
      <w:r>
        <w:rPr>
          <w:lang w:val="ru-RU"/>
        </w:rPr>
      </w:r>
    </w:p>
    <w:p>
      <w:pPr>
        <w:pStyle w:val="114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9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9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80"/>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8"/>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8"/>
        <w:rPr>
          <w:lang w:val="en-US" w:eastAsia="en-US"/>
        </w:rPr>
      </w:pPr>
      <w:r>
        <w:rPr>
          <w:lang w:val="en-US" w:eastAsia="en-US"/>
        </w:rPr>
      </w:r>
      <w:r>
        <w:rPr>
          <w:lang w:val="en-US" w:eastAsia="en-US"/>
        </w:rPr>
      </w:r>
      <w:r>
        <w:rPr>
          <w:lang w:val="en-US" w:eastAsia="en-US"/>
        </w:rPr>
      </w:r>
    </w:p>
    <w:p>
      <w:pPr>
        <w:pStyle w:val="115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48"/>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4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48"/>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48"/>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4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4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4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4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5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48"/>
              <w:ind w:hanging="137"/>
              <w:jc w:val="center"/>
              <w:rPr>
                <w:sz w:val="22"/>
                <w:szCs w:val="22"/>
              </w:rPr>
            </w:pPr>
            <w:r>
              <w:rPr>
                <w:sz w:val="22"/>
                <w:szCs w:val="22"/>
              </w:rPr>
              <w:t xml:space="preserve">№</w:t>
            </w:r>
            <w:r>
              <w:rPr>
                <w:sz w:val="22"/>
                <w:szCs w:val="22"/>
              </w:rPr>
            </w:r>
            <w:r>
              <w:rPr>
                <w:sz w:val="22"/>
                <w:szCs w:val="22"/>
              </w:rPr>
            </w:r>
          </w:p>
          <w:p>
            <w:pPr>
              <w:pStyle w:val="114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4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4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4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48"/>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ind w:left="-425" w:right="-284" w:firstLine="709"/>
        <w:jc w:val="both"/>
        <w:spacing w:before="120"/>
        <w:rPr>
          <w:sz w:val="20"/>
          <w:szCs w:val="20"/>
        </w:rPr>
      </w:pPr>
      <w:r>
        <w:rPr>
          <w:sz w:val="20"/>
          <w:szCs w:val="20"/>
        </w:rPr>
        <w:t xml:space="preserve">* Срок действия – до 31.12.2025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pPr>
      <w:r>
        <w:rPr>
          <w:rStyle w:val="1180"/>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77"/>
      </w:pPr>
      <w:r>
        <w:rPr>
          <w:rStyle w:val="1180"/>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177"/>
      </w:pPr>
      <w:r>
        <w:rPr>
          <w:rStyle w:val="1180"/>
        </w:rPr>
        <w:footnoteRef/>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1177"/>
      </w:pPr>
      <w:r>
        <w:rPr>
          <w:rStyle w:val="1180"/>
        </w:rPr>
        <w:footnoteRef/>
      </w:r>
      <w:r>
        <w:t xml:space="preserve"> [номер сноски указывается в соответствии с нумерацией сносок в Тарифах]</w:t>
      </w:r>
      <w:r/>
    </w:p>
    <w:p>
      <w:pPr>
        <w:pStyle w:val="117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7"/>
      </w:pPr>
      <w:r/>
      <w:r/>
    </w:p>
  </w:footnote>
  <w:footnote w:id="6">
    <w:p>
      <w:pPr>
        <w:pStyle w:val="1177"/>
        <w:jc w:val="both"/>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177"/>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pPr>
      <w:r>
        <w:t xml:space="preserve">В соответствии с пунктом 10.2 приказа АО «Россельхозбанк» от 01.08.2013 № 386-ОД.</w:t>
      </w:r>
      <w:r/>
    </w:p>
  </w:footnote>
  <w:footnote w:id="8">
    <w:p>
      <w:pPr>
        <w:pStyle w:val="1196"/>
        <w:ind w:left="0"/>
        <w:jc w:val="both"/>
        <w:spacing w:line="240" w:lineRule="auto"/>
        <w:tabs>
          <w:tab w:val="left" w:pos="426" w:leader="none"/>
        </w:tabs>
        <w:rPr>
          <w:sz w:val="24"/>
          <w:szCs w:val="24"/>
        </w:rPr>
      </w:pPr>
      <w:r>
        <w:rPr>
          <w:rStyle w:val="118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48"/>
        <w:ind w:right="-17"/>
        <w:jc w:val="both"/>
        <w:spacing w:before="40" w:after="40"/>
        <w:tabs>
          <w:tab w:val="left" w:pos="4464" w:leader="none"/>
          <w:tab w:val="left" w:pos="5760" w:leader="none"/>
        </w:tabs>
        <w:rPr>
          <w:rFonts w:eastAsia="Calibri"/>
          <w:i/>
          <w:sz w:val="20"/>
          <w:szCs w:val="20"/>
        </w:rPr>
      </w:pPr>
      <w:r>
        <w:rPr>
          <w:rStyle w:val="118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4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77"/>
      </w:pPr>
      <w:r>
        <w:rPr>
          <w:rStyle w:val="1180"/>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77"/>
      </w:pPr>
      <w:r>
        <w:t xml:space="preserve">Комиссионное вознаграждение по операциям приема/выдачи слитков драгоценных металлов НДС не облагается. </w:t>
      </w:r>
      <w:r/>
    </w:p>
  </w:footnote>
  <w:footnote w:id="11">
    <w:p>
      <w:pPr>
        <w:pStyle w:val="1177"/>
        <w:jc w:val="both"/>
      </w:pPr>
      <w:r>
        <w:rPr>
          <w:rStyle w:val="1180"/>
        </w:rPr>
        <w:footnoteRef/>
      </w:r>
      <w:r>
        <w:t xml:space="preserve"> [Номер сноски указывается в соответствии с нумерацией сносок в Тарифах]</w:t>
      </w:r>
      <w:r/>
    </w:p>
    <w:p>
      <w:pPr>
        <w:pStyle w:val="1177"/>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77"/>
        <w:jc w:val="both"/>
        <w:rPr>
          <w:sz w:val="18"/>
          <w:szCs w:val="18"/>
        </w:rPr>
      </w:pPr>
      <w:r>
        <w:rPr>
          <w:rStyle w:val="118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48"/>
        <w:jc w:val="both"/>
        <w:rPr>
          <w:bCs/>
          <w:i/>
          <w:sz w:val="20"/>
          <w:szCs w:val="20"/>
          <w:lang w:eastAsia="en-US"/>
        </w:rPr>
      </w:pPr>
      <w:r>
        <w:rPr>
          <w:rStyle w:val="118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7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48"/>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6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0">
    <w:name w:val="Heading 1"/>
    <w:basedOn w:val="1148"/>
    <w:next w:val="1148"/>
    <w:link w:val="971"/>
    <w:uiPriority w:val="9"/>
    <w:qFormat/>
    <w:pPr>
      <w:keepLines/>
      <w:keepNext/>
      <w:spacing w:before="480" w:after="200"/>
      <w:outlineLvl w:val="0"/>
    </w:pPr>
    <w:rPr>
      <w:rFonts w:ascii="Arial" w:hAnsi="Arial" w:eastAsia="Arial" w:cs="Arial"/>
      <w:sz w:val="40"/>
      <w:szCs w:val="40"/>
    </w:rPr>
  </w:style>
  <w:style w:type="character" w:styleId="971">
    <w:name w:val="Heading 1 Char"/>
    <w:link w:val="970"/>
    <w:uiPriority w:val="9"/>
    <w:rPr>
      <w:rFonts w:ascii="Arial" w:hAnsi="Arial" w:eastAsia="Arial" w:cs="Arial"/>
      <w:sz w:val="40"/>
      <w:szCs w:val="40"/>
    </w:rPr>
  </w:style>
  <w:style w:type="paragraph" w:styleId="972">
    <w:name w:val="Heading 2"/>
    <w:basedOn w:val="1148"/>
    <w:next w:val="1148"/>
    <w:link w:val="973"/>
    <w:uiPriority w:val="9"/>
    <w:unhideWhenUsed/>
    <w:qFormat/>
    <w:pPr>
      <w:keepLines/>
      <w:keepNext/>
      <w:spacing w:before="360" w:after="200"/>
      <w:outlineLvl w:val="1"/>
    </w:pPr>
    <w:rPr>
      <w:rFonts w:ascii="Arial" w:hAnsi="Arial" w:eastAsia="Arial" w:cs="Arial"/>
      <w:sz w:val="34"/>
    </w:rPr>
  </w:style>
  <w:style w:type="character" w:styleId="973">
    <w:name w:val="Heading 2 Char"/>
    <w:link w:val="972"/>
    <w:uiPriority w:val="9"/>
    <w:rPr>
      <w:rFonts w:ascii="Arial" w:hAnsi="Arial" w:eastAsia="Arial" w:cs="Arial"/>
      <w:sz w:val="34"/>
    </w:rPr>
  </w:style>
  <w:style w:type="paragraph" w:styleId="974">
    <w:name w:val="Heading 3"/>
    <w:basedOn w:val="1148"/>
    <w:next w:val="1148"/>
    <w:link w:val="975"/>
    <w:uiPriority w:val="9"/>
    <w:unhideWhenUsed/>
    <w:qFormat/>
    <w:pPr>
      <w:keepLines/>
      <w:keepNext/>
      <w:spacing w:before="320" w:after="200"/>
      <w:outlineLvl w:val="2"/>
    </w:pPr>
    <w:rPr>
      <w:rFonts w:ascii="Arial" w:hAnsi="Arial" w:eastAsia="Arial" w:cs="Arial"/>
      <w:sz w:val="30"/>
      <w:szCs w:val="30"/>
    </w:rPr>
  </w:style>
  <w:style w:type="character" w:styleId="975">
    <w:name w:val="Heading 3 Char"/>
    <w:link w:val="974"/>
    <w:uiPriority w:val="9"/>
    <w:rPr>
      <w:rFonts w:ascii="Arial" w:hAnsi="Arial" w:eastAsia="Arial" w:cs="Arial"/>
      <w:sz w:val="30"/>
      <w:szCs w:val="30"/>
    </w:rPr>
  </w:style>
  <w:style w:type="paragraph" w:styleId="976">
    <w:name w:val="Heading 4"/>
    <w:basedOn w:val="1148"/>
    <w:next w:val="1148"/>
    <w:link w:val="977"/>
    <w:uiPriority w:val="9"/>
    <w:unhideWhenUsed/>
    <w:qFormat/>
    <w:pPr>
      <w:keepLines/>
      <w:keepNext/>
      <w:spacing w:before="320" w:after="200"/>
      <w:outlineLvl w:val="3"/>
    </w:pPr>
    <w:rPr>
      <w:rFonts w:ascii="Arial" w:hAnsi="Arial" w:eastAsia="Arial" w:cs="Arial"/>
      <w:b/>
      <w:bCs/>
      <w:sz w:val="26"/>
      <w:szCs w:val="26"/>
    </w:rPr>
  </w:style>
  <w:style w:type="character" w:styleId="977">
    <w:name w:val="Heading 4 Char"/>
    <w:link w:val="976"/>
    <w:uiPriority w:val="9"/>
    <w:rPr>
      <w:rFonts w:ascii="Arial" w:hAnsi="Arial" w:eastAsia="Arial" w:cs="Arial"/>
      <w:b/>
      <w:bCs/>
      <w:sz w:val="26"/>
      <w:szCs w:val="26"/>
    </w:rPr>
  </w:style>
  <w:style w:type="paragraph" w:styleId="978">
    <w:name w:val="Heading 5"/>
    <w:basedOn w:val="1148"/>
    <w:next w:val="1148"/>
    <w:link w:val="979"/>
    <w:uiPriority w:val="9"/>
    <w:unhideWhenUsed/>
    <w:qFormat/>
    <w:pPr>
      <w:keepLines/>
      <w:keepNext/>
      <w:spacing w:before="320" w:after="200"/>
      <w:outlineLvl w:val="4"/>
    </w:pPr>
    <w:rPr>
      <w:rFonts w:ascii="Arial" w:hAnsi="Arial" w:eastAsia="Arial" w:cs="Arial"/>
      <w:b/>
      <w:bCs/>
      <w:sz w:val="24"/>
      <w:szCs w:val="24"/>
    </w:rPr>
  </w:style>
  <w:style w:type="character" w:styleId="979">
    <w:name w:val="Heading 5 Char"/>
    <w:link w:val="978"/>
    <w:uiPriority w:val="9"/>
    <w:rPr>
      <w:rFonts w:ascii="Arial" w:hAnsi="Arial" w:eastAsia="Arial" w:cs="Arial"/>
      <w:b/>
      <w:bCs/>
      <w:sz w:val="24"/>
      <w:szCs w:val="24"/>
    </w:rPr>
  </w:style>
  <w:style w:type="paragraph" w:styleId="980">
    <w:name w:val="Heading 6"/>
    <w:basedOn w:val="1148"/>
    <w:next w:val="1148"/>
    <w:link w:val="981"/>
    <w:uiPriority w:val="9"/>
    <w:unhideWhenUsed/>
    <w:qFormat/>
    <w:pPr>
      <w:keepLines/>
      <w:keepNext/>
      <w:spacing w:before="320" w:after="200"/>
      <w:outlineLvl w:val="5"/>
    </w:pPr>
    <w:rPr>
      <w:rFonts w:ascii="Arial" w:hAnsi="Arial" w:eastAsia="Arial" w:cs="Arial"/>
      <w:b/>
      <w:bCs/>
      <w:sz w:val="22"/>
      <w:szCs w:val="22"/>
    </w:rPr>
  </w:style>
  <w:style w:type="character" w:styleId="981">
    <w:name w:val="Heading 6 Char"/>
    <w:link w:val="980"/>
    <w:uiPriority w:val="9"/>
    <w:rPr>
      <w:rFonts w:ascii="Arial" w:hAnsi="Arial" w:eastAsia="Arial" w:cs="Arial"/>
      <w:b/>
      <w:bCs/>
      <w:sz w:val="22"/>
      <w:szCs w:val="22"/>
    </w:rPr>
  </w:style>
  <w:style w:type="paragraph" w:styleId="982">
    <w:name w:val="Heading 7"/>
    <w:basedOn w:val="1148"/>
    <w:next w:val="1148"/>
    <w:link w:val="983"/>
    <w:uiPriority w:val="9"/>
    <w:unhideWhenUsed/>
    <w:qFormat/>
    <w:pPr>
      <w:keepLines/>
      <w:keepNext/>
      <w:spacing w:before="320" w:after="200"/>
      <w:outlineLvl w:val="6"/>
    </w:pPr>
    <w:rPr>
      <w:rFonts w:ascii="Arial" w:hAnsi="Arial" w:eastAsia="Arial" w:cs="Arial"/>
      <w:b/>
      <w:bCs/>
      <w:i/>
      <w:iCs/>
      <w:sz w:val="22"/>
      <w:szCs w:val="22"/>
    </w:rPr>
  </w:style>
  <w:style w:type="character" w:styleId="983">
    <w:name w:val="Heading 7 Char"/>
    <w:link w:val="982"/>
    <w:uiPriority w:val="9"/>
    <w:rPr>
      <w:rFonts w:ascii="Arial" w:hAnsi="Arial" w:eastAsia="Arial" w:cs="Arial"/>
      <w:b/>
      <w:bCs/>
      <w:i/>
      <w:iCs/>
      <w:sz w:val="22"/>
      <w:szCs w:val="22"/>
    </w:rPr>
  </w:style>
  <w:style w:type="paragraph" w:styleId="984">
    <w:name w:val="Heading 8"/>
    <w:basedOn w:val="1148"/>
    <w:next w:val="1148"/>
    <w:link w:val="985"/>
    <w:uiPriority w:val="9"/>
    <w:unhideWhenUsed/>
    <w:qFormat/>
    <w:pPr>
      <w:keepLines/>
      <w:keepNext/>
      <w:spacing w:before="320" w:after="200"/>
      <w:outlineLvl w:val="7"/>
    </w:pPr>
    <w:rPr>
      <w:rFonts w:ascii="Arial" w:hAnsi="Arial" w:eastAsia="Arial" w:cs="Arial"/>
      <w:i/>
      <w:iCs/>
      <w:sz w:val="22"/>
      <w:szCs w:val="22"/>
    </w:rPr>
  </w:style>
  <w:style w:type="character" w:styleId="985">
    <w:name w:val="Heading 8 Char"/>
    <w:link w:val="984"/>
    <w:uiPriority w:val="9"/>
    <w:rPr>
      <w:rFonts w:ascii="Arial" w:hAnsi="Arial" w:eastAsia="Arial" w:cs="Arial"/>
      <w:i/>
      <w:iCs/>
      <w:sz w:val="22"/>
      <w:szCs w:val="22"/>
    </w:rPr>
  </w:style>
  <w:style w:type="paragraph" w:styleId="986">
    <w:name w:val="Heading 9"/>
    <w:basedOn w:val="1148"/>
    <w:next w:val="1148"/>
    <w:link w:val="987"/>
    <w:uiPriority w:val="9"/>
    <w:unhideWhenUsed/>
    <w:qFormat/>
    <w:pPr>
      <w:keepLines/>
      <w:keepNext/>
      <w:spacing w:before="320" w:after="200"/>
      <w:outlineLvl w:val="8"/>
    </w:pPr>
    <w:rPr>
      <w:rFonts w:ascii="Arial" w:hAnsi="Arial" w:eastAsia="Arial" w:cs="Arial"/>
      <w:i/>
      <w:iCs/>
      <w:sz w:val="21"/>
      <w:szCs w:val="21"/>
    </w:rPr>
  </w:style>
  <w:style w:type="character" w:styleId="987">
    <w:name w:val="Heading 9 Char"/>
    <w:link w:val="986"/>
    <w:uiPriority w:val="9"/>
    <w:rPr>
      <w:rFonts w:ascii="Arial" w:hAnsi="Arial" w:eastAsia="Arial" w:cs="Arial"/>
      <w:i/>
      <w:iCs/>
      <w:sz w:val="21"/>
      <w:szCs w:val="21"/>
    </w:rPr>
  </w:style>
  <w:style w:type="paragraph" w:styleId="988">
    <w:name w:val="List Paragraph"/>
    <w:basedOn w:val="1148"/>
    <w:uiPriority w:val="34"/>
    <w:qFormat/>
    <w:pPr>
      <w:contextualSpacing/>
      <w:ind w:left="720"/>
    </w:pPr>
  </w:style>
  <w:style w:type="paragraph" w:styleId="989">
    <w:name w:val="No Spacing"/>
    <w:uiPriority w:val="1"/>
    <w:qFormat/>
    <w:pPr>
      <w:spacing w:before="0" w:after="0" w:line="240" w:lineRule="auto"/>
    </w:pPr>
  </w:style>
  <w:style w:type="paragraph" w:styleId="990">
    <w:name w:val="Title"/>
    <w:basedOn w:val="1148"/>
    <w:next w:val="1148"/>
    <w:link w:val="991"/>
    <w:uiPriority w:val="10"/>
    <w:qFormat/>
    <w:pPr>
      <w:contextualSpacing/>
      <w:spacing w:before="300" w:after="200"/>
    </w:pPr>
    <w:rPr>
      <w:sz w:val="48"/>
      <w:szCs w:val="48"/>
    </w:rPr>
  </w:style>
  <w:style w:type="character" w:styleId="991">
    <w:name w:val="Title Char"/>
    <w:link w:val="990"/>
    <w:uiPriority w:val="10"/>
    <w:rPr>
      <w:sz w:val="48"/>
      <w:szCs w:val="48"/>
    </w:rPr>
  </w:style>
  <w:style w:type="paragraph" w:styleId="992">
    <w:name w:val="Subtitle"/>
    <w:basedOn w:val="1148"/>
    <w:next w:val="1148"/>
    <w:link w:val="993"/>
    <w:uiPriority w:val="11"/>
    <w:qFormat/>
    <w:pPr>
      <w:spacing w:before="200" w:after="200"/>
    </w:pPr>
    <w:rPr>
      <w:sz w:val="24"/>
      <w:szCs w:val="24"/>
    </w:rPr>
  </w:style>
  <w:style w:type="character" w:styleId="993">
    <w:name w:val="Subtitle Char"/>
    <w:link w:val="992"/>
    <w:uiPriority w:val="11"/>
    <w:rPr>
      <w:sz w:val="24"/>
      <w:szCs w:val="24"/>
    </w:rPr>
  </w:style>
  <w:style w:type="paragraph" w:styleId="994">
    <w:name w:val="Quote"/>
    <w:basedOn w:val="1148"/>
    <w:next w:val="1148"/>
    <w:link w:val="995"/>
    <w:uiPriority w:val="29"/>
    <w:qFormat/>
    <w:pPr>
      <w:ind w:left="720" w:right="720"/>
    </w:pPr>
    <w:rPr>
      <w:i/>
    </w:rPr>
  </w:style>
  <w:style w:type="character" w:styleId="995">
    <w:name w:val="Quote Char"/>
    <w:link w:val="994"/>
    <w:uiPriority w:val="29"/>
    <w:rPr>
      <w:i/>
    </w:rPr>
  </w:style>
  <w:style w:type="paragraph" w:styleId="996">
    <w:name w:val="Intense Quote"/>
    <w:basedOn w:val="1148"/>
    <w:next w:val="1148"/>
    <w:link w:val="99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7">
    <w:name w:val="Intense Quote Char"/>
    <w:link w:val="996"/>
    <w:uiPriority w:val="30"/>
    <w:rPr>
      <w:i/>
    </w:rPr>
  </w:style>
  <w:style w:type="paragraph" w:styleId="998">
    <w:name w:val="Header"/>
    <w:basedOn w:val="1148"/>
    <w:link w:val="999"/>
    <w:uiPriority w:val="99"/>
    <w:unhideWhenUsed/>
    <w:pPr>
      <w:spacing w:after="0" w:line="240" w:lineRule="auto"/>
      <w:tabs>
        <w:tab w:val="center" w:pos="7143" w:leader="none"/>
        <w:tab w:val="right" w:pos="14287" w:leader="none"/>
      </w:tabs>
    </w:pPr>
  </w:style>
  <w:style w:type="character" w:styleId="999">
    <w:name w:val="Header Char"/>
    <w:link w:val="998"/>
    <w:uiPriority w:val="99"/>
  </w:style>
  <w:style w:type="paragraph" w:styleId="1000">
    <w:name w:val="Footer"/>
    <w:basedOn w:val="1148"/>
    <w:link w:val="1003"/>
    <w:uiPriority w:val="99"/>
    <w:unhideWhenUsed/>
    <w:pPr>
      <w:spacing w:after="0" w:line="240" w:lineRule="auto"/>
      <w:tabs>
        <w:tab w:val="center" w:pos="7143" w:leader="none"/>
        <w:tab w:val="right" w:pos="14287" w:leader="none"/>
      </w:tabs>
    </w:pPr>
  </w:style>
  <w:style w:type="character" w:styleId="1001">
    <w:name w:val="Footer Char"/>
    <w:link w:val="1000"/>
    <w:uiPriority w:val="99"/>
  </w:style>
  <w:style w:type="paragraph" w:styleId="1002">
    <w:name w:val="Caption"/>
    <w:basedOn w:val="1148"/>
    <w:next w:val="1148"/>
    <w:link w:val="1003"/>
    <w:uiPriority w:val="35"/>
    <w:semiHidden/>
    <w:unhideWhenUsed/>
    <w:qFormat/>
    <w:pPr>
      <w:spacing w:line="276" w:lineRule="auto"/>
    </w:pPr>
    <w:rPr>
      <w:b/>
      <w:bCs/>
      <w:color w:val="4f81bd" w:themeColor="accent1"/>
      <w:sz w:val="18"/>
      <w:szCs w:val="18"/>
    </w:rPr>
  </w:style>
  <w:style w:type="character" w:styleId="1003">
    <w:name w:val="Caption Char"/>
    <w:basedOn w:val="1002"/>
    <w:link w:val="1000"/>
    <w:uiPriority w:val="99"/>
  </w:style>
  <w:style w:type="table" w:styleId="100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0">
    <w:name w:val="Hyperlink"/>
    <w:uiPriority w:val="99"/>
    <w:unhideWhenUsed/>
    <w:rPr>
      <w:color w:val="0000ff" w:themeColor="hyperlink"/>
      <w:u w:val="single"/>
    </w:rPr>
  </w:style>
  <w:style w:type="paragraph" w:styleId="1131">
    <w:name w:val="footnote text"/>
    <w:basedOn w:val="1148"/>
    <w:link w:val="1132"/>
    <w:uiPriority w:val="99"/>
    <w:semiHidden/>
    <w:unhideWhenUsed/>
    <w:pPr>
      <w:spacing w:after="40" w:line="240" w:lineRule="auto"/>
    </w:pPr>
    <w:rPr>
      <w:sz w:val="18"/>
    </w:rPr>
  </w:style>
  <w:style w:type="character" w:styleId="1132">
    <w:name w:val="Footnote Text Char"/>
    <w:link w:val="1131"/>
    <w:uiPriority w:val="99"/>
    <w:rPr>
      <w:sz w:val="18"/>
    </w:rPr>
  </w:style>
  <w:style w:type="character" w:styleId="1133">
    <w:name w:val="footnote reference"/>
    <w:uiPriority w:val="99"/>
    <w:unhideWhenUsed/>
    <w:rPr>
      <w:vertAlign w:val="superscript"/>
    </w:rPr>
  </w:style>
  <w:style w:type="paragraph" w:styleId="1134">
    <w:name w:val="endnote text"/>
    <w:basedOn w:val="1148"/>
    <w:link w:val="1135"/>
    <w:uiPriority w:val="99"/>
    <w:semiHidden/>
    <w:unhideWhenUsed/>
    <w:pPr>
      <w:spacing w:after="0" w:line="240" w:lineRule="auto"/>
    </w:pPr>
    <w:rPr>
      <w:sz w:val="20"/>
    </w:rPr>
  </w:style>
  <w:style w:type="character" w:styleId="1135">
    <w:name w:val="Endnote Text Char"/>
    <w:link w:val="1134"/>
    <w:uiPriority w:val="99"/>
    <w:rPr>
      <w:sz w:val="20"/>
    </w:rPr>
  </w:style>
  <w:style w:type="character" w:styleId="1136">
    <w:name w:val="endnote reference"/>
    <w:uiPriority w:val="99"/>
    <w:semiHidden/>
    <w:unhideWhenUsed/>
    <w:rPr>
      <w:vertAlign w:val="superscript"/>
    </w:rPr>
  </w:style>
  <w:style w:type="paragraph" w:styleId="1137">
    <w:name w:val="toc 1"/>
    <w:basedOn w:val="1148"/>
    <w:next w:val="1148"/>
    <w:uiPriority w:val="39"/>
    <w:unhideWhenUsed/>
    <w:pPr>
      <w:ind w:left="0" w:right="0" w:firstLine="0"/>
      <w:spacing w:after="57"/>
    </w:pPr>
  </w:style>
  <w:style w:type="paragraph" w:styleId="1138">
    <w:name w:val="toc 2"/>
    <w:basedOn w:val="1148"/>
    <w:next w:val="1148"/>
    <w:uiPriority w:val="39"/>
    <w:unhideWhenUsed/>
    <w:pPr>
      <w:ind w:left="283" w:right="0" w:firstLine="0"/>
      <w:spacing w:after="57"/>
    </w:pPr>
  </w:style>
  <w:style w:type="paragraph" w:styleId="1139">
    <w:name w:val="toc 3"/>
    <w:basedOn w:val="1148"/>
    <w:next w:val="1148"/>
    <w:uiPriority w:val="39"/>
    <w:unhideWhenUsed/>
    <w:pPr>
      <w:ind w:left="567" w:right="0" w:firstLine="0"/>
      <w:spacing w:after="57"/>
    </w:pPr>
  </w:style>
  <w:style w:type="paragraph" w:styleId="1140">
    <w:name w:val="toc 4"/>
    <w:basedOn w:val="1148"/>
    <w:next w:val="1148"/>
    <w:uiPriority w:val="39"/>
    <w:unhideWhenUsed/>
    <w:pPr>
      <w:ind w:left="850" w:right="0" w:firstLine="0"/>
      <w:spacing w:after="57"/>
    </w:pPr>
  </w:style>
  <w:style w:type="paragraph" w:styleId="1141">
    <w:name w:val="toc 5"/>
    <w:basedOn w:val="1148"/>
    <w:next w:val="1148"/>
    <w:uiPriority w:val="39"/>
    <w:unhideWhenUsed/>
    <w:pPr>
      <w:ind w:left="1134" w:right="0" w:firstLine="0"/>
      <w:spacing w:after="57"/>
    </w:pPr>
  </w:style>
  <w:style w:type="paragraph" w:styleId="1142">
    <w:name w:val="toc 6"/>
    <w:basedOn w:val="1148"/>
    <w:next w:val="1148"/>
    <w:uiPriority w:val="39"/>
    <w:unhideWhenUsed/>
    <w:pPr>
      <w:ind w:left="1417" w:right="0" w:firstLine="0"/>
      <w:spacing w:after="57"/>
    </w:pPr>
  </w:style>
  <w:style w:type="paragraph" w:styleId="1143">
    <w:name w:val="toc 7"/>
    <w:basedOn w:val="1148"/>
    <w:next w:val="1148"/>
    <w:uiPriority w:val="39"/>
    <w:unhideWhenUsed/>
    <w:pPr>
      <w:ind w:left="1701" w:right="0" w:firstLine="0"/>
      <w:spacing w:after="57"/>
    </w:pPr>
  </w:style>
  <w:style w:type="paragraph" w:styleId="1144">
    <w:name w:val="toc 8"/>
    <w:basedOn w:val="1148"/>
    <w:next w:val="1148"/>
    <w:uiPriority w:val="39"/>
    <w:unhideWhenUsed/>
    <w:pPr>
      <w:ind w:left="1984" w:right="0" w:firstLine="0"/>
      <w:spacing w:after="57"/>
    </w:pPr>
  </w:style>
  <w:style w:type="paragraph" w:styleId="1145">
    <w:name w:val="toc 9"/>
    <w:basedOn w:val="1148"/>
    <w:next w:val="1148"/>
    <w:uiPriority w:val="39"/>
    <w:unhideWhenUsed/>
    <w:pPr>
      <w:ind w:left="2268" w:right="0" w:firstLine="0"/>
      <w:spacing w:after="57"/>
    </w:pPr>
  </w:style>
  <w:style w:type="paragraph" w:styleId="1146">
    <w:name w:val="TOC Heading"/>
    <w:uiPriority w:val="39"/>
    <w:unhideWhenUsed/>
  </w:style>
  <w:style w:type="paragraph" w:styleId="1147">
    <w:name w:val="table of figures"/>
    <w:basedOn w:val="1148"/>
    <w:next w:val="1148"/>
    <w:uiPriority w:val="99"/>
    <w:unhideWhenUsed/>
    <w:pPr>
      <w:spacing w:after="0" w:afterAutospacing="0"/>
    </w:pPr>
  </w:style>
  <w:style w:type="paragraph" w:styleId="1148" w:default="1">
    <w:name w:val="Normal"/>
    <w:next w:val="1148"/>
    <w:link w:val="1148"/>
    <w:qFormat/>
    <w:rPr>
      <w:sz w:val="24"/>
      <w:szCs w:val="24"/>
      <w:lang w:val="ru-RU" w:eastAsia="ru-RU" w:bidi="ar-SA"/>
    </w:rPr>
  </w:style>
  <w:style w:type="paragraph" w:styleId="1149">
    <w:name w:val="Заголовок 1"/>
    <w:basedOn w:val="1148"/>
    <w:next w:val="1148"/>
    <w:link w:val="1148"/>
    <w:qFormat/>
    <w:pPr>
      <w:keepNext/>
      <w:spacing w:before="240" w:after="60"/>
      <w:outlineLvl w:val="0"/>
    </w:pPr>
    <w:rPr>
      <w:rFonts w:ascii="Arial" w:hAnsi="Arial" w:cs="Arial"/>
      <w:b/>
      <w:bCs/>
      <w:sz w:val="32"/>
      <w:szCs w:val="32"/>
    </w:rPr>
  </w:style>
  <w:style w:type="paragraph" w:styleId="1150">
    <w:name w:val="Заголовок 2"/>
    <w:basedOn w:val="1148"/>
    <w:next w:val="1148"/>
    <w:link w:val="1161"/>
    <w:qFormat/>
    <w:pPr>
      <w:jc w:val="both"/>
      <w:keepNext/>
      <w:spacing w:before="240" w:after="60"/>
      <w:outlineLvl w:val="1"/>
    </w:pPr>
    <w:rPr>
      <w:b/>
      <w:bCs/>
      <w:i/>
      <w:iCs/>
    </w:rPr>
  </w:style>
  <w:style w:type="paragraph" w:styleId="1151">
    <w:name w:val="Заголовок 3"/>
    <w:basedOn w:val="1148"/>
    <w:next w:val="1148"/>
    <w:link w:val="1162"/>
    <w:qFormat/>
    <w:pPr>
      <w:keepNext/>
      <w:spacing w:before="240" w:after="60"/>
      <w:outlineLvl w:val="2"/>
    </w:pPr>
    <w:rPr>
      <w:rFonts w:ascii="Cambria" w:hAnsi="Cambria"/>
      <w:b/>
      <w:bCs/>
      <w:sz w:val="26"/>
      <w:szCs w:val="26"/>
      <w:lang w:val="en-US" w:eastAsia="en-US"/>
    </w:rPr>
  </w:style>
  <w:style w:type="paragraph" w:styleId="1152">
    <w:name w:val="Заголовок 4"/>
    <w:basedOn w:val="1148"/>
    <w:next w:val="1148"/>
    <w:link w:val="1163"/>
    <w:qFormat/>
    <w:pPr>
      <w:jc w:val="center"/>
      <w:keepNext/>
      <w:outlineLvl w:val="3"/>
    </w:pPr>
    <w:rPr>
      <w:b/>
      <w:bCs/>
      <w:sz w:val="22"/>
      <w:szCs w:val="28"/>
      <w:lang w:val="en-US" w:eastAsia="en-US"/>
    </w:rPr>
  </w:style>
  <w:style w:type="paragraph" w:styleId="1153">
    <w:name w:val="Заголовок 5"/>
    <w:basedOn w:val="1148"/>
    <w:next w:val="1148"/>
    <w:link w:val="1202"/>
    <w:qFormat/>
    <w:pPr>
      <w:spacing w:before="240" w:after="60"/>
      <w:outlineLvl w:val="4"/>
    </w:pPr>
    <w:rPr>
      <w:b/>
      <w:bCs/>
      <w:i/>
      <w:iCs/>
      <w:sz w:val="26"/>
      <w:szCs w:val="26"/>
    </w:rPr>
  </w:style>
  <w:style w:type="paragraph" w:styleId="1154">
    <w:name w:val="Заголовок 6"/>
    <w:basedOn w:val="1148"/>
    <w:next w:val="1148"/>
    <w:link w:val="1205"/>
    <w:qFormat/>
    <w:pPr>
      <w:spacing w:before="240" w:after="60"/>
      <w:outlineLvl w:val="5"/>
    </w:pPr>
    <w:rPr>
      <w:rFonts w:eastAsia="Times New Roman" w:cs="Times New Roman"/>
      <w:b/>
      <w:bCs/>
      <w:szCs w:val="22"/>
    </w:rPr>
  </w:style>
  <w:style w:type="paragraph" w:styleId="1155">
    <w:name w:val="Заголовок 7"/>
    <w:basedOn w:val="1148"/>
    <w:next w:val="1148"/>
    <w:link w:val="1206"/>
    <w:qFormat/>
    <w:pPr>
      <w:spacing w:before="240" w:after="60"/>
      <w:outlineLvl w:val="6"/>
    </w:pPr>
    <w:rPr>
      <w:rFonts w:ascii="Calibri" w:hAnsi="Calibri" w:eastAsia="Times New Roman" w:cs="Times New Roman"/>
    </w:rPr>
  </w:style>
  <w:style w:type="paragraph" w:styleId="1156">
    <w:name w:val="Заголовок 8"/>
    <w:basedOn w:val="1148"/>
    <w:next w:val="1148"/>
    <w:link w:val="1148"/>
    <w:qFormat/>
    <w:pPr>
      <w:spacing w:before="240" w:after="60"/>
      <w:outlineLvl w:val="7"/>
    </w:pPr>
    <w:rPr>
      <w:i/>
      <w:iCs/>
    </w:rPr>
  </w:style>
  <w:style w:type="paragraph" w:styleId="1157">
    <w:name w:val="Заголовок 9"/>
    <w:basedOn w:val="1148"/>
    <w:next w:val="1148"/>
    <w:link w:val="1207"/>
    <w:qFormat/>
    <w:pPr>
      <w:spacing w:before="240" w:after="60"/>
      <w:outlineLvl w:val="8"/>
    </w:pPr>
    <w:rPr>
      <w:rFonts w:ascii="Calibri Light" w:hAnsi="Calibri Light" w:eastAsia="Times New Roman" w:cs="Times New Roman"/>
      <w:sz w:val="22"/>
      <w:szCs w:val="22"/>
    </w:rPr>
  </w:style>
  <w:style w:type="character" w:styleId="1158">
    <w:name w:val="Основной шрифт абзаца"/>
    <w:next w:val="1158"/>
    <w:link w:val="1148"/>
    <w:semiHidden/>
  </w:style>
  <w:style w:type="table" w:styleId="1159">
    <w:name w:val="Обычная таблица"/>
    <w:next w:val="1159"/>
    <w:link w:val="1148"/>
    <w:semiHidden/>
    <w:tblPr/>
  </w:style>
  <w:style w:type="numbering" w:styleId="1160">
    <w:name w:val="Нет списка"/>
    <w:next w:val="1160"/>
    <w:link w:val="1148"/>
    <w:uiPriority w:val="99"/>
    <w:semiHidden/>
  </w:style>
  <w:style w:type="character" w:styleId="1161">
    <w:name w:val="Заголовок 2 Знак"/>
    <w:next w:val="1161"/>
    <w:link w:val="1150"/>
    <w:rPr>
      <w:b/>
      <w:bCs/>
      <w:i/>
      <w:iCs/>
      <w:sz w:val="24"/>
      <w:szCs w:val="24"/>
    </w:rPr>
  </w:style>
  <w:style w:type="character" w:styleId="1162">
    <w:name w:val="Заголовок 3 Знак"/>
    <w:next w:val="1162"/>
    <w:link w:val="1151"/>
    <w:rPr>
      <w:rFonts w:ascii="Cambria" w:hAnsi="Cambria"/>
      <w:b/>
      <w:bCs/>
      <w:sz w:val="26"/>
      <w:szCs w:val="26"/>
      <w:lang w:val="en-US" w:eastAsia="en-US"/>
    </w:rPr>
  </w:style>
  <w:style w:type="character" w:styleId="1163">
    <w:name w:val="Заголовок 4 Знак"/>
    <w:next w:val="1163"/>
    <w:link w:val="1152"/>
    <w:rPr>
      <w:b/>
      <w:bCs/>
      <w:sz w:val="22"/>
      <w:szCs w:val="28"/>
      <w:lang w:val="en-US" w:eastAsia="en-US"/>
    </w:rPr>
  </w:style>
  <w:style w:type="paragraph" w:styleId="1164">
    <w:name w:val="Без интервала"/>
    <w:next w:val="1164"/>
    <w:link w:val="1165"/>
    <w:qFormat/>
    <w:rPr>
      <w:rFonts w:ascii="Calibri" w:hAnsi="Calibri"/>
      <w:sz w:val="22"/>
      <w:szCs w:val="22"/>
      <w:lang w:val="ru-RU" w:eastAsia="en-US" w:bidi="ar-SA"/>
    </w:rPr>
  </w:style>
  <w:style w:type="character" w:styleId="1165">
    <w:name w:val="Без интервала Знак"/>
    <w:next w:val="1165"/>
    <w:link w:val="1164"/>
    <w:rPr>
      <w:rFonts w:ascii="Calibri" w:hAnsi="Calibri"/>
      <w:sz w:val="22"/>
      <w:szCs w:val="22"/>
      <w:lang w:val="ru-RU" w:eastAsia="en-US" w:bidi="ar-SA"/>
    </w:rPr>
  </w:style>
  <w:style w:type="character" w:styleId="1166">
    <w:name w:val="Гиперссылка"/>
    <w:next w:val="1166"/>
    <w:link w:val="1148"/>
    <w:uiPriority w:val="99"/>
    <w:unhideWhenUsed/>
    <w:rPr>
      <w:rFonts w:ascii="Times New Roman" w:hAnsi="Times New Roman"/>
      <w:color w:val="0000ff"/>
      <w:sz w:val="24"/>
      <w:u w:val="none"/>
      <w:vertAlign w:val="baseline"/>
    </w:rPr>
  </w:style>
  <w:style w:type="paragraph" w:styleId="1167">
    <w:name w:val="Оглавление 2"/>
    <w:basedOn w:val="1148"/>
    <w:next w:val="1148"/>
    <w:link w:val="1148"/>
    <w:uiPriority w:val="39"/>
    <w:pPr>
      <w:ind w:left="240"/>
    </w:pPr>
    <w:rPr>
      <w:rFonts w:ascii="Calibri" w:hAnsi="Calibri"/>
      <w:smallCaps/>
      <w:sz w:val="20"/>
      <w:szCs w:val="20"/>
    </w:rPr>
  </w:style>
  <w:style w:type="paragraph" w:styleId="1168">
    <w:name w:val="Оглавление 1"/>
    <w:basedOn w:val="1148"/>
    <w:next w:val="1148"/>
    <w:link w:val="1148"/>
    <w:uiPriority w:val="39"/>
    <w:pPr>
      <w:spacing w:before="120" w:after="120"/>
    </w:pPr>
    <w:rPr>
      <w:bCs/>
      <w:caps/>
      <w:sz w:val="22"/>
      <w:szCs w:val="20"/>
    </w:rPr>
  </w:style>
  <w:style w:type="paragraph" w:styleId="1169">
    <w:name w:val="Верхний колонтитул"/>
    <w:basedOn w:val="1148"/>
    <w:next w:val="1169"/>
    <w:link w:val="1170"/>
    <w:uiPriority w:val="99"/>
    <w:pPr>
      <w:tabs>
        <w:tab w:val="center" w:pos="4677" w:leader="none"/>
        <w:tab w:val="right" w:pos="9355" w:leader="none"/>
      </w:tabs>
    </w:pPr>
    <w:rPr>
      <w:lang w:val="en-US" w:eastAsia="en-US"/>
    </w:rPr>
  </w:style>
  <w:style w:type="character" w:styleId="1170">
    <w:name w:val="Верхний колонтитул Знак"/>
    <w:next w:val="1170"/>
    <w:link w:val="1169"/>
    <w:uiPriority w:val="99"/>
    <w:rPr>
      <w:sz w:val="24"/>
      <w:szCs w:val="24"/>
    </w:rPr>
  </w:style>
  <w:style w:type="paragraph" w:styleId="1171">
    <w:name w:val="Основной текст,Основной текст_отчет,bt"/>
    <w:basedOn w:val="1148"/>
    <w:next w:val="1171"/>
    <w:link w:val="1172"/>
    <w:rPr>
      <w:b/>
      <w:bCs/>
      <w:lang w:val="en-US" w:eastAsia="en-US"/>
    </w:rPr>
  </w:style>
  <w:style w:type="character" w:styleId="1172">
    <w:name w:val="Основной текст Знак,Основной текст_отчет Знак,bt Знак"/>
    <w:next w:val="1172"/>
    <w:link w:val="1171"/>
    <w:rPr>
      <w:b/>
      <w:bCs/>
      <w:sz w:val="24"/>
      <w:szCs w:val="24"/>
    </w:rPr>
  </w:style>
  <w:style w:type="paragraph" w:styleId="1173">
    <w:name w:val="Цитата"/>
    <w:basedOn w:val="1148"/>
    <w:next w:val="1173"/>
    <w:link w:val="1148"/>
    <w:pPr>
      <w:ind w:left="-108" w:right="-108"/>
      <w:jc w:val="center"/>
    </w:pPr>
    <w:rPr>
      <w:b/>
      <w:bCs/>
    </w:rPr>
  </w:style>
  <w:style w:type="paragraph" w:styleId="117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8"/>
    <w:next w:val="1174"/>
    <w:link w:val="1175"/>
    <w:pPr>
      <w:jc w:val="both"/>
    </w:pPr>
    <w:rPr>
      <w:b/>
      <w:bCs/>
      <w:lang w:val="en-US" w:eastAsia="en-US"/>
    </w:rPr>
  </w:style>
  <w:style w:type="character" w:styleId="117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5"/>
    <w:link w:val="1174"/>
    <w:rPr>
      <w:b/>
      <w:bCs/>
      <w:sz w:val="24"/>
      <w:szCs w:val="24"/>
    </w:rPr>
  </w:style>
  <w:style w:type="paragraph" w:styleId="1176">
    <w:name w:val="Основной текст с отступом 2"/>
    <w:basedOn w:val="1148"/>
    <w:next w:val="1176"/>
    <w:link w:val="1191"/>
    <w:pPr>
      <w:ind w:firstLine="708"/>
      <w:jc w:val="both"/>
    </w:pPr>
    <w:rPr>
      <w:sz w:val="22"/>
      <w:szCs w:val="22"/>
      <w:lang w:val="en-US" w:eastAsia="en-US"/>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8"/>
    <w:next w:val="1177"/>
    <w:link w:val="1192"/>
    <w:qFormat/>
    <w:rPr>
      <w:sz w:val="20"/>
      <w:szCs w:val="20"/>
    </w:rPr>
  </w:style>
  <w:style w:type="paragraph" w:styleId="1178">
    <w:name w:val="Основной текст с отступом 3"/>
    <w:basedOn w:val="1148"/>
    <w:next w:val="1178"/>
    <w:link w:val="1148"/>
    <w:pPr>
      <w:ind w:left="283"/>
      <w:spacing w:after="120"/>
    </w:pPr>
    <w:rPr>
      <w:sz w:val="16"/>
      <w:szCs w:val="16"/>
    </w:rPr>
  </w:style>
  <w:style w:type="paragraph" w:styleId="1179">
    <w:name w:val="Основной текст 2"/>
    <w:basedOn w:val="1148"/>
    <w:next w:val="1179"/>
    <w:link w:val="1148"/>
    <w:pPr>
      <w:jc w:val="both"/>
      <w:spacing w:before="120" w:after="120"/>
    </w:p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48"/>
    <w:qFormat/>
    <w:rPr>
      <w:vertAlign w:val="superscript"/>
    </w:rPr>
  </w:style>
  <w:style w:type="paragraph" w:styleId="1181">
    <w:name w:val="Текст выноски"/>
    <w:basedOn w:val="1148"/>
    <w:next w:val="1181"/>
    <w:link w:val="1197"/>
    <w:uiPriority w:val="99"/>
    <w:semiHidden/>
    <w:rPr>
      <w:rFonts w:ascii="Tahoma" w:hAnsi="Tahoma" w:cs="Tahoma"/>
      <w:sz w:val="16"/>
      <w:szCs w:val="16"/>
    </w:rPr>
  </w:style>
  <w:style w:type="paragraph" w:styleId="1182">
    <w:name w:val="Нижний колонтитул"/>
    <w:basedOn w:val="1148"/>
    <w:next w:val="1182"/>
    <w:link w:val="1183"/>
    <w:uiPriority w:val="99"/>
    <w:pPr>
      <w:tabs>
        <w:tab w:val="center" w:pos="4677" w:leader="none"/>
        <w:tab w:val="right" w:pos="9355" w:leader="none"/>
      </w:tabs>
    </w:pPr>
    <w:rPr>
      <w:lang w:val="en-US" w:eastAsia="en-US"/>
    </w:rPr>
  </w:style>
  <w:style w:type="character" w:styleId="1183">
    <w:name w:val="Нижний колонтитул Знак"/>
    <w:next w:val="1183"/>
    <w:link w:val="1182"/>
    <w:uiPriority w:val="99"/>
    <w:rPr>
      <w:sz w:val="24"/>
      <w:szCs w:val="24"/>
    </w:rPr>
  </w:style>
  <w:style w:type="paragraph" w:styleId="1184">
    <w:name w:val="Оглавление 3"/>
    <w:basedOn w:val="1148"/>
    <w:next w:val="1148"/>
    <w:link w:val="1148"/>
    <w:semiHidden/>
    <w:pPr>
      <w:ind w:left="480"/>
    </w:pPr>
    <w:rPr>
      <w:rFonts w:ascii="Calibri" w:hAnsi="Calibri"/>
      <w:i/>
      <w:iCs/>
      <w:sz w:val="20"/>
      <w:szCs w:val="20"/>
    </w:rPr>
  </w:style>
  <w:style w:type="paragraph" w:styleId="1185">
    <w:name w:val="Оглавление 4"/>
    <w:basedOn w:val="1148"/>
    <w:next w:val="1148"/>
    <w:link w:val="1148"/>
    <w:semiHidden/>
    <w:pPr>
      <w:ind w:left="720"/>
    </w:pPr>
    <w:rPr>
      <w:rFonts w:ascii="Calibri" w:hAnsi="Calibri"/>
      <w:sz w:val="18"/>
      <w:szCs w:val="18"/>
    </w:rPr>
  </w:style>
  <w:style w:type="paragraph" w:styleId="1186">
    <w:name w:val="Оглавление 5"/>
    <w:basedOn w:val="1148"/>
    <w:next w:val="1148"/>
    <w:link w:val="1148"/>
    <w:semiHidden/>
    <w:pPr>
      <w:ind w:left="960"/>
    </w:pPr>
    <w:rPr>
      <w:rFonts w:ascii="Calibri" w:hAnsi="Calibri"/>
      <w:sz w:val="18"/>
      <w:szCs w:val="18"/>
    </w:rPr>
  </w:style>
  <w:style w:type="paragraph" w:styleId="1187">
    <w:name w:val="Оглавление 6"/>
    <w:basedOn w:val="1148"/>
    <w:next w:val="1148"/>
    <w:link w:val="1148"/>
    <w:semiHidden/>
    <w:pPr>
      <w:ind w:left="1200"/>
    </w:pPr>
    <w:rPr>
      <w:rFonts w:ascii="Calibri" w:hAnsi="Calibri"/>
      <w:sz w:val="18"/>
      <w:szCs w:val="18"/>
    </w:rPr>
  </w:style>
  <w:style w:type="paragraph" w:styleId="1188">
    <w:name w:val="Оглавление 7"/>
    <w:basedOn w:val="1148"/>
    <w:next w:val="1148"/>
    <w:link w:val="1148"/>
    <w:semiHidden/>
    <w:pPr>
      <w:ind w:left="1440"/>
    </w:pPr>
    <w:rPr>
      <w:rFonts w:ascii="Calibri" w:hAnsi="Calibri"/>
      <w:sz w:val="18"/>
      <w:szCs w:val="18"/>
    </w:rPr>
  </w:style>
  <w:style w:type="paragraph" w:styleId="1189">
    <w:name w:val="Оглавление 8"/>
    <w:basedOn w:val="1148"/>
    <w:next w:val="1148"/>
    <w:link w:val="1148"/>
    <w:semiHidden/>
    <w:pPr>
      <w:ind w:left="1680"/>
    </w:pPr>
    <w:rPr>
      <w:rFonts w:ascii="Calibri" w:hAnsi="Calibri"/>
      <w:sz w:val="18"/>
      <w:szCs w:val="18"/>
    </w:rPr>
  </w:style>
  <w:style w:type="paragraph" w:styleId="1190">
    <w:name w:val="Оглавление 9"/>
    <w:basedOn w:val="1148"/>
    <w:next w:val="1148"/>
    <w:link w:val="1148"/>
    <w:semiHidden/>
    <w:pPr>
      <w:ind w:left="1920"/>
    </w:pPr>
    <w:rPr>
      <w:rFonts w:ascii="Calibri" w:hAnsi="Calibri"/>
      <w:sz w:val="18"/>
      <w:szCs w:val="18"/>
    </w:rPr>
  </w:style>
  <w:style w:type="character" w:styleId="1191">
    <w:name w:val="Основной текст с отступом 2 Знак"/>
    <w:next w:val="1191"/>
    <w:link w:val="1176"/>
    <w:rPr>
      <w:sz w:val="22"/>
      <w:szCs w:val="22"/>
    </w:rPr>
  </w:style>
  <w:style w:type="character" w:styleId="119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2"/>
    <w:link w:val="1177"/>
  </w:style>
  <w:style w:type="paragraph" w:styleId="1193">
    <w:name w:val="Нормальный"/>
    <w:next w:val="1193"/>
    <w:link w:val="1148"/>
    <w:rPr>
      <w:rFonts w:ascii="TimesET" w:hAnsi="TimesET" w:cs="TimesET"/>
      <w:b/>
      <w:bCs/>
      <w:i/>
      <w:iCs/>
      <w:smallCaps/>
      <w:sz w:val="24"/>
      <w:szCs w:val="24"/>
      <w:lang w:val="ru-RU" w:eastAsia="ru-RU" w:bidi="ar-SA"/>
    </w:rPr>
  </w:style>
  <w:style w:type="paragraph" w:styleId="1194">
    <w:name w:val="Default"/>
    <w:next w:val="1194"/>
    <w:link w:val="1148"/>
    <w:rPr>
      <w:rFonts w:eastAsia="Calibri"/>
      <w:color w:val="000000"/>
      <w:sz w:val="24"/>
      <w:szCs w:val="24"/>
      <w:lang w:val="ru-RU" w:eastAsia="ru-RU" w:bidi="ar-SA"/>
    </w:rPr>
  </w:style>
  <w:style w:type="numbering" w:styleId="1195">
    <w:name w:val="Нет списка1"/>
    <w:next w:val="1160"/>
    <w:link w:val="1148"/>
    <w:uiPriority w:val="99"/>
    <w:semiHidden/>
    <w:unhideWhenUsed/>
  </w:style>
  <w:style w:type="paragraph" w:styleId="1196">
    <w:name w:val="Абзац списка"/>
    <w:basedOn w:val="1148"/>
    <w:next w:val="1196"/>
    <w:link w:val="1148"/>
    <w:uiPriority w:val="34"/>
    <w:qFormat/>
    <w:pPr>
      <w:contextualSpacing/>
      <w:ind w:left="720"/>
      <w:spacing w:after="200" w:line="276" w:lineRule="auto"/>
    </w:pPr>
    <w:rPr>
      <w:rFonts w:ascii="Calibri" w:hAnsi="Calibri" w:eastAsia="Calibri"/>
      <w:sz w:val="22"/>
      <w:szCs w:val="22"/>
      <w:lang w:eastAsia="en-US"/>
    </w:rPr>
  </w:style>
  <w:style w:type="character" w:styleId="1197">
    <w:name w:val="Текст выноски Знак"/>
    <w:next w:val="1197"/>
    <w:link w:val="1181"/>
    <w:uiPriority w:val="99"/>
    <w:semiHidden/>
    <w:rPr>
      <w:rFonts w:ascii="Tahoma" w:hAnsi="Tahoma" w:cs="Tahoma"/>
      <w:sz w:val="16"/>
      <w:szCs w:val="16"/>
    </w:rPr>
  </w:style>
  <w:style w:type="paragraph" w:styleId="1198">
    <w:name w:val="Заголовок"/>
    <w:basedOn w:val="1148"/>
    <w:next w:val="1148"/>
    <w:link w:val="1199"/>
    <w:qFormat/>
    <w:pPr>
      <w:jc w:val="center"/>
      <w:spacing w:before="240" w:after="60"/>
      <w:outlineLvl w:val="0"/>
    </w:pPr>
    <w:rPr>
      <w:rFonts w:ascii="Calibri Light" w:hAnsi="Calibri Light" w:eastAsia="Times New Roman" w:cs="Times New Roman"/>
      <w:b/>
      <w:bCs/>
      <w:sz w:val="32"/>
      <w:szCs w:val="32"/>
    </w:rPr>
  </w:style>
  <w:style w:type="character" w:styleId="1199">
    <w:name w:val="Заголовок Знак"/>
    <w:next w:val="1199"/>
    <w:link w:val="1198"/>
    <w:rPr>
      <w:rFonts w:ascii="Calibri Light" w:hAnsi="Calibri Light" w:eastAsia="Times New Roman" w:cs="Times New Roman"/>
      <w:b/>
      <w:bCs/>
      <w:sz w:val="32"/>
      <w:szCs w:val="32"/>
    </w:rPr>
  </w:style>
  <w:style w:type="paragraph" w:styleId="1200">
    <w:name w:val="Подзаголовок"/>
    <w:basedOn w:val="1148"/>
    <w:next w:val="1148"/>
    <w:link w:val="1201"/>
    <w:qFormat/>
    <w:pPr>
      <w:jc w:val="center"/>
      <w:spacing w:after="60"/>
      <w:outlineLvl w:val="1"/>
    </w:pPr>
    <w:rPr>
      <w:rFonts w:ascii="Calibri Light" w:hAnsi="Calibri Light" w:eastAsia="Times New Roman" w:cs="Times New Roman"/>
    </w:rPr>
  </w:style>
  <w:style w:type="character" w:styleId="1201">
    <w:name w:val="Подзаголовок Знак"/>
    <w:next w:val="1201"/>
    <w:link w:val="1200"/>
    <w:rPr>
      <w:rFonts w:ascii="Calibri Light" w:hAnsi="Calibri Light" w:eastAsia="Times New Roman" w:cs="Times New Roman"/>
      <w:sz w:val="24"/>
      <w:szCs w:val="24"/>
    </w:rPr>
  </w:style>
  <w:style w:type="character" w:styleId="1202">
    <w:name w:val="Заголовок 5 Знак"/>
    <w:next w:val="1202"/>
    <w:link w:val="1153"/>
    <w:rPr>
      <w:b/>
      <w:bCs/>
      <w:i/>
      <w:iCs/>
      <w:sz w:val="26"/>
      <w:szCs w:val="26"/>
    </w:rPr>
  </w:style>
  <w:style w:type="paragraph" w:styleId="1203">
    <w:name w:val="msonormal"/>
    <w:basedOn w:val="1148"/>
    <w:next w:val="1203"/>
    <w:link w:val="1148"/>
    <w:pPr>
      <w:spacing w:before="100" w:beforeAutospacing="1" w:after="100" w:afterAutospacing="1"/>
    </w:pPr>
  </w:style>
  <w:style w:type="character" w:styleId="1204">
    <w:name w:val="Выделение"/>
    <w:next w:val="1204"/>
    <w:link w:val="1148"/>
    <w:qFormat/>
    <w:rPr>
      <w:i/>
      <w:iCs/>
    </w:rPr>
  </w:style>
  <w:style w:type="character" w:styleId="1205">
    <w:name w:val="Заголовок 6 Знак"/>
    <w:next w:val="1205"/>
    <w:link w:val="1154"/>
    <w:rPr>
      <w:b/>
      <w:bCs/>
      <w:sz w:val="24"/>
      <w:szCs w:val="22"/>
    </w:rPr>
  </w:style>
  <w:style w:type="character" w:styleId="1206">
    <w:name w:val="Заголовок 7 Знак"/>
    <w:next w:val="1206"/>
    <w:link w:val="1155"/>
    <w:rPr>
      <w:rFonts w:ascii="Calibri" w:hAnsi="Calibri"/>
      <w:sz w:val="24"/>
      <w:szCs w:val="24"/>
    </w:rPr>
  </w:style>
  <w:style w:type="character" w:styleId="1207">
    <w:name w:val="Заголовок 9 Знак"/>
    <w:next w:val="1207"/>
    <w:link w:val="1157"/>
    <w:rPr>
      <w:rFonts w:ascii="Calibri Light" w:hAnsi="Calibri Light"/>
      <w:sz w:val="22"/>
      <w:szCs w:val="22"/>
    </w:rPr>
  </w:style>
  <w:style w:type="character" w:styleId="1208">
    <w:name w:val="Знак примечания"/>
    <w:next w:val="1208"/>
    <w:link w:val="1148"/>
    <w:rPr>
      <w:sz w:val="16"/>
      <w:szCs w:val="16"/>
    </w:rPr>
  </w:style>
  <w:style w:type="paragraph" w:styleId="1209">
    <w:name w:val="Текст примечания"/>
    <w:basedOn w:val="1148"/>
    <w:next w:val="1209"/>
    <w:link w:val="1210"/>
    <w:rPr>
      <w:sz w:val="20"/>
      <w:szCs w:val="20"/>
    </w:rPr>
  </w:style>
  <w:style w:type="character" w:styleId="1210">
    <w:name w:val="Текст примечания Знак"/>
    <w:basedOn w:val="1158"/>
    <w:next w:val="1210"/>
    <w:link w:val="1209"/>
  </w:style>
  <w:style w:type="paragraph" w:styleId="1211">
    <w:name w:val="Тема примечания"/>
    <w:basedOn w:val="1209"/>
    <w:next w:val="1209"/>
    <w:link w:val="1212"/>
    <w:rPr>
      <w:b/>
      <w:bCs/>
    </w:rPr>
  </w:style>
  <w:style w:type="character" w:styleId="1212">
    <w:name w:val="Тема примечания Знак"/>
    <w:next w:val="1212"/>
    <w:link w:val="1211"/>
    <w:rPr>
      <w:b/>
      <w:bCs/>
    </w:rPr>
  </w:style>
  <w:style w:type="numbering" w:styleId="1213">
    <w:name w:val="Нет списка2"/>
    <w:next w:val="1160"/>
    <w:link w:val="1148"/>
    <w:uiPriority w:val="99"/>
    <w:semiHidden/>
    <w:unhideWhenUsed/>
  </w:style>
  <w:style w:type="character" w:styleId="1214">
    <w:name w:val="Просмотренная гиперссылка"/>
    <w:next w:val="1214"/>
    <w:link w:val="1148"/>
    <w:rPr>
      <w:color w:val="954f72"/>
      <w:u w:val="single"/>
    </w:rPr>
  </w:style>
  <w:style w:type="character" w:styleId="1215" w:default="1">
    <w:name w:val="Default Paragraph Font"/>
    <w:uiPriority w:val="1"/>
    <w:semiHidden/>
    <w:unhideWhenUsed/>
  </w:style>
  <w:style w:type="numbering" w:styleId="1216" w:default="1">
    <w:name w:val="No List"/>
    <w:uiPriority w:val="99"/>
    <w:semiHidden/>
    <w:unhideWhenUsed/>
  </w:style>
  <w:style w:type="table" w:styleId="121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lastModifiedBy>sadikova-gi</cp:lastModifiedBy>
  <cp:revision>22</cp:revision>
  <dcterms:created xsi:type="dcterms:W3CDTF">2024-07-23T14:00:00Z</dcterms:created>
  <dcterms:modified xsi:type="dcterms:W3CDTF">2025-12-30T07:40:16Z</dcterms:modified>
  <cp:version>1048576</cp:version>
</cp:coreProperties>
</file>