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ОТЧЕТ ЭМИТЕНТА ЭМИССИОННЫХ ЦЕННЫХ БУМАГ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1052"/>
        <w:rPr>
          <w:iCs/>
          <w:sz w:val="24"/>
          <w:szCs w:val="24"/>
          <w:highlight w:val="white"/>
          <w:u w:val="single"/>
        </w:rPr>
      </w:pPr>
      <w:r>
        <w:rPr>
          <w:iCs/>
          <w:sz w:val="24"/>
          <w:szCs w:val="24"/>
          <w:highlight w:val="white"/>
          <w:u w:val="single"/>
        </w:rPr>
      </w:r>
      <w:r>
        <w:rPr>
          <w:iCs/>
          <w:sz w:val="24"/>
          <w:szCs w:val="24"/>
          <w:highlight w:val="white"/>
          <w:u w:val="single"/>
        </w:rPr>
      </w:r>
      <w:r>
        <w:rPr>
          <w:iCs/>
          <w:sz w:val="24"/>
          <w:szCs w:val="24"/>
          <w:highlight w:val="white"/>
          <w:u w:val="single"/>
        </w:rPr>
      </w:r>
    </w:p>
    <w:p>
      <w:pPr>
        <w:pStyle w:val="1052"/>
        <w:rPr>
          <w:iCs/>
          <w:sz w:val="24"/>
          <w:szCs w:val="24"/>
          <w:highlight w:val="white"/>
          <w:u w:val="single"/>
        </w:rPr>
      </w:pPr>
      <w:r>
        <w:rPr>
          <w:iCs/>
          <w:sz w:val="24"/>
          <w:szCs w:val="24"/>
          <w:highlight w:val="white"/>
          <w:u w:val="single"/>
        </w:rPr>
      </w:r>
      <w:r>
        <w:rPr>
          <w:iCs/>
          <w:sz w:val="24"/>
          <w:szCs w:val="24"/>
          <w:highlight w:val="white"/>
          <w:u w:val="single"/>
        </w:rPr>
      </w:r>
      <w:r>
        <w:rPr>
          <w:iCs/>
          <w:sz w:val="24"/>
          <w:szCs w:val="24"/>
          <w:highlight w:val="white"/>
          <w:u w:val="single"/>
        </w:rPr>
      </w:r>
    </w:p>
    <w:p>
      <w:pPr>
        <w:pStyle w:val="1052"/>
        <w:jc w:val="center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  <w:u w:val="single"/>
        </w:rPr>
        <w:t xml:space="preserve">Акционерное общество "Российский Сельскохозяйственный банк"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Код эмитента: 03349-В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месяцев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содержащаяся в настоящем отчете эмитента, подлежит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раскрытию в соответствии с законодательством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Российской Федерации о ценных бумагах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119034, г. Москва, Гагаринский пер., д. 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149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Контактное лицо: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Телефон: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 электронной почты: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Управляющий директор управления эмиссии акций и облигаций Департамента по работе на рынках капитала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Прохорова Юлия Евгеньевна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 (495) 662-15-99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office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rshb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 страницы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hyperlink r:id="rId11" w:tooltip="http://www.e-disclosure.ru/portal/company.aspx?id=3207" w:history="1">
              <w:r>
                <w:rPr>
                  <w:rStyle w:val="1067"/>
                  <w:rFonts w:ascii="Times New Roman" w:hAnsi="Times New Roman"/>
                  <w:sz w:val="24"/>
                  <w:szCs w:val="24"/>
                  <w:highlight w:val="white"/>
                </w:rPr>
                <w:t xml:space="preserve">http://www.e-disclosure.ru/portal/company.aspx?id=3207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067"/>
                <w:rFonts w:ascii="Times New Roman" w:hAnsi="Times New Roman"/>
                <w:sz w:val="24"/>
                <w:szCs w:val="24"/>
                <w:highlight w:val="white"/>
              </w:rPr>
              <w:t xml:space="preserve">http://www.rshb.ru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86"/>
        <w:gridCol w:w="1587"/>
        <w:gridCol w:w="20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Заместитель Председателя Правления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(на основании доверенности от 14.07.2025 № 234)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ind w:left="28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"05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" сентября 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20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ОГЛАВЛЕНИЕ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8648"/>
        <w:gridCol w:w="992"/>
      </w:tblGrid>
      <w:tr>
        <w:tblPrEx/>
        <w:trPr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6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Стр.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Раздел 1. Управленческий отчет эмитента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1.1. Общие сведения об эмитенте и его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1.2. Сведения о положении эмитента в отрасли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1.3. Основные операционные показатели, характеризующие деятельность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1.4. Основные финансовые показатели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1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1.4.1 Основные финансовые показатели эмитента, рассчитываемые на основе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консолидированной финансовой отчетности (финансовой отчетности), за исключением эмитентов, являющихся кредитной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1.4.2 Основные финансовые показатели эмитента, рассчитываемые на основе бухгалтерской (финансовой) отчетности (для эмитентов, не составляющих и не раскрывающих консолидированную финансовую отчетность (финансовую отчетность)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1.4.3 Основные финансовые показатели эмитентов, являющихся кредитными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1.4.4 Иные финансовые показатели, в том числе характеризующие финансовые результаты деятельности эмитента (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группы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деятельности эмитента (группы эмитента)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1.4.5. Анализ динамики изменения финансовых показателей, приведенных в подпункте 1.4.3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1.5. Сведения об основных поставщиках эмитента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1.6. Сведения об основных дебиторах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эмитента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1.7. Сведения об обязательствах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1.7.1. Сведения об основных кредиторах эмитента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1.7.2. Сведения об обязательствах эмитента из предоставленного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1.7.3. Сведения о прочих существенных обязательствах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1.8. Сведения о перспективах развития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 Сведения о рисках, связанных с деятельностью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1.9.1. Банковские риски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1.9.1.1. Кредитный риск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1.9.1.2. Рыночный риск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 Процентный риск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Риск ликвидности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Операционный риск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Риск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концентрации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1.9.1.7.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Комплаенс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-риск (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регуляторный риск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1.9.1.8. Стратегический риск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1.9.1.9. Риск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секьюретизации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Страновые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региональные риски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Правовые риски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1.9.4. Риск потери деловой репутации (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репутационый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риск)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Природно-климатический риск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1.9.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Иные риски, которые являются существенными для эмитента (группы эмитента)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II.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2.1. Информация о лицах, входящих в состав органов управления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2.2. Сведения о политике в области вознаграждения и (или) компенсации расходов, а также о размере вознаграждения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(или) компенсации расходов по каждому органу управления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3.1. Сведения об общем количестве акционеров (участников, членов)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("золотой акции")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3.4. Сделки эмитента, в совершении которых имелась заинтересованность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3.5. Крупные сделки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Раздел 4. Дополнительные сведения об эмитенте и о размещенных им ценных бумагах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9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4.1. Подконтрольные эмитенту организации, имеющие для него существенное значение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0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4.2. Дополнительные сведения, раскрываемые эмитентами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зеленых облигаций, социальных облигаций, облигаций устойчивого развития, адаптационных облигаций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4.2.1. Инфо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зеленых облигаций, социальных облигаций, облигаций устойчивого развития, адаптационных облигаций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4.2.2. Описание политики эмитента по управлению денежными средствами, полученными от размещения зеленых облигаций, социальных облигаций, облигаций устойчивого развития, адаптационных облигаций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4.2.3. Отчет об использовании денежных средств, полученных от размещения зеленых облигаций, социальных облигаций, облигаций устойчивого развития, адаптационных облигаций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4.2(1). Дополнительные сведения, раскрываемые эмитентами инфраструктурных облигаций.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4.2(1).1. Информация о целевом использовании денежных средств, полученных от размещения инфраструктурных облигаций.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4.2(1).2. Информация о реализации инфраструктурного проекта.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4.2(2). Дополнительные сведения, раскрываемые эмитентами облигаций, связанных с целями устойчивого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4.2(2).1. Описание стратегии устойчивого развития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4.2(2).2. Информация о текущем (фактическом) значении ключевого показателя (показателей) деятельности эмитента, связанного с достижением целей устойчивого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4.2(3). Дополнительные сведения, раскрываемые эмитентами облигаций климатического перехода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4.2(3).1. Описание стратегии климатического перехода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4.2(3).2. Информация о реализации стратегии климатического перехода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4.3.1. Дополнительные сведения об ипотечном покрытии по облигациям эмитента с ипотечным покрытием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4.3.2.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4.4. Сведения об объявленных и выплаченных дивидендах по акциям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4.5. Сведения об организациях, осуществляющих учет прав на эмиссионные ценные бумаги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4.5.1 Сведения о регистраторе, осуществляющем ведение реестра владельцев ценных бумаг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4.5.2. Сведения о депозитарии, осуществляющем централизованный учет прав на ценные бумаги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4.6. Информация об аудиторе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Раздел 5. Консолидированная финансовая отчетность (финансовая отчетность), бухгалтерская (финансовая) отчетность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6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5.1. Консолидированная финансовая отчетность (финансовая отчетность)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5.2. Бухгалтерская (финансовая) отчетность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center"/>
        <w:pageBreakBefore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Введение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pStyle w:val="1069"/>
        <w:ind w:firstLine="709"/>
        <w:rPr>
          <w:sz w:val="24"/>
          <w:szCs w:val="24"/>
          <w:highlight w:val="white"/>
        </w:rPr>
      </w:pPr>
      <w:r>
        <w:rPr>
          <w:highlight w:val="white"/>
        </w:rPr>
      </w:r>
      <w:bookmarkStart w:id="0" w:name="_Toc322702117"/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9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Основания возникновения обязанности осуществлять раскрытие информации в форме Отчета</w:t>
      </w:r>
      <w:bookmarkEnd w:id="0"/>
      <w:r>
        <w:rPr>
          <w:sz w:val="24"/>
          <w:szCs w:val="24"/>
          <w:highlight w:val="white"/>
        </w:rPr>
        <w:t xml:space="preserve"> эмитента.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Акционерное общество «Российский Сельскохозяйственный банк» (далее по тексту – АО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», «Банк», «Кредитная организация – эмитент», «Эмитент», «РСХБ») раскрывает информацию в форме отчета эмитента (далее по тексту – «О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тчет», «Отчет эм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итента») в соответствии с пунктом 4 статьи 30 Федерального закона от 22.04.1996                 № 39-ФЗ «О рынке ценных бумаг» и п. 11.1 главы 11 Положения Банка России от 27.03.2020 № 714-П «О раскрытии информации эмитентами эмиссионных ценных бумаг» (дал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ее – Положение о раскрытии информации),  в связи с регистрацией Банком в отношении своих ценных бумаг проспектов ценных бумаг, а также в связи с допуском биржевых облигаций Банка к организованным торгам на бирже (с предоставлением бирже проспекта биржевых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облигаций).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приложении № 1 настоящего Отчета приведен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консолидированная финансовая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отчетность в отношении Акционерного общества «Российский Сельскохозяйственный банк» и его дочерних организаций (совместно именуемых — «Группа», «Группа эмитента») за             6 месяцев, закончившийся 30 июня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года, подготовленная в соответствии с Международными стандартами финансо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вой отчетности, принятыми Советом по Международным стандартам финансовой отчетности («СМСФО»),  с аудиторским заключением независимого аудитора, на основании которой в Отчете эмитента раскрывается информация о финансово-хозяйственной деятельности Эмитента.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о финанс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ово-хозяйственной деятельности Э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митента отражает его деятельность в качестве организации, которая вместе с другими организациями в соответствии с МСФО определяется как группа.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Консолидированная финансовая отчетность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основании которой в настоящем Отчете эмитента раскрыта информация о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митента, дает объективное и достоверное представление об активах, обязательствах, финансовом состоянии, прибыли или убытке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митента. Информация о финансовом состоянии и результатах деятельности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митента содержит достоверное представление о деятельности эмитента, а также об основных рисках, связанных с его деятельностью.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Настоящий Отчет эмитента содержит оценки и прогнозы в отношении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будущих событий и (или) действий, перспектив развития отрасли экономики, в которой Эмитент осуществляет основную деятельность, и результатов деятельности Эмитента, его планов, вероятности наступления определенных событий и совершения определенных действий.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Инвесторы не должны полностью полагаться на оценки и прогнозы, приведенные в настоя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щем Отчете эмитента, так как фактические результаты деятельности Эмитента в будущем могут отличаться от прогнозируемых результатов по многим причинам. Приобретение ценных бумаг Эмитента связано с рисками, в том числе описанными в настоящем Отчете эмитента.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*В соответствии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абзацем 12 пункта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Постановления Правительства Российской Федерации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 акционерных обществах» и Федерального закона «О рынке ценных бумаг» и Решением Совета директоров Банка России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24.12.2024               «О требованиях к раскрытию кредитными организациями (головными кредитными организациями банковских групп) отчетности и информации в 2025 году»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риложение 1 к Отчету эмитента не раскрывается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Раздел 1. Управленческий отчет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highlight w:val="white"/>
        </w:rPr>
      </w:r>
      <w:bookmarkStart w:id="1" w:name="Par20"/>
      <w:r>
        <w:rPr>
          <w:highlight w:val="white"/>
        </w:rPr>
      </w:r>
      <w:bookmarkEnd w:id="1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1.1. Общие сведения об эмитенте и его деятельности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К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раткая информация об эмитенте: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outlineLvl w:val="3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04.07.202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пункту 7 и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Приложения к Постановлению Правительства Российской Федерации от 04.07.2023 № 1102, информация в данном пункте раскрывается не в полном объеме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Полное и сокращенное фирменные наименования эмитента: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4390"/>
        <w:gridCol w:w="4819"/>
      </w:tblGrid>
      <w:tr>
        <w:tblPrEx/>
        <w:trPr>
          <w:jc w:val="center"/>
          <w:trHeight w:val="4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Полное фирменное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Акционерное общество «Российский Сельскохозяйственный банк»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19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введено 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Сокращенное фирменное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АО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1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введено 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Уставом Банка: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полное фирменное наименование Банка на русском языке – Акционерное общество «Российский Сельскохозяйственный банк»;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полное фирменное наименование Банка на английском языке – 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Joint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stock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company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Russian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Agricultural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Bank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сокращенное фирменное наименование Банка на русском языке –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сокращенное фирменное наименование Банка на английском языке –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JSC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Rosselkhozbank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Место нахождения и адрес эмитента: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5012"/>
        <w:gridCol w:w="4168"/>
      </w:tblGrid>
      <w:tr>
        <w:tblPrEx/>
        <w:trPr>
          <w:jc w:val="center"/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Место нахождения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Российская Федерация, г. Москва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119034, г. Москва, Гагаринский переулок, дом 3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способе и дате создания эмитента: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 создан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2000 году в соответствии с распоряжением Президента Российской Федерации от 15 марта 2000 г. № 75-рп.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ключевым звеном национальной кредитно-финансовой системы обслуживания товаропроизводителей в сфере агропромышленного комплекса.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Учредитель Банка - Агентство по реструктуризации кредитных организаций –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ГК АРКО (Решение о создании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принято Советом директоров Агентства 21.01.2000 г.). В ходе второй дополнительной эмиссии акций Банка 1 марта 2001 г. в состав акционеров вошла Российская Федерация в лице Российского фонда федерального имущества.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pStyle w:val="1074"/>
        <w:ind w:firstLine="709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 июля 2001 г. состоялась передача акций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принадлежащих ГК АРКО, Российскому фонду федерального имущества согласно распоряжению Правительства Российской Федерации от 21 марта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2001 г. № 394-р.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03 декабря 2004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 № 738 «Об управлении находящимися в федеральной собственности акциями открытых акционерных обществ и использовани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 специального права на участие Российской Федерации в управлении открытыми акционерными обществами («золотой акции»)» с 10 марта 2005 г. права акционера от имени Российской Федерации осуществляет Федеральное агентство по управлению федеральным имуществом.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Указа Президента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 12 мая 2008 г. № 724 Федеральное агентство по управлению федеральным имуществом преобразовано в Федеральное агентство по управлению государственным имуществом, действующее на основании постановления Правительства Российской Федерации от 5 июня 2008 г.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432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«О Федеральном агентстве по управлению государственным имуществом».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Случаи изменения наименования и (или) реорг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анизации эмитента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в течение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    2022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6 месяцев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2025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года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 месяцев 2025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Эмитент не изменял наименование. Реорганизация не проводилась.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Основной государственный регистрационный номер (ОГРН) и идентификационный номер налогоплательщика (ИНН) эмитента: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tbl>
      <w:tblPr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547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7725114488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1027700342890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Финансово-хозяйственная деятельность, операционные сегменты и география осуществления финансово-хозяйственной деятельности группы эмитента.  Краткая характеристика группы эмитента с указанием общего числа организаций, составляющих группу эмитента: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Группа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Банка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включает в себя Банк и его дочерние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общества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Все дочерние общества Банка находятся под контролем Банка (прямой или косвенный контроль через Подконтрольные организации Банка).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en-US"/>
        </w:rPr>
        <w:t xml:space="preserve">Диверсификация бизнеса Банка осуществляется за счет расширения продуктовой линейки, развития системы кросс-продаж, в том числе при участии организаций Группы Банка, отвеч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en-US"/>
        </w:rPr>
        <w:t xml:space="preserve">ающих за отдельные бизнес-направления (страхование, управление активами, факторинг, лизинг и др.).</w:t>
      </w:r>
      <w:r>
        <w:rPr>
          <w:rFonts w:eastAsia="Calibri"/>
          <w:color w:val="000000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Основным видом деятельности Банка являются коммерческие и розничные банковские операции на территории Российской Федерации, главным образом, кредитование агропромышленных предприятий. Основные задачи деятельности Банка заключаются в следующем: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107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участие в реализации кредитно-денежной политики Российской Федерации в сфере агропромышленного производства;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7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формирование в сфере агропромышленного производства национальной кредитно-финансовой системы обслуживания отечественных сельскохозяйственных товаропроизводителей; а также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7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участие в обеспечении эффективного и бесперебойного функционирования системы расчетов в агропромышленном комплексе на всей территории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 имеет 64 филиал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Российской Федерации. Банк зарегистрирован по следующему адресу: 119034, Россия, г. Москва, Гагаринский пер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еулок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 Основным местом ведения деятельности Банка является: 123112, Россия, г. Москва, Пресненская наб., 10, стр. 2. 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рганизации Группы Банка широко представлены на рынке, продукты компаний реализуются, в том числе, через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региональную сеть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(офисы)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Банка.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Личный закон участников Группы эмитента: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Все участники Группы эмитента в своей деятельности руководствуются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62"/>
        <w:ind w:firstLine="709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pStyle w:val="1062"/>
        <w:ind w:firstLine="709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Ограничения на долю участия иностранных лиц в уставном капитале </w:t>
      </w:r>
      <w:r>
        <w:rPr>
          <w:b/>
          <w:i/>
          <w:sz w:val="24"/>
          <w:szCs w:val="24"/>
          <w:highlight w:val="white"/>
        </w:rPr>
        <w:t xml:space="preserve">Э</w:t>
      </w:r>
      <w:r>
        <w:rPr>
          <w:b/>
          <w:i/>
          <w:sz w:val="24"/>
          <w:szCs w:val="24"/>
          <w:highlight w:val="white"/>
        </w:rPr>
        <w:t xml:space="preserve">митента, установленные законодательством Российской Федерации или иными нормативными правовыми актами Российской Федерации:</w:t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pStyle w:val="1062"/>
        <w:ind w:firstLine="709"/>
        <w:rPr>
          <w:b/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Федеральным законом </w:t>
      </w:r>
      <w:r>
        <w:rPr>
          <w:sz w:val="24"/>
          <w:szCs w:val="24"/>
          <w:highlight w:val="white"/>
        </w:rPr>
        <w:t xml:space="preserve">от 02.12.1990 № 395-1 «О банках и банковской деятельности» </w:t>
      </w:r>
      <w:r>
        <w:rPr>
          <w:sz w:val="24"/>
          <w:szCs w:val="24"/>
          <w:highlight w:val="white"/>
        </w:rPr>
        <w:t xml:space="preserve">установлено, что </w:t>
      </w:r>
      <w:r>
        <w:rPr>
          <w:sz w:val="24"/>
          <w:szCs w:val="24"/>
          <w:highlight w:val="white"/>
        </w:rPr>
        <w:t xml:space="preserve">Банком России по состоянию на 1 января каждого года рассчитывается </w:t>
      </w:r>
      <w:r>
        <w:rPr>
          <w:sz w:val="24"/>
          <w:szCs w:val="24"/>
          <w:highlight w:val="white"/>
        </w:rPr>
        <w:t xml:space="preserve">размер участия иностранного капитала в совокупном уставном капитале кредитных организаций, имеющих лицензию на осуществление банковских операций</w:t>
      </w:r>
      <w:r>
        <w:rPr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 xml:space="preserve"> как соотношение иностранных инвестиций нерезидентов в уставные капиталы кредитных организаций, имеющих лицензию на осуществление банковских операций, и совокупного уставного капитала указанных кредитных организаций.</w:t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расчет иностранных инвестиций в уставные капиталы кредитных организаций, имеющих лицензию на осуществление банковских операций, не включаются иностранные инвестиции: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1) осуществленны</w:t>
      </w:r>
      <w:r>
        <w:rPr>
          <w:sz w:val="24"/>
          <w:szCs w:val="24"/>
          <w:highlight w:val="white"/>
        </w:rPr>
        <w:t xml:space="preserve">е в уставные капиталы кредитных организаций, имеющих лицензию на осуществление банковских операций, и финансируемые за счет прибыли указанных кредитных организаций, полученной в Российской Федерации или репатриированной в Российскую Федерацию из-за рубежа;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2) осуществленные имеющими лицензию на осуществление банковских операций дочерними кредитными организациями иностранных бан</w:t>
      </w:r>
      <w:r>
        <w:rPr>
          <w:sz w:val="24"/>
          <w:szCs w:val="24"/>
          <w:highlight w:val="white"/>
        </w:rPr>
        <w:t xml:space="preserve">ков в уставные капиталы кредитных организаций, имеющих лицензию на осуществление банковских операций, а также все последующие инвестиции указанных организаций в уставные капиталы кредитных организаций, имеющих лицензию на осуществление банковских операций;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3) осуществленные до 1 января 2007 года в уставные капиталы кредитных организаций, имеющих лицензию на осуществление банковских операций;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4) осуществленные в уставные капиталы кредитных организаций, имеющих лицензию на осуществление банковских операций, приватизация которых осуществлялась после 22 августа 2012 года;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5) составляющие 51 и бол</w:t>
      </w:r>
      <w:r>
        <w:rPr>
          <w:sz w:val="24"/>
          <w:szCs w:val="24"/>
          <w:highlight w:val="white"/>
        </w:rPr>
        <w:t xml:space="preserve">ее процентов акций (долей) уставного капитала кредитной организации, имеющей лицензию на осуществление банковских операций, осуществленные после 1 января 2007 года при условии нахождения указанных акций (долей) в собственности инвестора в течение 12 и боле</w:t>
      </w:r>
      <w:r>
        <w:rPr>
          <w:sz w:val="24"/>
          <w:szCs w:val="24"/>
          <w:highlight w:val="white"/>
        </w:rPr>
        <w:t xml:space="preserve">е лет, если Банк России по истечении указанного срока не принял решение о продолжении включения указанных инвестиций в расчет и не опубликовал это решение. Порядок принятия Банком России указанного решения и его опубликования устанавливается Банком России.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Информация о размере участия иностранного капитала в </w:t>
      </w:r>
      <w:r>
        <w:rPr>
          <w:sz w:val="24"/>
          <w:szCs w:val="24"/>
          <w:highlight w:val="white"/>
        </w:rPr>
        <w:t xml:space="preserve">бан</w:t>
      </w:r>
      <w:r>
        <w:rPr>
          <w:sz w:val="24"/>
          <w:szCs w:val="24"/>
          <w:highlight w:val="white"/>
        </w:rPr>
        <w:t xml:space="preserve">ковской системе Российской Федерации</w:t>
      </w:r>
      <w:r>
        <w:rPr>
          <w:sz w:val="24"/>
          <w:szCs w:val="24"/>
          <w:highlight w:val="white"/>
        </w:rPr>
        <w:t xml:space="preserve"> и показателях, использованных для его расчета, подлежит опубликованию в официальном издании Банка России «Вестник Банка России», а также размещению на официальном сайте Банка России в информационно-телекоммуникационной сети «Интернет».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Предельное значение размера участия иностранного капитала в </w:t>
      </w:r>
      <w:r>
        <w:rPr>
          <w:sz w:val="24"/>
          <w:szCs w:val="24"/>
          <w:highlight w:val="white"/>
        </w:rPr>
        <w:t xml:space="preserve">банковской системе Российской Федерации</w:t>
      </w:r>
      <w:r>
        <w:rPr>
          <w:sz w:val="24"/>
          <w:szCs w:val="24"/>
          <w:highlight w:val="white"/>
        </w:rPr>
        <w:t xml:space="preserve"> (далее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квота) установлено в размере, равном 50 процентам.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При достижении квоты Банк России осуществляет следующие меры в отношении иностранных инвестиций: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а) отказывает в регистрации кредитной организации с иностранными инвестициями и выдаче ей лицензии на осуществление банковских операций;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б) налагает запрет на увеличение уставно</w:t>
      </w:r>
      <w:r>
        <w:rPr>
          <w:sz w:val="24"/>
          <w:szCs w:val="24"/>
          <w:highlight w:val="white"/>
        </w:rPr>
        <w:t xml:space="preserve">го капитала кредитной организации, имеющей лицензию на осуществление банковских операций, за счет средств нерезидентов и на отчуждение акций (долей) кредитной организации в пользу нерезидентов, если результатом указанных действий является превышение квоты.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white"/>
        </w:rPr>
        <w:t xml:space="preserve">в</w:t>
      </w:r>
      <w:r>
        <w:rPr>
          <w:sz w:val="24"/>
          <w:szCs w:val="24"/>
          <w:highlight w:val="white"/>
        </w:rPr>
        <w:t xml:space="preserve">) отказывает в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в аккредитации филиала иностранного банка на территории Российской Федерации.</w:t>
      </w:r>
      <w:r>
        <w:rPr>
          <w:sz w:val="24"/>
          <w:szCs w:val="24"/>
          <w:highlight w:val="white"/>
          <w14:ligatures w14:val="none"/>
        </w:rPr>
      </w:r>
      <w:r>
        <w:rPr>
          <w:sz w:val="24"/>
          <w:szCs w:val="24"/>
          <w:highlight w:val="white"/>
          <w14:ligatures w14:val="non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Акции (доли) кредитной организации, отчужденные (проданные) с нарушением указанного запрета, не являются голосующими и не учитываются при определении кворума общего собрания акционеров (участников) кредитной организации в течение периода действ</w:t>
      </w:r>
      <w:r>
        <w:rPr>
          <w:sz w:val="24"/>
          <w:szCs w:val="24"/>
          <w:highlight w:val="white"/>
        </w:rPr>
        <w:t xml:space="preserve">ия такого запрета. В случае совершения сделки (сделок) по отчуждению (приобретению) акций (долей) кредитной организации с нарушением указанного запрета Банк России подает иск о признании соответствующей сделки (сделок) недействительной (недействительными).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Меры, указанные в п.п. а), б), не применяются в отношении иностранных инвестиций, указанных в п.п. 1), 2). Меры, указанные в п. б), не применяются в отношен</w:t>
      </w:r>
      <w:r>
        <w:rPr>
          <w:sz w:val="24"/>
          <w:szCs w:val="24"/>
          <w:highlight w:val="white"/>
        </w:rPr>
        <w:t xml:space="preserve">ии иностранных инвестиций, направляемых в уставные капиталы кредитных организаций, имеющих лицензию на осуществление банковских операций, определяемых в соответствии с нормативными актами Банка России на основе международных договоров Российской Федерации.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Банк России прекращает применение вышеуказанных мер в случае, если размер участия иностранного капитала в </w:t>
      </w:r>
      <w:r>
        <w:rPr>
          <w:sz w:val="24"/>
          <w:szCs w:val="24"/>
          <w:highlight w:val="white"/>
        </w:rPr>
        <w:t xml:space="preserve">банковской системе Российской Федерации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составит менее 50 процентов.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Порядок применения и прекращения применения вышеуказанных мер и порядок раскрытия информации о применении, причинах применения, прекращении применения этих мер устанавливаются нормативными актами Банка России.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white"/>
        </w:rPr>
      </w:r>
    </w:p>
    <w:p>
      <w:pPr>
        <w:pStyle w:val="1062"/>
        <w:ind w:firstLine="709"/>
        <w:rPr>
          <w:b/>
          <w:i/>
          <w:sz w:val="24"/>
          <w:szCs w:val="24"/>
          <w:highlight w:val="white"/>
        </w:rPr>
      </w:pPr>
      <w:r>
        <w:rPr>
          <w:b/>
          <w:bCs/>
          <w:i/>
          <w:iCs/>
          <w:sz w:val="24"/>
          <w:szCs w:val="24"/>
          <w:highlight w:val="white"/>
        </w:rPr>
        <w:t xml:space="preserve">Иные ограничения, связанные с участием в уставном капитале эмитента, установленные его уставом</w:t>
      </w:r>
      <w:r>
        <w:rPr>
          <w:b/>
          <w:i/>
          <w:sz w:val="24"/>
          <w:szCs w:val="24"/>
          <w:highlight w:val="white"/>
        </w:rPr>
        <w:t xml:space="preserve">:</w:t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Уставом эмитента не установлено ограничений на участие в его уставном капитале.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Иная информация, которая, по мнению эмитента, является существенной для получения заинтересованными лицами общего представления об эмитенте и его финансово-хозяйственной деятельности:</w:t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pStyle w:val="1062"/>
        <w:ind w:firstLine="709"/>
        <w:rPr>
          <w:b/>
          <w:i/>
          <w:color w:val="ff0000"/>
          <w:sz w:val="24"/>
          <w:szCs w:val="24"/>
          <w:highlight w:val="white"/>
        </w:rPr>
      </w:pPr>
      <w:r>
        <w:rPr>
          <w:b/>
          <w:i/>
          <w:color w:val="ff0000"/>
          <w:sz w:val="24"/>
          <w:szCs w:val="24"/>
          <w:highlight w:val="white"/>
        </w:rPr>
      </w:r>
      <w:r>
        <w:rPr>
          <w:b/>
          <w:i/>
          <w:color w:val="ff0000"/>
          <w:sz w:val="24"/>
          <w:szCs w:val="24"/>
          <w:highlight w:val="white"/>
        </w:rPr>
      </w:r>
      <w:r>
        <w:rPr>
          <w:b/>
          <w:i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Для формирования уставного капитала кредитной организации - эмитента не могут быть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использованы привлеченные денежные средства, средства федерального бюджета и государственных внебюджетных фондов, свободные денежные средства и иные объекты собственности, находящиеся в ведении федеральных органов государственной власти, за исключением слу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чаев, предусмотренных законодательством Российской Федерации; средства бюджетов субъектов Российской Федерации, местных бюджетов, свободные денежные средства и иные объекты собственности, находящиеся в ведении органов государственной власти субъектов Росси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йской Федерации и органов местного самоуправления, могут быть использованы для формирования уставного капитала кредитной организации на основании соответственно законодательного акта субъекта Российской Федерации или решения органа местного самоуправления.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Если иное не установлено федеральными законами, приобретение (за исключением случая, если акции (доли) приобретаются при учреждении кредитной организации) и (или) получение в доверительное управление (далее - приобретение)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результате осуществления одной сделки или нескольких сделок одним юридическим либо физическим лицом более одного процента акций (долей) кредитной организации требуют уведомления Банка России, а более 10 процентов - предварительного согласия Банка России.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Получение предварительного согласия Банка России требуется также в случае приобретения: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более 10 процентов акций, но не более 25 процентов акций кредитной организации;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более 10 процентов долей, но не более одной трети долей кредитной организации;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 более 25 процентов акций кредитной организации, но не более 50 процентов акций;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 более одной трети долей кредитной организации, но не более 50 процентов долей;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 более 50 процентов акций кредитной организации, но не более 75 процентов акций;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 более 50 процентов долей кредитной организации, но не более двух третей долей;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 более 75 процентов акций кредитной организации;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8. более двух третей долей кредитной организации.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Предварительного согласия Банка России требует также установление юридическим или физич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еским лицом в результате осуществления одной сделки или нескольких сделок прямого либо косвенного (через третьих лиц) контроля в отношении акционеров (участников) кредитной организации, владеющих более чем 10 процентами акций (долей) кредитной организации.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Вышеуказанные требования распространяются также на случаи приобретения более одного процента акций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(долей) кредитной организации, более 10 процентов акций (долей) кредитной организации и (или) на случай установления контроля в отношении акционеров (участников) кредитной организации группой лиц, признаваемой таковой в соответствии          с Федеральным </w:t>
      </w:r>
      <w:hyperlink r:id="rId12" w:tooltip="Федеральный закон от 26.07.2006 N 135-ФЗ (ред. от 02.11.2013) &quot;О защите конкуренции&quot;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 26.07.2006 № 135-ФЗ «О защите конкуренции».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Согласие Банка России на совершение сделки (сделок), направленной на приобретение более 10 процентов акций (долей) кредитной организации и (или) на установление контроля в отношении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акционеров (участников) кредитной организации, может быть получено после совершения сделки (далее - последующее согласие) в случае, если приобретение акций кредитной организации и (или) установление контроля в отношении акционеров (участников) кредитной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рганизации осуществляются при публичном размещении акций, а также в иных установленных законодательством Российской Федерации. Предусмотренная возможность получения последующего согласия распространяется также на приобретение более 10 процентов акций креди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тной организации при публичном размещении акций и (или) на установление контроля в отношении акционеров (участников) кредитной организации группой лиц, признаваемой таковой в соответствии с Федеральным законом от 26.07.2006 № 135-ФЗ «О защите конкуренции».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Порядок получения предварительного согласия и последующего согласия Банка России на совершение сделки (сделок), направленной на приобретение более 10 процентов акций (долей) кредитной организации и (или) на установление контроля в отношении акционе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ров (участников) кредитной организации, и порядок уведомления Банка России о приобретении более одного процента акций (долей) кредитной организации устанавливаются федеральными законами и принимаемыми в соответствии с ними нормативными актами Банка России.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3) Приобретение акций (долей) кредитной организации - эмитента нерезидентами регулируется федеральными законами;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4) Запрет на право унитарных государственных предприятий выступать учредителями (участниками) кредитных организаций.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highlight w:val="white"/>
        </w:rPr>
      </w:r>
      <w:bookmarkStart w:id="2" w:name="Par30"/>
      <w:r>
        <w:rPr>
          <w:highlight w:val="white"/>
        </w:rPr>
      </w:r>
      <w:bookmarkEnd w:id="2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1.2. Сведения о положении эмитента в отрасли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отчете эмитента за 6 месяцев в соответствии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Положение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 раскрытии информации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данная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информация не приводится.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1.3. Основные операционные показатели, характеризующие деятельность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новные операционные показатели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, наиболее объективно и всесторонне характеризую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щие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финансово-хозяйственную деятельность группы эмитента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в натуральном выражении: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720"/>
        <w:gridCol w:w="4662"/>
        <w:gridCol w:w="1984"/>
        <w:gridCol w:w="1844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.06.202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31.12.2024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Активы группы, млн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5 585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973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5 566 351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Рентабельность активов (ROА),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Кредитный портфель до вычета резервов по кредитным убыткам (включая кредиты, оцениваемые по справедливой стоимости),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br/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4 305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891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4 238 133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Кредиты юридическим лицам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3 763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339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3 657 335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Кредиты физическим лицам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542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552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580 798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Средства клиентов,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br/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4 233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212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4 119 336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Юридических лиц, 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1 910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817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1 948 505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4.1.1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текущие/расчетные счета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298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602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327 561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4.1.2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срочные депозиты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1 612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1 620 944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Физических лиц, 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2 322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395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2 170 831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4.2.1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текущие счета/счета до востребования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310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681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336 081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4.2.2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срочные депозиты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2 011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714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1 834 750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Соотношение кредитов к депозитам (LD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ru-RU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),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101,7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102,9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Уставный капитал Группы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523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333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523 333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нализ динамики изменения приведенных показателей операционной деятельн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ости эмитента (группы эмитента):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30.06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активы группы практически не претерпели изменений незначительно увеличившись на 19 622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 рублей (+0,35%) по сравнению с концом 2024 года. Рентабельность активов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30.06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составила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1,4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%, что на 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базисных пунктов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выше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значения на 31.12.2024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Кредитный портфель до вычета резервов по кредитным убыткам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незначительно,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67 758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(+1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,60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вырос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сравнению с 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 счет роста объема кредитов юридическим лицам на 106 004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(+ 2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90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%), при одновременном снижении объема кредитов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физическим лицам на 38 246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 рублей                   (-6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,59%)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Средства клиентов в отчетном периоде увеличились по сравнению с концом 2024 года, на 113 876 млн рублей (+2,76%)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 счет увеличения объема средств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физических лиц на 151 564 млн рублей (+6,98%) при одновременном снижении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объема средств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юридических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лиц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37 688 млн рублей (-1,93%).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структуре привлеченных средств клиентов основную долю составляют срочные депозиты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Доля срочных депозитов юри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дических лиц от общей суммы привлеченных средств клиентов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составила 38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 (на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31.12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35%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), доля срочных депозитов физических лиц от общей суммы привлеченных средств клиентов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составила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 (на 31.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%).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Значение показателя соотношения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кредитов к депозитам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(LDR)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-ом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полугодии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 по сравнению с концом 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снизилось (101,7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 на 30.06.2025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против 102,9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 на 31.12.2024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связи с тем,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что рост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средств клиентов превышает рост кредитного портфеля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Уставный капитал Группы по состоянию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 составил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523 333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не претерпел изменений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1-го полугодия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сновные события и факторы, в том числе макроэкономические, произошедшие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в отчетном периоде, которые, по мнению эмитента, оказали существенно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е влияние на изменение основных операционных показателей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руппы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эмитента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Высокая ключевая ставка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первом полугодии 2025 года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способствовала охлаждению темпов кредитовани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я юридических и физических лиц.</w:t>
      </w:r>
      <w:r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 этом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оддержку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кредитному рынку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оказал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рост доступности государственной программы «Семейная ипотека» в связи с изменением её параметров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(с 1 апреля 2025 года семейную ипотеку можно оформить для покупки квартиры на вторичном рынке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 определенными ограничениями)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снижение стоимости кредитования на протяжении всего полугодия по сравнению с декабрем 2024 года.</w:t>
      </w:r>
      <w:r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Рост стоимости депозитов и накопительных счетов (счетов с минимальным остатком) привел к тому, что их доля в структуре финансовых активов юридических и физических лиц выросла. </w:t>
      </w:r>
      <w:r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Сохранение объемов финансовой государственной поддержки АПК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поддержало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выдачу льготных кредитов агропромышленному сектору. </w:t>
      </w:r>
      <w:r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70c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 концу полугодия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тимулирую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щее влияние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на кредитную активность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начало оказывать снижение ключевой ставки Банком России.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1.4. Основные финансовые показатели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Calibri,Bold" w:hAnsi="Calibri,Bold" w:cs="Calibri,Bold"/>
          <w:b/>
          <w:bCs/>
          <w:highlight w:val="white"/>
        </w:rPr>
      </w:pPr>
      <w:r>
        <w:rPr>
          <w:rFonts w:ascii="Calibri,Bold" w:hAnsi="Calibri,Bold" w:cs="Calibri,Bold"/>
          <w:b/>
          <w:bCs/>
          <w:highlight w:val="white"/>
        </w:rPr>
      </w:r>
      <w:r>
        <w:rPr>
          <w:rFonts w:ascii="Calibri,Bold" w:hAnsi="Calibri,Bold" w:cs="Calibri,Bold"/>
          <w:b/>
          <w:bCs/>
          <w:highlight w:val="white"/>
        </w:rPr>
      </w:r>
      <w:r>
        <w:rPr>
          <w:rFonts w:ascii="Calibri,Bold" w:hAnsi="Calibri,Bold" w:cs="Calibri,Bold"/>
          <w:b/>
          <w:bCs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1.4.1 Основные финансовые показатели эмитента, рассчитываемые на основе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консолидированной финансовой отчетности (финансовой отчетности), за исключением эмитентов, являющихся кредитной организацией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Calibri" w:hAnsi="Calibri" w:cs="Calibri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применимо. Эмитент является кредитной организацией</w:t>
      </w:r>
      <w:r>
        <w:rPr>
          <w:rFonts w:ascii="Calibri" w:hAnsi="Calibri" w:cs="Calibri"/>
          <w:highlight w:val="white"/>
        </w:rPr>
        <w:t xml:space="preserve">.</w:t>
      </w:r>
      <w:r>
        <w:rPr>
          <w:rFonts w:ascii="Calibri" w:hAnsi="Calibri" w:cs="Calibri"/>
          <w:highlight w:val="white"/>
        </w:rPr>
      </w:r>
      <w:r>
        <w:rPr>
          <w:rFonts w:ascii="Calibri" w:hAnsi="Calibri" w:cs="Calibri"/>
          <w:highlight w:val="white"/>
        </w:rPr>
      </w:r>
    </w:p>
    <w:p>
      <w:pPr>
        <w:spacing w:after="0" w:line="240" w:lineRule="auto"/>
        <w:rPr>
          <w:rFonts w:ascii="Calibri,Bold" w:hAnsi="Calibri,Bold" w:cs="Calibri,Bold"/>
          <w:b/>
          <w:bCs/>
          <w:highlight w:val="white"/>
        </w:rPr>
      </w:pPr>
      <w:r>
        <w:rPr>
          <w:rFonts w:ascii="Calibri,Bold" w:hAnsi="Calibri,Bold" w:cs="Calibri,Bold"/>
          <w:b/>
          <w:bCs/>
          <w:highlight w:val="white"/>
        </w:rPr>
      </w:r>
      <w:r>
        <w:rPr>
          <w:rFonts w:ascii="Calibri,Bold" w:hAnsi="Calibri,Bold" w:cs="Calibri,Bold"/>
          <w:b/>
          <w:bCs/>
          <w:highlight w:val="white"/>
        </w:rPr>
      </w:r>
      <w:r>
        <w:rPr>
          <w:rFonts w:ascii="Calibri,Bold" w:hAnsi="Calibri,Bold" w:cs="Calibri,Bold"/>
          <w:b/>
          <w:bCs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1.4.2 Основные финансовые показатели эмитента, рассчитываемые на основе бухгалтерской (финансовой) отчетности (для эмитентов, не составляющих и не раскрывающих консолидированную финансовую отчетность (финансовую отчетность)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применимо. Эмитент составляет консолидированную финансовую отчетность</w:t>
      </w:r>
      <w:r>
        <w:rPr>
          <w:rFonts w:ascii="Times New Roman" w:hAnsi="Times New Roman" w:eastAsia="Times New Roman" w:cs="Times New Roman"/>
          <w:color w:val="385623" w:themeColor="accent6" w:themeShade="80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1.4.3 Основные финансовые показатели эмитент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а, являющегося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кредитн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ой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организаци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tbl>
      <w:tblPr>
        <w:tblW w:w="10708" w:type="dxa"/>
        <w:tblLayout w:type="fixed"/>
        <w:tblLook w:val="04A0" w:firstRow="1" w:lastRow="0" w:firstColumn="1" w:lastColumn="0" w:noHBand="0" w:noVBand="1"/>
      </w:tblPr>
      <w:tblGrid>
        <w:gridCol w:w="720"/>
        <w:gridCol w:w="4662"/>
        <w:gridCol w:w="2126"/>
        <w:gridCol w:w="1846"/>
        <w:gridCol w:w="1354"/>
      </w:tblGrid>
      <w:tr>
        <w:tblPrEx/>
        <w:trPr>
          <w:gridAfter w:val="1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6 мес. 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6 мес. 2024 год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Показатели консолидированного отчета о прибылях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и убытках и прочем совокупном доходе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Чистые процентные доходы после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расходов по кредитным убыткам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, млн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70 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59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354" w:type="dxa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Процентные доходы,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, в том числе: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432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294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1.1.1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финансовые инструменты, оцениваемые через прибыль или убыток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26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16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1.1.2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кредиты и авансы, оцениваемые по амортизированной стоимости, в том числе: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355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233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кредиты и авансы юридическим лицам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305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195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кредиты и авансы физическим лицам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50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37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1.1.3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прочие финансовые инструменты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50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45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Процентные расходы, млн руб., в том числе: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358 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227 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1.2.1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срочные депозиты, в том числе: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275 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176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срочные депозиты юридических лиц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128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99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срочные вклады физических лиц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146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77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1.2.2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выпущенные ценные бумаги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12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1.2.3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субординированные обязательства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1.2.4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прочие процентные расходы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65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33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Расходы по кредитным убыткам,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2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Расходы, непосредственно связанные со страхованием вкладов,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6 234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5 603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Чистая процентная маржа (NIM), %.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2,6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2,6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Чистые комиссионные доходы,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комиссионные доходы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14 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комиссионные расходы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Операционные доходы,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92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70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Коэффициент отношения затрат к доходу (CIR),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49,7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53,7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Чистая прибыль за период,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39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26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Рентабельность капитала (ROE),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23,6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17,2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Стоимость риска (COR),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Доля неработающих кредитов в кредитном портфеле,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3,2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4,3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Показатели собственных средств (капитала) и обязательных нормативов достаточности капитала Группы*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Собственные средства (капитал),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555 534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Норматив достаточности собственных средств (капитала),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12,21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14,13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Норматив достаточности базового капитала банка,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7,06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7,70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Норматив достаточности основного капитала,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8,29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9,05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1.4.4. Иные финансовые показатели, в том числе характеризующие финансовые результаты деятельности эмитента (г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руппы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деятельности эмитента (группы эмитента).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Иных финансовых показателей, в том числе характеризующие финансовые результаты деятельности эмитента (группы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деятельности эмитента (группы эмитента), нет.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1.4.5. Анализ динамики изменения финансовых показателей, приведенных в подпункте 1.4.3 настоящего пункта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Процентные доходы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1-ом полугодии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значительно, на 137 589 млн рублей (+46,65%),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выросли по сравнению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значением данного показателя 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1-ом полугодии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составили 432 539 млн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Основной рост процентных доходов связан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высокими процентными ставками по кредитам в связи с высоким значением ключевой ставки сохранявшемся на протяжении большей части 1-го полугодия 2025 года,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увеличением кредитного портфеля и процентного дохода по кредитному портфелю на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122 322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руб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(+52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сравнению с аналогичным показателем за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Процентные расходы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6 месяцев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значительно,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131 227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рублей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(+57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,77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выросли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сравнению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1-ым полугодием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 процентных расходов связан с ростом ставок по депозитам, в связи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высоким значением ключевой ставки сохранявшемся на протяжении большей части 1-го полугодия 2025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увеличением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процентных расходов по срочным депозитам как юридических лиц на 29 112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 рублей (+29,33%), так и физических лиц на 69 354 млн рублей (+89,43%)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прочих процентны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расход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32 463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 рублей (+96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,83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сравнению с аналогичным периодом 2024 года.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1-ом полугодии 2025 года чистые процентные доходы после создания резерва под кредитные убытки увеличили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сь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11 208 млн рублей (+18,93%)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что связано в том числе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восстановлением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расходов по кредитным убыткам </w:t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  <w:t xml:space="preserve">(2 508 млн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отчетном периоде.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состоянию на 01.0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чистая процентная маржа составила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%, что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аналогично значению показателя на 01.07.2024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Отрицательное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(-0,1%)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01.07.2025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значение показателя стоимости кредитного риска (COR)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связано с восстановлени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расходов по кредитным убыткам.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Чистые комиссионные доходы в отчетном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периоде выросли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2 022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млн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(+20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,80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по сравнению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 аналогичным показателем на 01.07.2024 и составили 11 742 млн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Увеличение показателя чистых комиссионных доходов связано с ростом на 2 712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 рублей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,90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 комиссионных доходов, при одновременном увеличении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690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 рублей (+42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,38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 комиссионных расходов. Основная причина роста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комиссионных доходов связана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 увеличением объемов розничного кредитования.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Операционные доходы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01.07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значительно, на 22 641 млн рублей (+32,29%), увеличились по сравнению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данными за аналогичный период 2024 года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 составили 92 755 млн рублей.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Чистая прибыль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1-ое полугодие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значительно,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13 511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 рублей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+51,90%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увеличилась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 составила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39 544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 рублей против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26 033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 рублей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1-ое полугодие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год. Рост чистой прибыли обусловлен ростом чистых процентных и операционных доходов.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Собственные средства (капитал)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Группы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 01.0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рассчитанные в соответствии с </w:t>
      </w:r>
      <w:hyperlink r:id="rId13" w:tooltip="consultantplus://offline/ref=9AEDFF8C039E75E3A7B5597AC488A1B40066042602BCD306C6C282F52CB5F75EFD3A0BF9C666364553D38E8EF3TDC6J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Положением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Банка России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15.07.2020 № 729-П «О методике определения собственных средств (капитала) и обязательных нормативов, надбавок к нормативам достаточности капитала, числовых значениях обязательных нормативов и размерах (лимитах) открытых валютных позиций банковских групп»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незначительно,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17 538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-3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,16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сократились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сравнению с аналогичным показателем на 01.0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составили 537 996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млн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Рентабельность капитала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сравнению с данными на 01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значительно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640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азисных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ункта,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увеличилась,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что связанн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чистой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прибыли в отчетном периоде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Основные события и факторы, в том числе макроэкономические, произошедшие в отчетном периоде, которые оказали существенное влияние на изменение приведенных финансовых показателей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Чистые процентные доходы выросли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на фоне сохранения высокой ключевой ставки и высокого уровня процентных доходов за счет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крупной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доли субсидируемых кредитов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 плавающей ставке, в том числе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секторе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АПК.</w:t>
      </w:r>
      <w:r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Высокие депозитные ставки стимулировали рост процентных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расходов в начале первого полугодия. Впоследствии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процентные расходы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оказались под сдерживающим влиянием из-за более существенного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чем изменение ключевой ставки, сни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жения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депозитных ставок в рублях для юридических и физических лиц. </w:t>
      </w:r>
      <w:r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Сокращение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доходностей ОФЗ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связи с ожиданиями рынка по смягчению денежно-кредитных условий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привело к переоценке ценных бумаг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что позволило компенсировать негативную валютную переоценку по курсу рубля.</w:t>
      </w:r>
      <w:r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Увеличению прибыли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также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способствовал рост чистых комиссионных доходов 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снижение расходов от кредитных убытков.</w:t>
      </w:r>
      <w:r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70c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u w:val="single"/>
        </w:rPr>
        <w:t xml:space="preserve">Поскольку Банк не имеет подконтрольных организаций, имеющих для него существенное значение, информация по п.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u w:val="single"/>
        </w:rPr>
        <w:t xml:space="preserve"> 1.5, 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u w:val="single"/>
        </w:rPr>
        <w:t xml:space="preserve">1.6, 1.7.1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u w:val="single"/>
        </w:rPr>
        <w:t xml:space="preserve"> -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u w:val="single"/>
        </w:rPr>
        <w:t xml:space="preserve"> 1.7.3 раскрывается в отношении Банка на основе бухгалтерской (финансовой) отчетности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u w:val="single"/>
        </w:rPr>
        <w:t xml:space="preserve">за 6 месяцев 2025 года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u w:val="single"/>
        </w:rPr>
        <w:t xml:space="preserve">.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1.5. Сведения об основных поставщиках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/>
          <w:bCs/>
          <w:i/>
          <w:sz w:val="24"/>
          <w:szCs w:val="2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об основных поставщиках Эмитента, объем и (или) доля поставок которых в 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бъеме поставок сырья и товаров (работ, услуг) имеет существенное значение на 01.07.2025,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а также иные поставщики, поставки которых, по мнению эмитента, имеют для эмитента существенное значение в силу иных причин, факторов или обстоятельств: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Определенный Эмитентом уровень (количественный критерий) существенности объема и (или) доли поставок основного поставщика, составляет 10 процентов от общего объема поставок сырья и товаров (работ, услуг).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Поставщики, объем и (или) доля поставок которых в объеме поставок сырья и товаров (работ, услуг) превышает 10 процентов от общего объема, имеющие существенное значение для Эмитента,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ные поставщики, поставки которых, по мнению эмитента, имеют для Эмитента существенное значение в силу иных причин, факторов или обстоятельств отсутствуют.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1.6. Сведения об основных дебиторах эмитента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b/>
          <w:i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Сведения об основных дебиторах эмитента, доля задолженности которых в объеме дебиторской задолженности на 01.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07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.202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5 имеет для эмитента существенное значение, а также об иных дебиторах, которые, по мнению эмитента, имеют для эмитента существенное значение в силу иных причин, факторов или обстоятельств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i/>
          <w:highlight w:val="white"/>
        </w:rPr>
      </w:r>
      <w:r>
        <w:rPr>
          <w:rFonts w:ascii="Times New Roman" w:hAnsi="Times New Roman" w:cs="Times New Roman"/>
          <w:b/>
          <w:i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Определенный Эмитентом уровень существенности дебиторской задолженности, приходящейся на долю основного дебитора, составляет 10 процентов от общей суммы дебиторской задолженности на дату окончания соответствующего отчетного периода.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Дебиторы, требования к которым превышают 10 процентов от общей суммы дебиторской задолженности, имеющие существенное значение для Эмитента,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Иные дебиторы, которые имеют существенное значение в силу иных причин, факторов или обстоятельств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1.7. Сведения об обязательствах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  <w:outlineLvl w:val="3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1.7.1. Сведения об основных кредиторах эмитента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/>
          <w:bCs/>
          <w:i/>
          <w:szCs w:val="2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об основных кредито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рах эмитента, доля задолженности которым в объеме кредиторской задолженности эмитента (включая торговую кредиторскую задолженность, прочую кредиторскую задолженность, кредиты и займы (краткосрочные, долгосрочные) на 01.07.2025 имеет существенн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ое значение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, а также об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иных кредиторах, которые, по мнению эмитента, имеют для эмитента существенное значение в силу иных причин, факторов или обстоятельств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i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i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Определенный Эмитентом уровень существенности кредиторской задолженности, приходящейся на долю основного кредитора составляет 10 процентов от общей суммы кредиторской задолженности на дату окончания соответствующего отчетного периода.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Кредиторы, требования которых превышают 10 процентов от общей суммы кредиторской задолженности, имеющие существенное значение для Эмитента,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Иные кредиторы, которые имеют существенное значение в силу иных причин, факторов или обстоятельств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highlight w:val="white"/>
        </w:rPr>
      </w:r>
      <w:bookmarkStart w:id="12" w:name="Par154"/>
      <w:r>
        <w:rPr>
          <w:highlight w:val="white"/>
        </w:rPr>
      </w:r>
      <w:bookmarkEnd w:id="12"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3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1.7.2. Сведения об обязательствах эмитента из предоставленного обеспечения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размере обеспечения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(в том числе в форме залога, поручительства, независимой гарантии)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, предоставленного эмитентом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tbl>
      <w:tblPr>
        <w:tblStyle w:val="1111"/>
        <w:tblW w:w="8428" w:type="dxa"/>
        <w:jc w:val="center"/>
        <w:tblLook w:val="04A0" w:firstRow="1" w:lastRow="0" w:firstColumn="1" w:lastColumn="0" w:noHBand="0" w:noVBand="1"/>
      </w:tblPr>
      <w:tblGrid>
        <w:gridCol w:w="562"/>
        <w:gridCol w:w="5995"/>
        <w:gridCol w:w="1871"/>
      </w:tblGrid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пп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9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Значение показателя,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млн 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24"/>
        </w:trPr>
        <w:tc>
          <w:tcPr>
            <w:tcW w:w="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Общий размер предоставленного эмитентом обеспечения, в том числе в форме залога, поручительства, независимой гарантии*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69 658,3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т.ч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 аккредитивы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т.ч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 гарантии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69 658,3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0"/>
          <w:szCs w:val="24"/>
          <w:highlight w:val="white"/>
        </w:rPr>
        <w:t xml:space="preserve">* </w:t>
      </w:r>
      <w:r>
        <w:rPr>
          <w:rFonts w:ascii="Times New Roman" w:hAnsi="Times New Roman" w:cs="Times New Roman"/>
          <w:color w:val="000000"/>
          <w:sz w:val="20"/>
          <w:szCs w:val="24"/>
          <w:highlight w:val="white"/>
        </w:rPr>
        <w:t xml:space="preserve">кроме банков - кредитных организаций и ФЛ</w:t>
      </w:r>
      <w:r>
        <w:rPr>
          <w:rFonts w:ascii="Times New Roman" w:hAnsi="Times New Roman" w:cs="Times New Roman"/>
          <w:color w:val="000000"/>
          <w:sz w:val="20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0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овершенных эмитентом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сделки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по предоставлению такого обеспечения, имеющи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для эмитента существенное значение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Сделки по предоставлению обеспечения, имеющие существенное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Эмитента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значение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предоставлена на основе бухгалтерской (финансовой) отчетности Эмитента, так как прочие организации группы эмитента не предоставляют обеспечение по обязательствам третьих лиц.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highlight w:val="white"/>
        </w:rPr>
      </w:r>
      <w:bookmarkStart w:id="14" w:name="Par209"/>
      <w:r>
        <w:rPr>
          <w:highlight w:val="white"/>
        </w:rPr>
      </w:r>
      <w:bookmarkEnd w:id="14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1.7.3. Сведения о прочих существенных обязательствах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Любые обязательства, которые, по мнению эмитента, могут существенным образом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 воздействовать на финансовое положение эмитента, в том числе на ликвидность, источники финансирования и условия их использования, результаты деятельности и расходы, с описанием факторов, при которых указанные обязательства могут повлечь такое воздействие: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Определенный Эмитентом уровень существенности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рочих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бязательств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составляет 10 процентов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совокупной величины всех обязательств Банка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 дату окончания соответствующего отчетного периода.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Прочие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бязательства,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 в части привлеченных средств клиентов, которые составляют 10 и более процентов от совокупной величины всех обязательств Банка,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которые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по мнению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митента, могут существенным образом воздействовать на финансовое положение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Эмитента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highlight w:val="white"/>
        </w:rPr>
      </w:r>
      <w:bookmarkStart w:id="15" w:name="Par212"/>
      <w:r>
        <w:rPr>
          <w:highlight w:val="white"/>
        </w:rPr>
      </w:r>
      <w:bookmarkEnd w:id="15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1.8. Сведения о перспективах развития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отчете эмитента за 6 месяцев в соответствии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Положение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 раскрытии информации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данная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информация не приводится.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1.9. Сведения о рисках, связанных с деятельностью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составе информации, раскрытой в отчете эмитента за 12 месяцев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 происходило существенных изменений.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3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hd w:val="nil" w:color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3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3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Раздел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3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 Информация о лицах, входящих в состав органов управления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outlineLvl w:val="3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04.07.2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пункту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Приложения к Постановлению Правительства Российской Федерации от 04.07.2023 № 1102,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в данном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кте не раскрывается,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Основные положения политики в области вознаграждения и (или) компенсации расходов членов органов управления эмитента: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Наблюдательным советом Банка утверждена Политика в области оплаты труда работников АО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«Россельхозбанк» № 697-П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(далее – Политика в области оплаты труда), предусматривающая учет всех требований действующего законодательства Российской Федерации, в том числе нормативных актов Банка России к системе оплаты труда кредитной организации.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Утвержденная Наблюдательным советом Банка Политика в области оплаты труда содержит положения о вознаграждениях единоличного исполнительного органа и членов коллегиального исполнительного органа Банка.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Утвержденная Наблюдательным советом Банка Политика в области оплаты труда предусматривает, в том числе: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все используемые в Банке формы оплаты труда и виды выплат;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порядок определения размеров должно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стных окладов, компенсационных,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стимулирующих и социальных выплат;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зависимость переменной части опла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ты труда от исполнения ключевых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показателей эффективности,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позволяющих учитывать все значимые для Банка риски;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порядок оценки эффективности организации и функционирования системы оплаты труда, ее соответствия Стратегии Банка, характеру и масштабу совершаемых операций, результатам деятельности, уровню и сочетанию принимаемых рисков;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критерии определения крупных вознаграждений и механизм контроля их выплат со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стороны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Наблюдательного совета Банка.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Для всех категорий работников Банка применяется система оплаты труда, включающая в себя следующие элементы заработной платы: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должностной оклад;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стимулирующие выплаты (премиальные выплаты, доплаты и надбавки стимулирующего характера);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компенсационные выплаты (доплаты и надбавки компенсационного характера) и прочие выплаты, осуществляемые в соответствии с трудовым законодательством Российской Федерации 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/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или внутренними документами Банка.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Единый порядок определения размера, форм и начисления элементов системы оплаты труда устанавливается внутренними документами Банка.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Предварительное рассмотрение вопросов Политики в области оплаты труда осуществляется Комитетом по кадрам и вознаграждениям Наблюдательного совета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(далее - Комитет по кадрам)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К компетенции Комитета по кадрам в числе прочих отнесены такие вопросы, как формирование принципов и критериев определения размера вознаграждения руководителей Банка, подго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товка предложений Наблюдательному совету Банка по вопросам политики в области оплаты труда, мониторинг соответствия действующей в Банке политики в области вознаграждения, стратегии развития Банка, его финансовому положению, а также ситуации на рынке труда.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Решения о порядке определения размера, форм и начисления компенсационных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 xml:space="preserve">и стимулирующих выплат руководящим работникам Банка принимаются Наблюдательным советом Банка.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Принципы системы оплаты труда Банка распространяются на организации Группы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Банка с учетом характера деятельности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целевых стратегических задач.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Информация о размере и видах вознаграждения, которые были выплачены Эмитентом: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center"/>
        <w:spacing w:line="216" w:lineRule="auto"/>
        <w:rPr>
          <w:rFonts w:ascii="Times New Roman" w:hAnsi="Times New Roman"/>
          <w:b/>
          <w:bCs/>
          <w:highlight w:val="white"/>
        </w:rPr>
        <w:outlineLvl w:val="0"/>
      </w:pPr>
      <w:r>
        <w:rPr>
          <w:rFonts w:ascii="Times New Roman" w:hAnsi="Times New Roman"/>
          <w:b/>
          <w:bCs/>
          <w:highlight w:val="white"/>
        </w:rPr>
        <w:t xml:space="preserve">Наблюдательный совет</w:t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3572"/>
        <w:gridCol w:w="3261"/>
      </w:tblGrid>
      <w:tr>
        <w:tblPrEx/>
        <w:trPr/>
        <w:tc>
          <w:tcPr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Отчетная дата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572" w:type="dxa"/>
            <w:vAlign w:val="center"/>
            <w:textDirection w:val="lrTb"/>
            <w:noWrap w:val="false"/>
          </w:tcPr>
          <w:p>
            <w:pPr>
              <w:pStyle w:val="1073"/>
              <w:ind w:firstLine="0"/>
              <w:jc w:val="center"/>
              <w:tabs>
                <w:tab w:val="left" w:pos="3686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(заработная плата, премии, комиссионные, вознаграждения, компенсации расходов, иное)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Размер вознаграждения,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тыс. руб.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25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</w:t>
            </w:r>
            <w:r>
              <w:rPr>
                <w:rFonts w:ascii="Times New Roman" w:hAnsi="Times New Roman"/>
                <w:highlight w:val="white"/>
              </w:rPr>
              <w:t xml:space="preserve"> месяцев 20</w:t>
            </w:r>
            <w:r>
              <w:rPr>
                <w:rFonts w:ascii="Times New Roman" w:hAnsi="Times New Roman"/>
                <w:highlight w:val="white"/>
                <w:lang w:val="en-US"/>
              </w:rPr>
              <w:t xml:space="preserve">25</w:t>
            </w:r>
            <w:r>
              <w:rPr>
                <w:rFonts w:ascii="Times New Roman" w:hAnsi="Times New Roman"/>
                <w:highlight w:val="white"/>
              </w:rPr>
              <w:t xml:space="preserve"> года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Вознаграждения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20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Компенсации расходов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2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ИТОГО: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0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</w:tbl>
    <w:p>
      <w:pPr>
        <w:pStyle w:val="1110"/>
        <w:ind w:firstLine="540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highlight w:val="white"/>
        </w:rPr>
        <w:outlineLvl w:val="0"/>
      </w:pP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highlight w:val="white"/>
        </w:rPr>
        <w:outlineLvl w:val="0"/>
      </w:pPr>
      <w:r>
        <w:rPr>
          <w:rFonts w:ascii="Times New Roman" w:hAnsi="Times New Roman"/>
          <w:b/>
          <w:bCs/>
          <w:highlight w:val="white"/>
        </w:rPr>
        <w:t xml:space="preserve">Правление</w:t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60"/>
        <w:gridCol w:w="3572"/>
        <w:gridCol w:w="3261"/>
      </w:tblGrid>
      <w:tr>
        <w:tblPrEx/>
        <w:trPr>
          <w:trHeight w:val="1008"/>
        </w:trPr>
        <w:tc>
          <w:tcPr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Отчетная дата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572" w:type="dxa"/>
            <w:vAlign w:val="center"/>
            <w:textDirection w:val="lrTb"/>
            <w:noWrap w:val="false"/>
          </w:tcPr>
          <w:p>
            <w:pPr>
              <w:pStyle w:val="1073"/>
              <w:ind w:firstLine="0"/>
              <w:jc w:val="center"/>
              <w:tabs>
                <w:tab w:val="left" w:pos="3686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(заработная плата, премии, комиссионные, вознаграждения, компенсации расходов, иное)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Размер вознаграждения,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тыс. руб.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 xml:space="preserve">месяцев 20</w:t>
            </w:r>
            <w:r>
              <w:rPr>
                <w:rFonts w:ascii="Times New Roman" w:hAnsi="Times New Roman"/>
                <w:highlight w:val="white"/>
                <w:lang w:val="en-US"/>
              </w:rPr>
              <w:t xml:space="preserve">25</w:t>
            </w:r>
            <w:r>
              <w:rPr>
                <w:rFonts w:ascii="Times New Roman" w:hAnsi="Times New Roman"/>
                <w:highlight w:val="white"/>
              </w:rPr>
              <w:t xml:space="preserve"> года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Заработная плата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83 551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Премия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79 892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Компенсации расходов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359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Отложенный годовой бонус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ИТОГО: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163 802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10"/>
        <w:ind w:firstLine="540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709"/>
        <w:jc w:val="center"/>
        <w:spacing w:line="216" w:lineRule="auto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 xml:space="preserve">Ревизионная комиссия</w:t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</w:tblGrid>
      <w:tr>
        <w:tblPrEx/>
        <w:trPr>
          <w:jc w:val="center"/>
          <w:trHeight w:val="280"/>
        </w:trPr>
        <w:tc>
          <w:tcPr>
            <w:tcW w:w="29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Отчетная дата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pStyle w:val="1073"/>
              <w:ind w:firstLine="0"/>
              <w:jc w:val="center"/>
              <w:tabs>
                <w:tab w:val="left" w:pos="3686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(заработная плата, премии, комиссионные, льготы и (или) компенсации расходов, иное)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Размер вознаграждения,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тыс. руб.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</w:t>
            </w:r>
            <w:r>
              <w:rPr>
                <w:rFonts w:ascii="Times New Roman" w:hAnsi="Times New Roman"/>
                <w:highlight w:val="white"/>
              </w:rPr>
              <w:t xml:space="preserve"> месяцев 20</w:t>
            </w:r>
            <w:r>
              <w:rPr>
                <w:rFonts w:ascii="Times New Roman" w:hAnsi="Times New Roman"/>
                <w:highlight w:val="white"/>
                <w:lang w:val="en-US"/>
              </w:rPr>
              <w:t xml:space="preserve">25</w:t>
            </w:r>
            <w:r>
              <w:rPr>
                <w:rFonts w:ascii="Times New Roman" w:hAnsi="Times New Roman"/>
                <w:highlight w:val="white"/>
              </w:rPr>
              <w:t xml:space="preserve"> года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Заработная плата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Премия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Компенсации расходов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ИТОГО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0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10"/>
        <w:ind w:firstLine="540"/>
        <w:jc w:val="both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center"/>
        <w:spacing w:line="216" w:lineRule="auto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 xml:space="preserve">Служба внутреннего аудита</w:t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</w:tblGrid>
      <w:tr>
        <w:tblPrEx/>
        <w:trPr>
          <w:jc w:val="center"/>
          <w:trHeight w:val="280"/>
        </w:trPr>
        <w:tc>
          <w:tcPr>
            <w:tcW w:w="29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Отчетная дата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pStyle w:val="1073"/>
              <w:ind w:firstLine="0"/>
              <w:jc w:val="center"/>
              <w:tabs>
                <w:tab w:val="left" w:pos="3686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(заработная плата, премии, комиссионные, льготы и (или) компенсации расходов, иное)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Размер вознаграждения,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тыс. руб.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</w:t>
            </w:r>
            <w:r>
              <w:rPr>
                <w:rFonts w:ascii="Times New Roman" w:hAnsi="Times New Roman"/>
                <w:highlight w:val="white"/>
              </w:rPr>
              <w:t xml:space="preserve"> месяцев 20</w:t>
            </w:r>
            <w:r>
              <w:rPr>
                <w:rFonts w:ascii="Times New Roman" w:hAnsi="Times New Roman"/>
                <w:highlight w:val="white"/>
                <w:lang w:val="en-US"/>
              </w:rPr>
              <w:t xml:space="preserve">25</w:t>
            </w:r>
            <w:r>
              <w:rPr>
                <w:rFonts w:ascii="Times New Roman" w:hAnsi="Times New Roman"/>
                <w:highlight w:val="white"/>
              </w:rPr>
              <w:t xml:space="preserve"> года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Заработная плата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104 731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29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Премия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18 730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148"/>
        </w:trPr>
        <w:tc>
          <w:tcPr>
            <w:tcW w:w="29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Отложенный годовой бонус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Компенсации расходов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(командировки)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4 752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ИТОГО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  <w:t xml:space="preserve">128 213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line="216" w:lineRule="auto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p>
      <w:pPr>
        <w:ind w:firstLine="709"/>
        <w:jc w:val="center"/>
        <w:spacing w:line="216" w:lineRule="auto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 xml:space="preserve">Департамент </w:t>
      </w:r>
      <w:r>
        <w:rPr>
          <w:rFonts w:ascii="Times New Roman" w:hAnsi="Times New Roman"/>
          <w:b/>
          <w:bCs/>
          <w:highlight w:val="white"/>
        </w:rPr>
        <w:t xml:space="preserve">комплаенс</w:t>
      </w:r>
      <w:r>
        <w:rPr>
          <w:rFonts w:ascii="Times New Roman" w:hAnsi="Times New Roman"/>
          <w:b/>
          <w:bCs/>
          <w:highlight w:val="white"/>
        </w:rPr>
        <w:t xml:space="preserve">-контроля</w:t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</w:tblGrid>
      <w:tr>
        <w:tblPrEx/>
        <w:trPr>
          <w:jc w:val="center"/>
          <w:trHeight w:val="1008"/>
        </w:trPr>
        <w:tc>
          <w:tcPr>
            <w:tcW w:w="29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Отчетная дата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pStyle w:val="1073"/>
              <w:ind w:firstLine="0"/>
              <w:jc w:val="center"/>
              <w:tabs>
                <w:tab w:val="left" w:pos="3686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(заработная плата, премии, комиссионные, вознаграждения, компенсации расходов, иное)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Размер вознаграждения,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тыс. руб.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  <w:trHeight w:val="194"/>
        </w:trPr>
        <w:tc>
          <w:tcPr>
            <w:tcW w:w="29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</w:t>
            </w:r>
            <w:r>
              <w:rPr>
                <w:rFonts w:ascii="Times New Roman" w:hAnsi="Times New Roman"/>
                <w:highlight w:val="white"/>
              </w:rPr>
              <w:t xml:space="preserve"> месяцев 20</w:t>
            </w:r>
            <w:r>
              <w:rPr>
                <w:rFonts w:ascii="Times New Roman" w:hAnsi="Times New Roman"/>
                <w:highlight w:val="white"/>
                <w:lang w:val="en-US"/>
              </w:rPr>
              <w:t xml:space="preserve">25</w:t>
            </w:r>
            <w:r>
              <w:rPr>
                <w:rFonts w:ascii="Times New Roman" w:hAnsi="Times New Roman"/>
                <w:highlight w:val="white"/>
              </w:rPr>
              <w:t xml:space="preserve"> года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Заработная плата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74 497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Премия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14 065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298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Отложенный годовой бонус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  <w:trHeight w:val="114"/>
        </w:trPr>
        <w:tc>
          <w:tcPr>
            <w:tcW w:w="298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Компенсации расходов (командировки)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297</w:t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jc w:val="center"/>
          <w:trHeight w:val="221"/>
        </w:trPr>
        <w:tc>
          <w:tcPr>
            <w:tcW w:w="2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ИТОГО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88 859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Сведения, указанные в настоящем пункте, не могут являт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ься предметом соглашения о конфиденциальной информации, препятствующего их раскрытию в отчете эмитента.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составе информации, раскрытой в отчете эмитента за 12 месяцев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 происходило существенных изменений.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outlineLvl w:val="3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абзацем 2 пункта 1 Постановления Правительства Российской Федерации от 04.07.202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пункту 2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Приложения к Постановлению Правительства Российской Федерации от 04.07.2023 № 1102, информация в данном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кте не раскрывается,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составе информации, раскрытой в отчете эмитента за 12 месяцев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 происходило существенных изменений.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bookmarkStart w:id="19" w:name="Par292"/>
      <w:r>
        <w:rPr>
          <w:highlight w:val="white"/>
        </w:rPr>
      </w:r>
      <w:bookmarkEnd w:id="19"/>
      <w:r>
        <w:rPr>
          <w:rFonts w:ascii="Times New Roman" w:hAnsi="Times New Roman" w:cs="Times New Roman"/>
          <w:b/>
          <w:sz w:val="24"/>
          <w:szCs w:val="24"/>
          <w:highlight w:val="white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3.1. Сведения об общем количестве акционеров (участников, членов)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составе информации,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содержащейся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отчете эмитента за 12 месяцев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 происходило существенных изменений.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highlight w:val="white"/>
        </w:rPr>
      </w:r>
      <w:bookmarkStart w:id="21" w:name="Par367"/>
      <w:r>
        <w:rPr>
          <w:highlight w:val="white"/>
        </w:rPr>
      </w:r>
      <w:bookmarkEnd w:id="21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составе информации,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содержащейся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отчете эмитента за 12 месяцев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 происходило существенных изменений.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highlight w:val="white"/>
        </w:rPr>
      </w:r>
      <w:bookmarkStart w:id="22" w:name="Par398"/>
      <w:r>
        <w:rPr>
          <w:highlight w:val="white"/>
        </w:rPr>
      </w:r>
      <w:bookmarkEnd w:id="22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("золотой акции")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составе информации,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содержащейся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отчете эмитента за 12 месяцев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 происходило существенных изменений.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3.4. Сделки эмитента, в совершении которых имелась заинтересованность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отчете эмитента за 6 месяцев в соответствии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Положение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 раскрытии информации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данная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информация не приводится.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highlight w:val="white"/>
        </w:rPr>
      </w:r>
      <w:bookmarkStart w:id="23" w:name="Par409"/>
      <w:r>
        <w:rPr>
          <w:highlight w:val="white"/>
        </w:rPr>
      </w:r>
      <w:bookmarkEnd w:id="23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3.5. Крупные сделки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отчете эмитента за 6 месяцев в соответствии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Положение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 раскрытии информации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данная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информация не приводится.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Раздел 4. Дополнительные сведения об эмитенте и о размещенных им ценных бумагах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highlight w:val="white"/>
        </w:rPr>
      </w:r>
      <w:bookmarkStart w:id="24" w:name="Par423"/>
      <w:r>
        <w:rPr>
          <w:highlight w:val="white"/>
        </w:rPr>
      </w:r>
      <w:bookmarkEnd w:id="24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4.1. Подконтрольные эмитенту организации, имеющие для него существенное значение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составе информации, раскрытой в отчете эмитента за 12 месяцев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 происходило существенных изменений.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4.2. Дополнительные сведения, раскрываемые эмитентами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зеленых облигаций, социальных облигаций, облигаций устойчивого развития, адаптационных облигаций.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Эмитент не идентифицирует выпуск облигаций или облигации, размещаемые в рамках программы облигаций, с использованием слов «зеленые облигации» и (или) «социальные облигации», и (или) «облигации устойчивого развития», и (или) «адаптационные облигации».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4.2.1. Инфор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зеленых облигаций, социальных облигаций, облигаций устойчивого развития, адаптационных облигаций.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Calibri,Bold" w:hAnsi="Calibri,Bold" w:cs="Calibri,Bold"/>
          <w:b/>
          <w:bCs/>
          <w:highlight w:val="white"/>
        </w:rPr>
      </w:pPr>
      <w:r>
        <w:rPr>
          <w:rFonts w:ascii="Calibri,Bold" w:hAnsi="Calibri,Bold" w:cs="Calibri,Bold"/>
          <w:b/>
          <w:bCs/>
          <w:highlight w:val="white"/>
        </w:rPr>
      </w:r>
      <w:r>
        <w:rPr>
          <w:rFonts w:ascii="Calibri,Bold" w:hAnsi="Calibri,Bold" w:cs="Calibri,Bold"/>
          <w:b/>
          <w:bCs/>
          <w:highlight w:val="white"/>
        </w:rPr>
      </w:r>
      <w:r>
        <w:rPr>
          <w:rFonts w:ascii="Calibri,Bold" w:hAnsi="Calibri,Bold" w:cs="Calibri,Bold"/>
          <w:b/>
          <w:bCs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4.2.2. Описание политики эмитента по управлению денежными средствами, полученными от размещения зеленых облигаций, социальных облигаций, облигаций устойчивого развития, адаптационных облигаций.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Calibri,Bold" w:hAnsi="Calibri,Bold" w:cs="Calibri,Bold"/>
          <w:b/>
          <w:bCs/>
          <w:highlight w:val="white"/>
        </w:rPr>
      </w:pPr>
      <w:r>
        <w:rPr>
          <w:rFonts w:ascii="Calibri,Bold" w:hAnsi="Calibri,Bold" w:cs="Calibri,Bold"/>
          <w:b/>
          <w:bCs/>
          <w:highlight w:val="white"/>
        </w:rPr>
      </w:r>
      <w:r>
        <w:rPr>
          <w:rFonts w:ascii="Calibri,Bold" w:hAnsi="Calibri,Bold" w:cs="Calibri,Bold"/>
          <w:b/>
          <w:bCs/>
          <w:highlight w:val="white"/>
        </w:rPr>
      </w:r>
      <w:r>
        <w:rPr>
          <w:rFonts w:ascii="Calibri,Bold" w:hAnsi="Calibri,Bold" w:cs="Calibri,Bold"/>
          <w:b/>
          <w:bCs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4.2.3. Отчет об использовании денежных средств, полученных от размещения зеленых облигаций, социальных облигаций, облигаций устойчивого развития, адаптационных облигаций.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4.2(1). Дополнительные сведения, раскрываемые эмитентами инфраструктурных облигаций.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4.2(1).1. Информация о целевом использовании денежных средств, полученных от размещения инфраструктурных облигаций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4.2(1).2. Информация о реализации инфраструктурного проекта.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4.2(2). Дополнительные сведения, раскрываемые эмитентами облигаций, связанных с целями устойчивого развития.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4.2(2).1. Описание стратегии устойчивого развития эмитента.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4.2(2).2. Информация о текущем (фактическом) значении ключевого показателя (показателей) деятельности эмитента, связанного с достижением целей устойчивого развития.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4.2(3). Дополнительные сведения, раскрываемые эмитентами облигаций климатического перехода.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4.2(3).1. Описание стратегии климатического перехода эмитента.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4.2(3).2. Информация о реализации стратегии климатического перехода эмитента.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Облигации с обеспечением у Эмитента отсутствуют.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outlineLvl w:val="3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4.3.1. Дополнительные сведения об ипотечном покрытии по облигациям эмитента с ипотечным покрытием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62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Эмитент не размещал облигации с ипотечным покрытием.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4.3.2.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Эмитент не размещал облигации с залоговым обеспечением денежными требованиями.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outlineLvl w:val="2"/>
      </w:pPr>
      <w:r>
        <w:rPr>
          <w:highlight w:val="white"/>
        </w:rPr>
      </w:r>
      <w:bookmarkStart w:id="25" w:name="Par927"/>
      <w:r>
        <w:rPr>
          <w:highlight w:val="white"/>
        </w:rPr>
      </w:r>
      <w:bookmarkEnd w:id="25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4.4. Сведения об объявленных и выплаченных дивидендах по акциям эмитента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приводится. Акции Эмитента не допущены к организованным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4.5. Сведения об организациях, осуществляющих учет прав на эмиссионные ценные бумаги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4.5.1 Сведения о регистраторе, осуществляющем ведение реестра владельцев ценных бумаг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составе информации, раскрытой в отчете эмитента за 12 месяцев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 происходило существенных изменений.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3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4.5.2. Сведения о депозитарии, осуществляющем централизованный учет прав на ценные бумаги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составе информации, раскрытой в отчете эмитента за 12 месяцев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2024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 происходило существенных изменений.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highlight w:val="white"/>
        </w:rPr>
      </w:r>
      <w:bookmarkStart w:id="26" w:name="Par1037"/>
      <w:r>
        <w:rPr>
          <w:highlight w:val="white"/>
        </w:rPr>
      </w:r>
      <w:bookmarkEnd w:id="26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4.6. Информация об аудиторе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Информация в отношении аудитора (аудиторской организации, индивидуального аудитора) эмит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ента, который проводил проверку промежуточной отчетности эмитента, раскрытой эмитентом в отчетном периоде, и (или) который проводил (будет проводить) проверку (обязательный аудит) годовой отчетности эмитента за текущий и последний завершенный отчетный год: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5004"/>
        <w:gridCol w:w="4352"/>
      </w:tblGrid>
      <w:tr>
        <w:tblPrEx/>
        <w:trPr>
          <w:jc w:val="center"/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Полное фирменное наименование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Общество с ограниченной ответственностью «Центр аудиторских технологий и решений – аудиторские услуги»       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</w:tr>
      <w:tr>
        <w:tblPrEx/>
        <w:trPr>
          <w:jc w:val="center"/>
          <w:trHeight w:val="1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Сокращенное фирменное наименование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ООО «ЦАТР – аудиторские услуги»</w:t>
            </w:r>
            <w:r>
              <w:rPr>
                <w:rStyle w:val="1122"/>
                <w:highlight w:val="white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7709383532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</w:tr>
      <w:tr>
        <w:tblPrEx/>
        <w:trPr>
          <w:jc w:val="center"/>
          <w:trHeight w:val="2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1027739707203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</w:tr>
      <w:tr>
        <w:tblPrEx/>
        <w:trPr>
          <w:jc w:val="center"/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Место нахождения аудиторской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Россия, 115035, Москва, Садовническая набережная, 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ом 75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Отчетный год и (или) иной отчетный период из числа последних трех завершенных отчетных лет и текущего года, за который аудитором проводилась (будет проводиться) проверка отчетности эмитента: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3, 2024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 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годы.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Вид отчетности эмитента, в отношении которой аудитором проводилась (будет проводиться) проверка (бухгалтерская (финансовая) отчетность; консолидированная финансовая отчетность или финансовая отчетность):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 xml:space="preserve">Аудитор провел аудиторскую проверку в отношении: </w:t>
      </w:r>
      <w:r>
        <w:rPr>
          <w:rFonts w:ascii="Times New Roman" w:hAnsi="Times New Roman" w:cs="Times New Roman"/>
          <w:highlight w:val="white"/>
          <w:u w:val="single"/>
        </w:rPr>
      </w:r>
      <w:r>
        <w:rPr>
          <w:rFonts w:ascii="Times New Roman" w:hAnsi="Times New Roman" w:cs="Times New Roman"/>
          <w:highlight w:val="white"/>
          <w:u w:val="singl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годовой бухгалтерской (финансовой) отчетности, составленных на ее основе публикуемых форм Банка за 2022 год, подготовленной исходя из требований законодательства Российской Федерации, включая нормативные акты Центрального банка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консолидированной финансовой отчетности Группы АО «Россельхозбанк»                          за 2022 год,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консолидированной финансовой отчетности Группы                                           АО «Россельхозбанк» за 2022 год, подготовленной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форм бухгалтерской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финансовой) отчетности Банка за 2022 год, подготовленной в соответствии с установленными в Российской Федерации правилами составления бухгалтерской (финансовой) отчетности с учетом требований, содержащихся в принятом Советом директоров Банка России решении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29.12.2022 «О требованиях к раскрытию кре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дитными организациями (головными кредитными организациями банковских групп) отчетности и информации в 2023 году» и изложенных в Информационном письме Банка России от 30.12.2022 № ИН-03-23/158 «О требованиях к раскрытию отчетности и информации в 2023 году»;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годовой бухгалтерской (финансовой) отчетности, составленных на ее основе публикуемых форм Банка за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год, подготовленной исходя из требований законодательства Российской Федерации, включая нормативные акты Центрального банка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консолидированной финансовой отчетности Группы АО «Россельхозбанк»                  за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год, подготовленной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консолидированной финансовой отчетности Группы                                           АО «Россельхозбанк»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 2023 год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публикуемой отчетности Банка за 2023 год, подготовленной в соответствии 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установленными в Российской Федерации правилами составления бухгалтерской (финансовой) отчетности с учетом требований, содержащихся в принятом Советом директоров Банка России решении от 26.12.2023 «О требованиях к раскрытию кредитными организациями (голов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ными кредитными организациями банковских групп) отчетности и информации в 2024 году» и изложенных в Информационном письме Банка России от 16.01.2024 № ИН-03-23/2 «О требованиях к раскрытию и представлению в Банк России отчетности и информации в 2024 году»;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годовой бухгалтерской (финансовой) отчетности, составленных на ее основе публикуемых форм Банка за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год, подготовленной исходя из требований законодательства Российской Федерации, включая нормативные акты Центрального банка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консолидированной финансовой отчетности Группы АО «Россельхозбанк»                  за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год, подготовленной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консолидированной финансовой отчетности Группы                                           АО «Россельхозбанк»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 2024 год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публикуемой отчетности Банка за 2024 год, подготовленной в соответствии 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установленными в Российской Федерации правилами составления бухгалтерской (финансовой) отчетности с учетом требований, содержащихся в принятом Советом директоров Банка России решении от 24.12.2024 «О требованиях к раскрытию кредитными организациями (голов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ными кредитными организациями банковских групп) отчетности и информации в 2025 году» и изложенных в Информационном письме Банка России от 22.01.2025 №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Н-03-23/70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«О требованиях к раскрытию и представлению в Банк России отчетности и информации в 2025 году».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spacing w:after="0" w:afterAutospacing="0"/>
        <w:rPr>
          <w:rFonts w:ascii="Times New Roman" w:hAnsi="Times New Roman" w:cs="Times New Roman"/>
          <w:b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highlight w:val="white"/>
          <w:u w:val="single"/>
        </w:rPr>
      </w:r>
      <w:r>
        <w:rPr>
          <w:rFonts w:ascii="Times New Roman" w:hAnsi="Times New Roman" w:cs="Times New Roman"/>
          <w:b/>
          <w:highlight w:val="white"/>
          <w:u w:val="singl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 xml:space="preserve">Аудитор провел обзорную проверку в отношении:</w:t>
      </w:r>
      <w:r>
        <w:rPr>
          <w:rFonts w:ascii="Times New Roman" w:hAnsi="Times New Roman" w:cs="Times New Roman"/>
          <w:highlight w:val="white"/>
          <w:u w:val="single"/>
        </w:rPr>
      </w:r>
      <w:r>
        <w:rPr>
          <w:rFonts w:ascii="Times New Roman" w:hAnsi="Times New Roman" w:cs="Times New Roman"/>
          <w:highlight w:val="white"/>
          <w:u w:val="singl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промежуточной сокращенной консолидированной финансовой отчетности Группы АО «Россельхозбанк» за 3 месяца,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кончившихся 31 марта 2022 года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промежуточной сокращенной консолидированной финансовой отчетности Группы АО «Россельхозбанк» за 6 месяцев,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30 июня 2022 года, подготовленной в соответствии с Международными стандартами финансовой отчетности.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промежуточной сокращенной консолидированной финансовой отчетности Группы АО «Россельхозбанк» за 9 месяцев,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сентября 2022 года, подготовленной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(раскрываемой) консолидированной финансовой отчетности Группы АО «Россельхозбанк» за 3 месяца,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31 марта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АО «Россельхозбанк» за 3 месяца,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31 марта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подготовленной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(раскрываемой) консолидированной финансовой отчетности Группы АО «Россельхозбанк» за 6 месяцев,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июня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АО «Россельхозбанк» за 6 месяцев,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июня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подготовленной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(раскрываемой) консолидированной финансовой отчетности Группы АО «Россельхозбанк» за 9 месяцев,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сентября 2022 года,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подготовленной на основе промежуточной сокращенной консолидированной финансовой отчетности Группы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АО «Россельхозбанк» за 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месяцев,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сентября 2022 года,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промежуточной сокращенной консолидированной финансовой отчетности Группы АО «Россельхозбанк» за 3 месяца,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31 марта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промежуточной сокращенной консолидированной финансовой отчетности Группы АО «Россельхозбанк» за 6 месяцев,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июня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промежуточной сокращенной консолидированной финансовой отчетности Группы АО «Россельхозбанк» за 9 месяцев,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сентября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подготовленной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(раскрываемой) консолидированной финансовой отчетности Группы АО «Россельхозбанк» за 3 месяца,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31 марта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2023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АО «Россельхозбанк» за 3 месяца,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31 марта 2023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подготовленной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(раскрываемой) консолидированной финансовой отчетности Группы АО «Россельхозбанк» за 6 месяцев,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июня 2023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АО «Россельхозбанк» за 6 месяцев,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июня 2023 года,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подготовленной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(раскрываемой) консолидированной финансовой отчетности Группы АО «Россельхозбанк» за 9 месяцев,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сентября 2023 года,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подготовленной на основе промежуточной сокращенной консолидированной финансовой отчетности Группы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АО «Россельхозбанк» за 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месяцев,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сентября 2023 года,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подготовленной в соответствии с Международными 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промежуточной сокращенной консолидированной финансовой отчетности Группы АО «Россельхозбанк» за 3 месяца,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31 марта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промежуточной сокращенной консолидированной финансовой отчетности Группы АО «Россельхозбанк» за 6 месяцев,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июня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промежуточной сокращенной консолидированной финансовой отчетности Группы АО «Россельхозбанк»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месяцев,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сентября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(раскрываемой) консолидированной финансовой отчетности Группы АО «Россельхозбанк» за 3 месяца,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31 марта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2024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АО «Россельхозбанк» за 3 месяца,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31 марта 2024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подготовленной в соответствии с Международными стандартами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(раскрываемой) консолидированной финансовой отчетности Группы АО «Россельхозбанк» за 6 месяцев, 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июня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подготовленной на основе промежуточной сокращенной консолидированной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br/>
        <w:t xml:space="preserve">АО «Россельхозбанк» за 6 месяцев, 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июня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подготовленной в соответствии с Международными 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андартами финансовой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(раскрываемой) консолидированной финансовой отчетности Группы АО «Россельхозбанк»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месяцев, 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сентября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подготовленной на основе промежуточной сокращенной консолидированн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АО «Россельхозбанк»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9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месяцев, окончившиеся 30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сентября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года, подготовленной в соответствии с Международными 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промежуточной сокращенной консолидированной финансовой отчетности                      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месяца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ся 31 марта 2025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промежуточной сокращенной консолидированной финансовой отчетности                 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6 месяцев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ся 30 июня 2025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 обобщенной (раскрываемой) консолидированной финансовой отчетности                      АО «Россельхозбанк» за 3 месяца,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31 марта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2025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й финансовой отчетности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АО «Россельхозбанк» за 3 месяца,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31 марта 2025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подготовленной в соответствии с Международными стандартами финансовой отчетности.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i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 обобщенной (раскрываемой) консолидированной финансовой отчетности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6 месяцев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ся 30 июня 2025 года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подготовленной на основе промежуточной сокращенной консолидированной финансовой отчетности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 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6 месяцев,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30 июня 2025 года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подготовленной в соответствии с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  <w:lang w:eastAsia="ru-RU"/>
        </w:rPr>
        <w:t xml:space="preserve">Международными стандартами финансовой отчетности;</w:t>
      </w:r>
      <w:r>
        <w:rPr>
          <w:rFonts w:ascii="Times New Roman" w:hAnsi="Times New Roman" w:cs="Times New Roman"/>
          <w:iCs/>
          <w:sz w:val="24"/>
          <w:szCs w:val="24"/>
          <w:highlight w:val="white"/>
        </w:rPr>
      </w:r>
      <w:r>
        <w:rPr>
          <w:rFonts w:ascii="Times New Roman" w:hAnsi="Times New Roman" w:cs="Times New Roman"/>
          <w:iCs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iCs/>
          <w:highlight w:val="whit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</w:rPr>
      </w:r>
      <w:r>
        <w:rPr>
          <w:rFonts w:ascii="Times New Roman" w:hAnsi="Times New Roman" w:cs="Times New Roman"/>
          <w:iCs/>
          <w:highlight w:val="white"/>
        </w:rPr>
      </w:r>
      <w:r>
        <w:rPr>
          <w:rFonts w:ascii="Times New Roman" w:hAnsi="Times New Roman" w:cs="Times New Roman"/>
          <w:iCs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 xml:space="preserve">Аудитор будет проводить аудиторскую проверку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 xml:space="preserve">в отношении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 xml:space="preserve">:</w:t>
      </w:r>
      <w:r>
        <w:rPr>
          <w:rFonts w:ascii="Times New Roman" w:hAnsi="Times New Roman" w:cs="Times New Roman"/>
          <w:highlight w:val="white"/>
          <w:u w:val="single"/>
        </w:rPr>
      </w:r>
      <w:r>
        <w:rPr>
          <w:rFonts w:ascii="Times New Roman" w:hAnsi="Times New Roman" w:cs="Times New Roman"/>
          <w:highlight w:val="white"/>
          <w:u w:val="single"/>
        </w:rPr>
      </w:r>
    </w:p>
    <w:p>
      <w:pPr>
        <w:ind w:firstLine="709"/>
        <w:jc w:val="both"/>
        <w:spacing w:after="0" w:afterAutospacing="0"/>
        <w:tabs>
          <w:tab w:val="left" w:pos="567" w:leader="none"/>
        </w:tabs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</w:rPr>
        <w:t xml:space="preserve">годовой бухгалтерской (финансовой) отчетности Банка за 2025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</w:rPr>
        <w:t xml:space="preserve"> год, составленной в соответствии с требованиями законодательства Российской Федерации, включая нормативные акты Центрального банка Российской Федерации;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 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за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 год, подготовленной в соответствии с Международными стандартами финансовой отчетности.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20"/>
        <w:jc w:val="both"/>
        <w:spacing w:after="0" w:afterAutospacing="0"/>
        <w:tabs>
          <w:tab w:val="num" w:pos="1418" w:leader="none"/>
        </w:tabs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</w:p>
    <w:p>
      <w:pPr>
        <w:ind w:firstLine="720"/>
        <w:jc w:val="both"/>
        <w:spacing w:after="0" w:afterAutospacing="0"/>
        <w:tabs>
          <w:tab w:val="num" w:pos="141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Аудитор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будет проводить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 обзорн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ую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 проверк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 в отношении: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промежуточной сокращенной консолидированной финансовой отчетности                     АО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9 месяцев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закончивши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ся 30 сентября 2025 года,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подготовленной в соответствии с Международными стандартами финансовой отчетности.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eastAsia="Times New Roman"/>
          <w:iCs/>
          <w:highlight w:val="white"/>
        </w:rPr>
      </w:pPr>
      <w:r>
        <w:rPr>
          <w:rFonts w:eastAsia="Times New Roman"/>
          <w:iCs/>
          <w:highlight w:val="white"/>
          <w:lang w:eastAsia="ru-RU"/>
        </w:rPr>
      </w:r>
      <w:r>
        <w:rPr>
          <w:rFonts w:eastAsia="Times New Roman"/>
          <w:iCs/>
          <w:highlight w:val="white"/>
          <w:lang w:eastAsia="ru-RU"/>
        </w:rPr>
      </w:r>
      <w:r>
        <w:rPr>
          <w:rFonts w:eastAsia="Times New Roman"/>
          <w:iCs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Сопутствующие аудиту и прочие связанные с аудиторской деятельностью услуги, которые оказывались (будут оказываться) эмитенту в течение последних трех завершенных отчетных лет и текущего года аудитором: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tbl>
      <w:tblPr>
        <w:tblW w:w="9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95"/>
        <w:gridCol w:w="5636"/>
      </w:tblGrid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Контракт 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Дата заключения 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Описание услуг 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01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BAS-2022-00083 (РСХБ-18/253-2022)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27.06.2022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Консультационные услуги по предоставлению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екомендаций в части совершенствования методологии оценки ожидаемых кредитных убытков в соответствии с МСФО 9 по требованиям к корпоративным заемщикам и индивидуальным предпринимателям и портфелям дочерних обществ для нужд                               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77"/>
        </w:trPr>
        <w:tc>
          <w:tcPr>
            <w:tcW w:w="22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РСХБ-18/331-2022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(GFS-2022-00133)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15.07.2022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Сопутствующие аудиторские процедуры в связи с эмиссией биржевых неконвертируемых облигаций с централизованным учетом прав, размещаемых путем открытой подписки в рамках Программы биржевых облигаций серии 002Р.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EX22080400027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31.08.2022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Оценка функции внутреннего аудита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781"/>
        </w:trPr>
        <w:tc>
          <w:tcPr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Договор оказания аудиторских услуг от 26.02.2019 № GFS-2019-00027, ДС к договору №5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2022, ДС к договору №6 от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ДС к договору №7 от 30.11.2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26.02.2019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 xml:space="preserve">08.12.2022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 xml:space="preserve">20.12.2022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30.11.2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Аудит в соответств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ии со статьей 50 Федерального закона от 29.11.2001 № 156-ФЗ «Об инвестиционных фондах», Федеральным законом от 30.12.2008 № 307-ФЭ «Об аудиторской деятельности» за 2022 год. (Закрытый паевой инвестиционный комбинированный фонд «Фонд долговых ценных бумаг»)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tcW w:w="226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9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удит в соответствии со стать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ей 50 Федерального закона от 29.11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2001 № 156-ФЗ «Об инвестиционных 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дах», Федеральным законом от 30.12.2008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№ 307-ФЗ «Об аудиторской деятельности» за 2023 год. (Закрытый паевой инвестиционный комбинированный фонд «Фонд долговых ценных бумаг»)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1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EX23020900071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Услуги по проведению оценки реализации в 2022 году Долгосрочной программы развития и выполнения ключевых показателей эффективности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76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РСХБ-18/222-2023/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GFS-2023-00155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07.08.2023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Сопутствующие аудиторские процедуры в связи с обновлением Проспекта ценных бумаг в рамках Программы биржевых облигаций серии 002Р.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70"/>
        </w:trPr>
        <w:tc>
          <w:tcPr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32413215752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59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29.02.2024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Услуги по проведению оценки реализации в 2023 году Долгосрочной программы развития и выполнения ключевых показателей эффективности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4"/>
        </w:trPr>
        <w:tc>
          <w:tcPr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1-0-05/24</w:t>
            </w:r>
            <w:r>
              <w:rPr>
                <w:highlight w:val="white"/>
              </w:rPr>
            </w:r>
          </w:p>
        </w:tc>
        <w:tc>
          <w:tcPr>
            <w:tcW w:w="159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28.12.2024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Предоставление консультационных налоговых услуг по вопросам реструктуризации деятельности Общества для наиболее эффективной и коммерчески целесообразной коммерциализации разносторонних наработок и опыта Общества, накопленных в ИТ-сфере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2"/>
        </w:trPr>
        <w:tc>
          <w:tcPr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32514491845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Услуги по проведению оценки реализации в 2024 году Долгосрочной программы развития и выполнения ключевых показателей эффективности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Ф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акторы, которые могут оказать влияние на независимость аудитора, в том числе сведения о наличии существенных интересов (взаимоотношений), связывающих с эмит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ентом (членами органов управления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tbl>
      <w:tblPr>
        <w:tblW w:w="9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493"/>
      </w:tblGrid>
      <w:tr>
        <w:tblPrEx/>
        <w:trPr>
          <w:jc w:val="center"/>
        </w:trPr>
        <w:tc>
          <w:tcPr>
            <w:tcW w:w="5670" w:type="dxa"/>
            <w:textDirection w:val="lrTb"/>
            <w:noWrap w:val="false"/>
          </w:tcPr>
          <w:p>
            <w:pPr>
              <w:pStyle w:val="1062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наличие долей участия аудитора (лиц, занимающих должности в органах управления и органах контроля за финансово-хозяйственной деятельностью аудиторской организации) в уставном капитале эмитента</w:t>
            </w:r>
            <w:r>
              <w:rPr>
                <w:highlight w:val="white"/>
              </w:rPr>
            </w:r>
          </w:p>
        </w:tc>
        <w:tc>
          <w:tcPr>
            <w:tcW w:w="3493" w:type="dxa"/>
            <w:textDirection w:val="lrTb"/>
            <w:noWrap w:val="false"/>
          </w:tcPr>
          <w:p>
            <w:pPr>
              <w:pStyle w:val="1062"/>
              <w:ind w:firstLine="0"/>
              <w:rPr>
                <w:b/>
                <w:i/>
                <w:highlight w:val="white"/>
              </w:rPr>
            </w:pPr>
            <w:r>
              <w:rPr>
                <w:highlight w:val="white"/>
              </w:rPr>
              <w:t xml:space="preserve">не имеется</w:t>
            </w: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5670" w:type="dxa"/>
            <w:textDirection w:val="lrTb"/>
            <w:noWrap w:val="false"/>
          </w:tcPr>
          <w:p>
            <w:pPr>
              <w:pStyle w:val="1062"/>
              <w:ind w:firstLine="0"/>
              <w:rPr>
                <w:b/>
                <w:i/>
                <w:highlight w:val="white"/>
              </w:rPr>
            </w:pPr>
            <w:r>
              <w:rPr>
                <w:highlight w:val="white"/>
              </w:rPr>
              <w:t xml:space="preserve">предоставление эмитентом заемных средств аудитору (лицам, занимающим должности в органах управления и органах контроля за финансово-хозяйственной деятельностью аудиторской организации)</w:t>
            </w: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tcW w:w="3493" w:type="dxa"/>
            <w:textDirection w:val="lrTb"/>
            <w:noWrap w:val="false"/>
          </w:tcPr>
          <w:p>
            <w:pPr>
              <w:pStyle w:val="1062"/>
              <w:ind w:firstLine="0"/>
              <w:rPr>
                <w:b/>
                <w:i/>
                <w:highlight w:val="white"/>
              </w:rPr>
            </w:pPr>
            <w:r>
              <w:rPr>
                <w:highlight w:val="white"/>
              </w:rPr>
              <w:t xml:space="preserve">не предоставлялись</w:t>
            </w: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5670" w:type="dxa"/>
            <w:textDirection w:val="lrTb"/>
            <w:noWrap w:val="false"/>
          </w:tcPr>
          <w:p>
            <w:pPr>
              <w:pStyle w:val="1062"/>
              <w:ind w:firstLine="0"/>
              <w:rPr>
                <w:b/>
                <w:i/>
                <w:highlight w:val="white"/>
              </w:rPr>
            </w:pPr>
            <w:r>
              <w:rPr>
                <w:highlight w:val="white"/>
              </w:rPr>
              <w:t xml:space="preserve">наличие тесных деловых взаимоотношений (участие в продвижении продукции (услуг) эмитента, участие в совместной предпринимательской деятельности и т.д.), а также родственных связей</w:t>
            </w: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tcW w:w="3493" w:type="dxa"/>
            <w:textDirection w:val="lrTb"/>
            <w:noWrap w:val="false"/>
          </w:tcPr>
          <w:p>
            <w:pPr>
              <w:pStyle w:val="1062"/>
              <w:ind w:firstLine="0"/>
              <w:rPr>
                <w:b/>
                <w:i/>
                <w:highlight w:val="white"/>
              </w:rPr>
            </w:pPr>
            <w:r>
              <w:rPr>
                <w:highlight w:val="white"/>
              </w:rPr>
              <w:t xml:space="preserve">не имеется</w:t>
            </w: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5670" w:type="dxa"/>
            <w:textDirection w:val="lrTb"/>
            <w:noWrap w:val="false"/>
          </w:tcPr>
          <w:p>
            <w:pPr>
              <w:pStyle w:val="1062"/>
              <w:ind w:firstLine="0"/>
              <w:rPr>
                <w:b/>
                <w:i/>
                <w:highlight w:val="white"/>
              </w:rPr>
            </w:pPr>
            <w:r>
              <w:rPr>
                <w:highlight w:val="white"/>
              </w:rPr>
              <w:t xml:space="preserve">сведения о лицах, занимающих д</w:t>
            </w:r>
            <w:r>
              <w:rPr>
                <w:highlight w:val="white"/>
              </w:rPr>
              <w:t xml:space="preserve">олжности в органах управления и (или) органах контроля за финансово-хозяйственной деятельностью эмитента, которые одновременно занимают должности в органах управления и (или) органах контроля за финансово-хозяйственной деятельностью аудиторской организации</w:t>
            </w: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tcW w:w="3493" w:type="dxa"/>
            <w:textDirection w:val="lrTb"/>
            <w:noWrap w:val="false"/>
          </w:tcPr>
          <w:p>
            <w:pPr>
              <w:pStyle w:val="1062"/>
              <w:ind w:firstLine="0"/>
              <w:jc w:val="left"/>
              <w:rPr>
                <w:b/>
                <w:i/>
                <w:highlight w:val="white"/>
              </w:rPr>
            </w:pPr>
            <w:r>
              <w:rPr>
                <w:highlight w:val="white"/>
              </w:rPr>
              <w:t xml:space="preserve">должностные лица Эмитента не являются одновременно должностными лицами аудитора </w:t>
            </w:r>
            <w:r>
              <w:rPr>
                <w:b/>
                <w:i/>
                <w:highlight w:val="white"/>
              </w:rPr>
            </w:r>
            <w:r>
              <w:rPr>
                <w:b/>
                <w:i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Меры, предпринятые эмитентом и аудитором эмитента для снижения влияния факторов, которые могут оказать влияние на независимость аудитора: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рамках реализации задачи по выявлению конфликтов интересов в деятельности               АО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Банк осуществляет мероприятия текущего мониторинга, контроль принятия мер, предусмотренных Порядком предотвращения конфликтов интересов                      АО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№ 538-П, а также реализации Антикоррупционной политики                             АО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Кроме того, возникновение деловых отношений между АО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и независимым аудитором с точки зрения приобретения Банком у последнего товаров, работ, услуг осуществляется только после заключения договора по итогам проведения Банком соответствующей закупочной процедуры в соответствии с требованиями  Федерального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кона от 18.07.2011 № 223-ФЗ «О закупках товаров, работ, услуг отдельными видами юридических лиц»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Фактический размер вознаграждения, выплаченного эмитентом аудитору за последний завершенный отчетный год, с отдельным указанием размера вознаграждения, выплаченного за аудит (проверку), в том числе обязательный,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консолидированной финансовой отчетности эмитента за последний завершенный отчетный 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за оказание сопутствующих аудиту и прочих связанных с аудиторской деятельностью услуг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Общий размер вознаграждений, выплаченный ООО «ЦАТР – аудиторские услуги» за 2024 год за аудиторские и неаудиторские услуги, составил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78 656 589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(включая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13 109 431,50 рублей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НДС)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Размер вознаграждения за оказанные аудитором эмитента услуги, выплата которого от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ложена или просрочена эмитентом, с отдельным указанием отложенного или просроченного вознаграждения за аудит (проверку), в том числе обязательный, отчетности эмитента и за оказание сопутствующих аудиту и прочих связанных с аудиторской деятельностью услуг: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Отсутствует.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Фактический размер вознагр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аждения, выплаченного за последний завершенный отчетный год эмитентом аудитору, а также организациям, которые являются членами того же объединения организаций, членом которого является аудитор эмитента (входят с аудитором эмитента в одну сеть аудиторских о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рганизаций), с отдельным указанием размера вознаграждения, выплаченного за аудит (проверку), в том числе обязательный, консолидированной финансовой отчетности эмитента и за оказание сопутствующих аудиту и прочих связанных с аудиторской деятельностью услуг: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pStyle w:val="1062"/>
        <w:ind w:firstLine="709"/>
        <w:rPr>
          <w:iCs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ООО «ЦАТР – аудиторские услуги» является членом Саморегулируемой организации аудиторов Ассоциация «Содружество» (</w:t>
      </w:r>
      <w:r>
        <w:rPr>
          <w:bCs/>
          <w:sz w:val="24"/>
          <w:szCs w:val="24"/>
          <w:highlight w:val="white"/>
        </w:rPr>
        <w:t xml:space="preserve">СРО ААС</w:t>
      </w:r>
      <w:r>
        <w:rPr>
          <w:sz w:val="24"/>
          <w:szCs w:val="24"/>
          <w:highlight w:val="white"/>
        </w:rPr>
        <w:t xml:space="preserve">), место нахождения: Российская </w:t>
      </w:r>
      <w:r>
        <w:rPr>
          <w:bCs/>
          <w:iCs/>
          <w:sz w:val="24"/>
          <w:szCs w:val="24"/>
          <w:highlight w:val="white"/>
        </w:rPr>
        <w:t xml:space="preserve">Федерация, город Москва, адрес: Россия</w:t>
      </w:r>
      <w:r>
        <w:rPr>
          <w:bCs/>
          <w:iCs/>
          <w:sz w:val="24"/>
          <w:szCs w:val="24"/>
          <w:highlight w:val="white"/>
        </w:rPr>
        <w:t xml:space="preserve">, 119192, Москва, Мичуринский пр</w:t>
      </w:r>
      <w:r>
        <w:rPr>
          <w:bCs/>
          <w:iCs/>
          <w:sz w:val="24"/>
          <w:szCs w:val="24"/>
          <w:highlight w:val="white"/>
        </w:rPr>
        <w:t xml:space="preserve">оспект</w:t>
      </w:r>
      <w:r>
        <w:rPr>
          <w:bCs/>
          <w:iCs/>
          <w:sz w:val="24"/>
          <w:szCs w:val="24"/>
          <w:highlight w:val="white"/>
        </w:rPr>
        <w:t xml:space="preserve">, дом 21, корпус 4.</w:t>
      </w:r>
      <w:r>
        <w:rPr>
          <w:bCs/>
          <w:iCs/>
          <w:sz w:val="24"/>
          <w:szCs w:val="24"/>
          <w:highlight w:val="white"/>
        </w:rPr>
        <w:t xml:space="preserve"> Эмитент не выплачивал вознаграждение в 2024 году </w:t>
      </w:r>
      <w:r>
        <w:rPr>
          <w:bCs/>
          <w:iCs/>
          <w:sz w:val="24"/>
          <w:szCs w:val="24"/>
          <w:highlight w:val="white"/>
        </w:rPr>
        <w:t xml:space="preserve">организациям, которые являются членами того же объединения организаций, членом которого является аудитор эмитента (входят с аудитором эмитента в одну сеть аудиторских организаций).</w:t>
      </w:r>
      <w:r>
        <w:rPr>
          <w:b/>
          <w:i/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</w:r>
      <w:r>
        <w:rPr>
          <w:iCs/>
          <w:sz w:val="24"/>
          <w:szCs w:val="24"/>
          <w:highlight w:val="white"/>
        </w:rPr>
      </w:r>
    </w:p>
    <w:p>
      <w:pPr>
        <w:pStyle w:val="1062"/>
        <w:ind w:firstLine="709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pStyle w:val="1062"/>
        <w:ind w:firstLine="709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Фактический размер вознаграждения, выплаченного за последний завершенный отчетный год эмитентом аудитору:</w:t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Общий размер вознаграждений, выплаченный ООО «ЦАТР – аудиторские услуги» за 2024 год за аудиторские и неаудиторские услуги, составил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78 656 589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(включая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13 109 431,50 рублей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НДС)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62"/>
        <w:ind w:firstLine="709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pStyle w:val="1062"/>
        <w:ind w:firstLine="709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Фактический размер вознаграждения, выплаченного за последний завершенный отчетный год эмитентом организациям, которые являются членами того же объединения организаций, членом которого является аудитор эмитента:</w:t>
      </w:r>
      <w:r>
        <w:rPr>
          <w:b/>
          <w:i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</w:r>
    </w:p>
    <w:p>
      <w:pPr>
        <w:pStyle w:val="1062"/>
        <w:ind w:firstLine="709"/>
        <w:rPr>
          <w:iCs/>
          <w:highlight w:val="white"/>
        </w:rPr>
      </w:pPr>
      <w:r>
        <w:rPr>
          <w:sz w:val="24"/>
          <w:szCs w:val="24"/>
          <w:highlight w:val="white"/>
        </w:rPr>
        <w:t xml:space="preserve">Вознаграждение организациям, которые являются членами того же объединения организаций, членом которого является аудитор эмитента, не выплачивалось.</w:t>
      </w:r>
      <w:r>
        <w:rPr>
          <w:iCs/>
          <w:highlight w:val="white"/>
        </w:rPr>
      </w:r>
      <w:r>
        <w:rPr>
          <w:iCs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орядок выбора аудитора эмитентом: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проводит открытый конкурс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электронной форме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отбору аудиторской организации для проведения ежегодного аудита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митента.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Федеральным законом от 30.12.2008 № 307-ФЗ «Об аудиторской деятельности» договор на проведение обязательного аудита бухгалтерской (финансовой) отчетности заключался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проведения открытого конкурса в электронной форме в порядке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предусмотренном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менее, чем за 15 календарных дней до дня проведения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конкурса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электронной форме (далее – конкурс)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Эмитент в установленном порядке публикует извещение о проведении конкурса,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предварительно согласованное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Федеральн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агентств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управлению государственным имуществом (далее –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Росимущество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</w:t>
      </w:r>
      <w:r>
        <w:rPr>
          <w:rStyle w:val="1122"/>
          <w:rFonts w:ascii="Times New Roman" w:hAnsi="Times New Roman" w:cs="Times New Roman"/>
          <w:sz w:val="24"/>
          <w:szCs w:val="24"/>
          <w:highlight w:val="white"/>
        </w:rPr>
        <w:footnoteReference w:id="4"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котором указываются основные условия проведения конкурса.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Выбранная по итогам открытого конкурса аудиторская организация последовательно согласовывается Правлением, Наблюдательным советом Банка 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выносится на утверждение годового общего собрания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акционеров Банка (в соответствии с п. 101 Устава Банка и п. 3.3, 3.6 Положения о Комитете по аудиту Наблюдательного совета Бан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ка, утвержденного Наблюдательным советом Банка (протокол от 27.06.2017 № 11).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 июня 2022 года ООО «ЦАТР – аудиторские услуги» утвержден аудитором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АО «Россельхозбанк» для проведения обязательной ежегодной аудиторской проверки за 2022 год (Распоряжение Росимущества от 30.06.2022 № 344-р).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 июня 2023 года ООО «ЦАТР – аудиторские услуги» утвержден аудитором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АО «Россельхозбанк» для проведения обязательной ежегодной аудиторской проверки за 2023 год (Распоряжение Росимущества от 30.06.2023 № 828-р).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28 июня 2024 года ООО «ЦАТР – аудиторские услуги» утвержден аудитором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АО «Россельхозбанк» для проведения обязательной ежегодной аудиторской проверки за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 (Распоряжение Росимущества от 28.06.2024 № 1586-р).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 июня 2025 года ООО «ЦАТР – аудиторские услуги» утвержден аудитором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АО «Россельхозбанк» для проведения обязательной еж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егодной аудиторской проверки за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 (Распоряжение Росимущества от 30.06.2025 № 1279-р).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В период между отчетной датой (01.07.2025) и датой составления промежуточной финансовой информации Акционерного общества «Российский Сельскохозя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йственный банк» и его дочерних организаций за шесть месяцев, закончившихся 30 июня 2025 г., составленной в соответствии с Международными стандартами финансовой отчетност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(11.08.2025)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 в 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оставе информации, приведенной в пункте 4.6 изменения не происходили.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Раздел 5. Консолидированная финансовая отчетность (финансовая отчетность), бухгалтерская (финансовая) отчетность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 Консолидированная финансовая отчетность (финансовая отчетность)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*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tbl>
      <w:tblPr>
        <w:tblW w:w="99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704"/>
        <w:gridCol w:w="5954"/>
        <w:gridCol w:w="3261"/>
      </w:tblGrid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Наименование формы отчетности, иного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Номер приложения к отчету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80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Заключение по результатам обзорной проверки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промежуточной финансовой информации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Акционерного общества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«Российский Сельскохозяйственный банк»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и его дочерних организаций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за шесть месяцев, закончившихся 30 июня 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соответствии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абзацем 12 пункта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Постановления Правительства Российской Федерации от 04.07.2023 № 1102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едерального закона «О рынке ценных бумаг» и Решением Совета директоров Банка России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24.12.2024 «О требованиях к раскрытию кредитными организациями (головными кредитными организациями банковских групп) отчетности и информации в 2025 году»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риложение 1 к Отчету эмитента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 раскрывается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Заключение по результатам обзорной проверки промежуточной финансовой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Промежуточный консолидированный отчет о финансовом положении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jc w:val="center"/>
          <w:trHeight w:val="843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Промежуточный консолидированный отчет о прибылях и убытках 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прочем совокупном доходе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15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Промежуточный консолидированный отчет об изменениях капитала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32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18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Промежуточный консолидированный отчет о движении денежных средств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32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1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Отдельные примечания к промежуточной сокращенной консолидированной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финансовой отчетности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32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*На сайте Банка и на странице в сети Интернет раскрыта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Обобщенная консолидированная финансовая отчетность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tbl>
      <w:tblPr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61"/>
        <w:gridCol w:w="3789"/>
      </w:tblGrid>
      <w:tr>
        <w:tblPrEx/>
        <w:trPr>
          <w:jc w:val="center"/>
          <w:trHeight w:val="564"/>
        </w:trPr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Наименование формы отчетности, иного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7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Ссылка на страницу в сети «Интернет»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7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80"/>
        </w:trPr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  <w:lang w:eastAsia="ru-RU"/>
              </w:rPr>
              <w:t xml:space="preserve">Промежуточная раскрываемая консолидированная финансовая информация Акционерного общества «Российский Сельскохозяйственный банк» и его дочерних организаций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3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4" w:tooltip="https://www.e-disclosure.ru/portal/files.aspx?id=3207&amp;type=4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https://www.e-disclosure.ru/portal/files.aspx?id=3207&amp;type=4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  <w:t xml:space="preserve">https://www.rshb.ru/investors/msfo/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Заключение по результатам обзорной проверки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промежуточной раскрываемой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консолидированной финансовой информации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</w:tc>
        <w:tc>
          <w:tcPr>
            <w:tcW w:w="37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Промежуточный раскрываемый консолидированный отчет о финансовом положении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</w:tc>
        <w:tc>
          <w:tcPr>
            <w:tcW w:w="37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84"/>
        </w:trPr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Промежуточный раскрываемый консолидированный отчет о прибылях и убытках и прочем совокупном доходе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</w:tc>
        <w:tc>
          <w:tcPr>
            <w:tcW w:w="378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271"/>
        </w:trPr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Отдельные примечания к промежуточной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раскрываемой консолидированной финансовой отчетности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</w:tc>
        <w:tc>
          <w:tcPr>
            <w:tcW w:w="378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 Бухгалтерская (финансовая) отчетность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*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tbl>
      <w:tblPr>
        <w:tblW w:w="99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846"/>
        <w:gridCol w:w="5901"/>
        <w:gridCol w:w="3243"/>
      </w:tblGrid>
      <w:tr>
        <w:tblPrEx/>
        <w:trPr>
          <w:jc w:val="center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Наименование формы отчетности, иного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Номер приложения к отчету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537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Бухгалтерский баланс (публикуемая форма) за 1-ое полугодие 202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соответствии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абзацем 12 пункта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Постановления Правительства Российской Федерации от 04.07.2023 № 1102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едерального закона «О рынке ценных бумаг» и Решением Совета директоров Банка России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24.12.2024 «О требованиях к раскрытию кредитными организациями (головными кредитными организациями банковских групп) отчетности и информации в 2025 году»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риложение 2 к Отчету эмитента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 раскрывается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Отчет о финансовых результатах (публикуемая форма) за 1-ое полугодие 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Отчет об уровне достаточности капитала для покрытия рисков (публикуемая форма) на 01.07.2025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Отчет об изменениях в капитале кредитной организации (публикуемая форма) на 01.07.2025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22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Сведения об обязательных нормативах.   показателе финансового рычага и нормативе краткосрочной ликвидности (публикуемая форма) на 01.07.2025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4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1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Отчет о движении денежных средств (публикуемая форма) на 01.07.2025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4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9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Пояснительная информация к промежуточной бухгалтерской (финансовой) отчетности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АО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за первое полугодие 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4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*На сайте Банка и на странице в сети Интернет раскрыта Бухгалтерская (финансовая) отчетность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 изъятиями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tbl>
      <w:tblPr>
        <w:tblW w:w="97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5156"/>
        <w:gridCol w:w="4111"/>
      </w:tblGrid>
      <w:tr>
        <w:tblPrEx/>
        <w:trPr>
          <w:jc w:val="center"/>
        </w:trPr>
        <w:tc>
          <w:tcPr>
            <w:tcW w:w="5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Наименование формы отчетности, иного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Ссылка на страницу в сети «Интернет»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5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tcW w:w="5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Бухгалтерский баланс (публикуемая форма) за 1-ое полугодие 2025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</w:tc>
        <w:tc>
          <w:tcPr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  <w:t xml:space="preserve">https://www.e-disclosure.ru/portal/files.aspx?id=3207&amp;type=3,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1067"/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Style w:val="1067"/>
                <w:rFonts w:ascii="Times New Roman" w:hAnsi="Times New Roman"/>
                <w:sz w:val="24"/>
                <w:szCs w:val="24"/>
                <w:highlight w:val="white"/>
              </w:rPr>
              <w:t xml:space="preserve">https://www.rshb.ru/about/reports-conclusion/rsbu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5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Отчет о финансовых результатах (публикуемая форма) за 1-ое полугодие 2025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</w:tc>
        <w:tc>
          <w:tcPr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67"/>
        </w:trPr>
        <w:tc>
          <w:tcPr>
            <w:tcW w:w="5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Отчет об уровне достаточности капитала для покрытия рисков (публикуемая форма) на 01 июля 2025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</w:tc>
        <w:tc>
          <w:tcPr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5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Отчет об изменениях в капитале кредитной организации (публикуемая форма) на 01 июля 2025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</w:tc>
        <w:tc>
          <w:tcPr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5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Сведения об обязательных нормативах.   показателе финансового рычага и нормативе краткосрочной ликвидности (публикуемая форма) на 01 июля 2025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</w:tc>
        <w:tc>
          <w:tcPr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846"/>
        </w:trPr>
        <w:tc>
          <w:tcPr>
            <w:tcW w:w="5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1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Принципы составления публикуемой отчетности Акционерного общества «Российский Сельскохозяйственный банк» за 1-ое полугодие 2025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r>
          </w:p>
        </w:tc>
        <w:tc>
          <w:tcPr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sectPr>
      <w:footerReference w:type="default" r:id="rId9"/>
      <w:footnotePr/>
      <w:endnotePr/>
      <w:type w:val="nextPage"/>
      <w:pgSz w:w="11905" w:h="16838" w:orient="portrait"/>
      <w:pgMar w:top="709" w:right="709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,Bold">
    <w:panose1 w:val="020F0502020204030204"/>
  </w:font>
  <w:font w:name="Matura MT Script Capitals">
    <w:panose1 w:val="03020802060602070202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Garamond">
    <w:panose1 w:val="02020404030301010803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52030446"/>
      <w:docPartObj>
        <w:docPartGallery w:val="Page Numbers (Bottom of Page)"/>
        <w:docPartUnique w:val="true"/>
      </w:docPartObj>
      <w:rPr/>
    </w:sdtPr>
    <w:sdtContent>
      <w:p>
        <w:pPr>
          <w:pStyle w:val="105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28</w:t>
        </w:r>
        <w:r>
          <w:fldChar w:fldCharType="end"/>
        </w:r>
        <w:r/>
      </w:p>
    </w:sdtContent>
  </w:sdt>
  <w:p>
    <w:pPr>
      <w:pStyle w:val="1059"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20"/>
        <w:rPr>
          <w:rFonts w:ascii="Times New Roman" w:hAnsi="Times New Roman" w:cs="Times New Roman"/>
          <w:sz w:val="18"/>
          <w:szCs w:val="18"/>
        </w:rPr>
      </w:pPr>
      <w:r>
        <w:rPr>
          <w:rStyle w:val="1122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Протокол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Наблюдательного совета Банка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.0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.2023 №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3">
    <w:p>
      <w:pPr>
        <w:pStyle w:val="1120"/>
      </w:pPr>
      <w:r>
        <w:rPr>
          <w:rStyle w:val="1122"/>
        </w:rPr>
        <w:footnoteRef/>
      </w:r>
      <w:r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11.04.2022 полное наименование</w:t>
      </w:r>
      <w:r>
        <w:rPr>
          <w:rFonts w:ascii="Times New Roman" w:hAnsi="Times New Roman" w:cs="Times New Roman"/>
        </w:rPr>
        <w:t xml:space="preserve"> аудитора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Общество с ограниченной о</w:t>
      </w:r>
      <w:r>
        <w:rPr>
          <w:rFonts w:ascii="Times New Roman" w:hAnsi="Times New Roman" w:cs="Times New Roman"/>
        </w:rPr>
        <w:t xml:space="preserve">тветственностью «Эрнст энд Янг»</w:t>
      </w:r>
      <w:r>
        <w:rPr>
          <w:rFonts w:ascii="Times New Roman" w:hAnsi="Times New Roman" w:cs="Times New Roman"/>
        </w:rPr>
        <w:t xml:space="preserve">, сокращенное наименование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ООО «Эрнст энд Янг»</w:t>
      </w:r>
      <w:r>
        <w:rPr>
          <w:rFonts w:ascii="Times New Roman" w:hAnsi="Times New Roman" w:cs="Times New Roman"/>
        </w:rPr>
        <w:t xml:space="preserve">.</w:t>
      </w:r>
      <w:r/>
    </w:p>
  </w:footnote>
  <w:footnote w:id="4">
    <w:p>
      <w:pPr>
        <w:pStyle w:val="1120"/>
        <w:jc w:val="both"/>
        <w:rPr>
          <w:rFonts w:ascii="Times New Roman" w:hAnsi="Times New Roman" w:cs="Times New Roman"/>
        </w:rPr>
      </w:pPr>
      <w:r>
        <w:rPr>
          <w:rStyle w:val="1122"/>
        </w:rPr>
        <w:footnoteRef/>
      </w:r>
      <w:r>
        <w:t xml:space="preserve"> В</w:t>
      </w:r>
      <w:r>
        <w:rPr>
          <w:rFonts w:ascii="Times New Roman" w:hAnsi="Times New Roman" w:cs="Times New Roman"/>
        </w:rPr>
        <w:t xml:space="preserve">о исполнение требований Приказа Федерального агентства по управлению государственным имуществом (далее – </w:t>
      </w:r>
      <w:r>
        <w:rPr>
          <w:rFonts w:ascii="Times New Roman" w:hAnsi="Times New Roman" w:cs="Times New Roman"/>
        </w:rPr>
        <w:t xml:space="preserve">Росимущество</w:t>
      </w:r>
      <w:r>
        <w:rPr>
          <w:rFonts w:ascii="Times New Roman" w:hAnsi="Times New Roman" w:cs="Times New Roman"/>
        </w:rPr>
        <w:t xml:space="preserve">) от 22.02.2011 № 48 «Об организации работы структурных подразделений Федерального агентства по управлению государственным имуществом и его территориальных органов по обе</w:t>
      </w:r>
      <w:r>
        <w:rPr>
          <w:rFonts w:ascii="Times New Roman" w:hAnsi="Times New Roman" w:cs="Times New Roman"/>
        </w:rPr>
        <w:t xml:space="preserve">спечению проведения обязательного ежегодного аудита бухгалтерской (финансовой) отчетности федеральных государственных унитарных предприятий и акционерных обществ, в уставных капиталах которых доля федеральной собственности составляет не менее 25 процентов»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b w:val="0"/>
        <w:i w:val="0"/>
        <w:caps w:val="0"/>
        <w: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54" w:hanging="360"/>
        <w:tabs>
          <w:tab w:val="num" w:pos="1554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5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1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7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567"/>
        <w:tabs>
          <w:tab w:val="num" w:pos="567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–"/>
      <w:lvlJc w:val="left"/>
      <w:pPr>
        <w:ind w:left="851" w:hanging="284"/>
        <w:tabs>
          <w:tab w:val="num" w:pos="927" w:leader="none"/>
        </w:tabs>
      </w:pPr>
      <w:rPr>
        <w:rFonts w:hint="default" w:ascii="Times New Roman" w:hAnsi="Times New Roman"/>
        <w:b w:val="0"/>
        <w:i w:val="0"/>
        <w:caps w:val="0"/>
        <w:strike w:val="0"/>
        <w:vanish w:val="0"/>
        <w:color w:val="auto"/>
        <w:sz w:val="20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 w:ascii="Arial" w:hAnsi="Arial" w:cs="Arial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 w:ascii="Arial" w:hAnsi="Arial" w:cs="Arial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  <w:tabs>
          <w:tab w:val="num" w:pos="720" w:leader="none"/>
        </w:tabs>
      </w:pPr>
      <w:rPr>
        <w:rFonts w:hint="default" w:ascii="Arial" w:hAnsi="Arial" w:cs="Arial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 w:ascii="Arial" w:hAnsi="Arial" w:cs="Arial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  <w:tabs>
          <w:tab w:val="num" w:pos="1080" w:leader="none"/>
        </w:tabs>
      </w:pPr>
      <w:rPr>
        <w:rFonts w:hint="default" w:ascii="Arial" w:hAnsi="Arial" w:cs="Arial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 w:ascii="Arial" w:hAnsi="Arial" w:cs="Arial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 w:ascii="Arial" w:hAnsi="Arial" w:cs="Arial"/>
        <w:color w:val="00000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ascii="Times New Roman" w:hAnsi="Times New Roman" w:cs="Times New Roman"/>
        <w:i w:val="0"/>
        <w:sz w:val="24"/>
        <w:szCs w:val="24"/>
      </w:rPr>
    </w:lvl>
    <w:lvl w:ilvl="2">
      <w:start w:val="1"/>
      <w:numFmt w:val="bullet"/>
      <w:isLgl w:val="false"/>
      <w:suff w:val="tab"/>
      <w:lvlText w:val=""/>
      <w:lvlJc w:val="left"/>
      <w:pPr>
        <w:ind w:left="1072" w:hanging="504"/>
      </w:pPr>
      <w:rPr>
        <w:rFonts w:hint="default" w:ascii="Symbol" w:hAnsi="Symbol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42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146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•"/>
      <w:lvlJc w:val="left"/>
      <w:pPr>
        <w:ind w:left="2490" w:hanging="1410"/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-2671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-19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-12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-511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2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9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64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236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hint="default" w:ascii="Symbol" w:hAnsi="Symbol"/>
        <w:b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18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Matura MT Script Capitals" w:hAnsi="Matura MT Script Capital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2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8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4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92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Matura MT Script Capitals" w:hAnsi="Matura MT Script Capital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hint="default" w:ascii="Symbol" w:hAnsi="Symbol"/>
        <w:b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18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Matura MT Script Capitals" w:hAnsi="Matura MT Script Capital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ascii="Times New Roman" w:hAnsi="Times New Roman" w:cs="Times New Roman"/>
        <w:i w:val="0"/>
        <w:sz w:val="24"/>
        <w:szCs w:val="24"/>
      </w:rPr>
    </w:lvl>
    <w:lvl w:ilvl="2">
      <w:start w:val="1"/>
      <w:numFmt w:val="bullet"/>
      <w:isLgl w:val="false"/>
      <w:suff w:val="tab"/>
      <w:lvlText w:val=""/>
      <w:lvlJc w:val="left"/>
      <w:pPr>
        <w:ind w:left="1072" w:hanging="504"/>
      </w:pPr>
      <w:rPr>
        <w:rFonts w:hint="default" w:ascii="Symbol" w:hAnsi="Symbol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42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54" w:hanging="360"/>
        <w:tabs>
          <w:tab w:val="num" w:pos="1554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ascii="Times New Roman" w:hAnsi="Times New Roman" w:cs="Times New Roman"/>
        <w:i w:val="0"/>
        <w:sz w:val="24"/>
        <w:szCs w:val="24"/>
      </w:rPr>
    </w:lvl>
    <w:lvl w:ilvl="2">
      <w:start w:val="1"/>
      <w:numFmt w:val="bullet"/>
      <w:isLgl w:val="false"/>
      <w:suff w:val="tab"/>
      <w:lvlText w:val=""/>
      <w:lvlJc w:val="left"/>
      <w:pPr>
        <w:ind w:left="1072" w:hanging="504"/>
      </w:pPr>
      <w:rPr>
        <w:rFonts w:hint="default" w:ascii="Symbol" w:hAnsi="Symbol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42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8"/>
  </w:num>
  <w:num w:numId="3">
    <w:abstractNumId w:val="12"/>
  </w:num>
  <w:num w:numId="4">
    <w:abstractNumId w:val="16"/>
  </w:num>
  <w:num w:numId="5">
    <w:abstractNumId w:val="15"/>
  </w:num>
  <w:num w:numId="6">
    <w:abstractNumId w:val="0"/>
  </w:num>
  <w:num w:numId="7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8"/>
  </w:num>
  <w:num w:numId="10">
    <w:abstractNumId w:val="19"/>
  </w:num>
  <w:num w:numId="11">
    <w:abstractNumId w:val="6"/>
  </w:num>
  <w:num w:numId="12">
    <w:abstractNumId w:val="3"/>
  </w:num>
  <w:num w:numId="13">
    <w:abstractNumId w:val="21"/>
  </w:num>
  <w:num w:numId="14">
    <w:abstractNumId w:val="34"/>
  </w:num>
  <w:num w:numId="15">
    <w:abstractNumId w:val="24"/>
  </w:num>
  <w:num w:numId="16">
    <w:abstractNumId w:val="39"/>
  </w:num>
  <w:num w:numId="17">
    <w:abstractNumId w:val="7"/>
  </w:num>
  <w:num w:numId="18">
    <w:abstractNumId w:val="2"/>
  </w:num>
  <w:num w:numId="19">
    <w:abstractNumId w:val="5"/>
  </w:num>
  <w:num w:numId="20">
    <w:abstractNumId w:val="29"/>
  </w:num>
  <w:num w:numId="21">
    <w:abstractNumId w:val="32"/>
  </w:num>
  <w:num w:numId="22">
    <w:abstractNumId w:val="27"/>
  </w:num>
  <w:num w:numId="23">
    <w:abstractNumId w:val="30"/>
  </w:num>
  <w:num w:numId="24">
    <w:abstractNumId w:val="18"/>
  </w:num>
  <w:num w:numId="25">
    <w:abstractNumId w:val="14"/>
  </w:num>
  <w:num w:numId="26">
    <w:abstractNumId w:val="10"/>
  </w:num>
  <w:num w:numId="27">
    <w:abstractNumId w:val="22"/>
  </w:num>
  <w:num w:numId="28">
    <w:abstractNumId w:val="31"/>
  </w:num>
  <w:num w:numId="29">
    <w:abstractNumId w:val="26"/>
  </w:num>
  <w:num w:numId="30">
    <w:abstractNumId w:val="37"/>
  </w:num>
  <w:num w:numId="31">
    <w:abstractNumId w:val="36"/>
  </w:num>
  <w:num w:numId="32">
    <w:abstractNumId w:val="35"/>
  </w:num>
  <w:num w:numId="33">
    <w:abstractNumId w:val="9"/>
  </w:num>
  <w:num w:numId="34">
    <w:abstractNumId w:val="23"/>
  </w:num>
  <w:num w:numId="35">
    <w:abstractNumId w:val="20"/>
  </w:num>
  <w:num w:numId="36">
    <w:abstractNumId w:val="39"/>
  </w:num>
  <w:num w:numId="37">
    <w:abstractNumId w:val="1"/>
  </w:num>
  <w:num w:numId="38">
    <w:abstractNumId w:val="13"/>
  </w:num>
  <w:num w:numId="39">
    <w:abstractNumId w:val="28"/>
  </w:num>
  <w:num w:numId="40">
    <w:abstractNumId w:val="11"/>
  </w:num>
  <w:num w:numId="41">
    <w:abstractNumId w:val="33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  <w:num w:numId="70">
    <w:abstractNumId w:val="68"/>
  </w:num>
  <w:num w:numId="71">
    <w:abstractNumId w:val="69"/>
  </w:num>
  <w:num w:numId="72">
    <w:abstractNumId w:val="70"/>
  </w:num>
  <w:num w:numId="73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2">
    <w:name w:val="Heading 1 Char"/>
    <w:basedOn w:val="1054"/>
    <w:link w:val="1052"/>
    <w:uiPriority w:val="9"/>
    <w:rPr>
      <w:rFonts w:ascii="Arial" w:hAnsi="Arial" w:eastAsia="Arial" w:cs="Arial"/>
      <w:sz w:val="40"/>
      <w:szCs w:val="40"/>
    </w:rPr>
  </w:style>
  <w:style w:type="paragraph" w:styleId="883">
    <w:name w:val="Heading 2"/>
    <w:basedOn w:val="1051"/>
    <w:next w:val="1051"/>
    <w:link w:val="8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84">
    <w:name w:val="Heading 2 Char"/>
    <w:basedOn w:val="1054"/>
    <w:link w:val="883"/>
    <w:uiPriority w:val="9"/>
    <w:rPr>
      <w:rFonts w:ascii="Arial" w:hAnsi="Arial" w:eastAsia="Arial" w:cs="Arial"/>
      <w:sz w:val="34"/>
    </w:rPr>
  </w:style>
  <w:style w:type="paragraph" w:styleId="885">
    <w:name w:val="Heading 3"/>
    <w:basedOn w:val="1051"/>
    <w:next w:val="1051"/>
    <w:link w:val="8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86">
    <w:name w:val="Heading 3 Char"/>
    <w:basedOn w:val="1054"/>
    <w:link w:val="885"/>
    <w:uiPriority w:val="9"/>
    <w:rPr>
      <w:rFonts w:ascii="Arial" w:hAnsi="Arial" w:eastAsia="Arial" w:cs="Arial"/>
      <w:sz w:val="30"/>
      <w:szCs w:val="30"/>
    </w:rPr>
  </w:style>
  <w:style w:type="paragraph" w:styleId="887">
    <w:name w:val="Heading 4"/>
    <w:basedOn w:val="1051"/>
    <w:next w:val="1051"/>
    <w:link w:val="8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8">
    <w:name w:val="Heading 4 Char"/>
    <w:basedOn w:val="1054"/>
    <w:link w:val="887"/>
    <w:uiPriority w:val="9"/>
    <w:rPr>
      <w:rFonts w:ascii="Arial" w:hAnsi="Arial" w:eastAsia="Arial" w:cs="Arial"/>
      <w:b/>
      <w:bCs/>
      <w:sz w:val="26"/>
      <w:szCs w:val="26"/>
    </w:rPr>
  </w:style>
  <w:style w:type="character" w:styleId="889">
    <w:name w:val="Heading 5 Char"/>
    <w:basedOn w:val="1054"/>
    <w:link w:val="1053"/>
    <w:uiPriority w:val="9"/>
    <w:rPr>
      <w:rFonts w:ascii="Arial" w:hAnsi="Arial" w:eastAsia="Arial" w:cs="Arial"/>
      <w:b/>
      <w:bCs/>
      <w:sz w:val="24"/>
      <w:szCs w:val="24"/>
    </w:rPr>
  </w:style>
  <w:style w:type="paragraph" w:styleId="890">
    <w:name w:val="Heading 6"/>
    <w:basedOn w:val="1051"/>
    <w:next w:val="1051"/>
    <w:link w:val="8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1">
    <w:name w:val="Heading 6 Char"/>
    <w:basedOn w:val="1054"/>
    <w:link w:val="890"/>
    <w:uiPriority w:val="9"/>
    <w:rPr>
      <w:rFonts w:ascii="Arial" w:hAnsi="Arial" w:eastAsia="Arial" w:cs="Arial"/>
      <w:b/>
      <w:bCs/>
      <w:sz w:val="22"/>
      <w:szCs w:val="22"/>
    </w:rPr>
  </w:style>
  <w:style w:type="paragraph" w:styleId="892">
    <w:name w:val="Heading 7"/>
    <w:basedOn w:val="1051"/>
    <w:next w:val="1051"/>
    <w:link w:val="8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3">
    <w:name w:val="Heading 7 Char"/>
    <w:basedOn w:val="1054"/>
    <w:link w:val="8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4">
    <w:name w:val="Heading 8"/>
    <w:basedOn w:val="1051"/>
    <w:next w:val="1051"/>
    <w:link w:val="8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5">
    <w:name w:val="Heading 8 Char"/>
    <w:basedOn w:val="1054"/>
    <w:link w:val="894"/>
    <w:uiPriority w:val="9"/>
    <w:rPr>
      <w:rFonts w:ascii="Arial" w:hAnsi="Arial" w:eastAsia="Arial" w:cs="Arial"/>
      <w:i/>
      <w:iCs/>
      <w:sz w:val="22"/>
      <w:szCs w:val="22"/>
    </w:rPr>
  </w:style>
  <w:style w:type="paragraph" w:styleId="896">
    <w:name w:val="Heading 9"/>
    <w:basedOn w:val="1051"/>
    <w:next w:val="1051"/>
    <w:link w:val="8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7">
    <w:name w:val="Heading 9 Char"/>
    <w:basedOn w:val="1054"/>
    <w:link w:val="896"/>
    <w:uiPriority w:val="9"/>
    <w:rPr>
      <w:rFonts w:ascii="Arial" w:hAnsi="Arial" w:eastAsia="Arial" w:cs="Arial"/>
      <w:i/>
      <w:iCs/>
      <w:sz w:val="21"/>
      <w:szCs w:val="21"/>
    </w:rPr>
  </w:style>
  <w:style w:type="paragraph" w:styleId="898">
    <w:name w:val="No Spacing"/>
    <w:uiPriority w:val="1"/>
    <w:qFormat/>
    <w:pPr>
      <w:spacing w:before="0" w:after="0" w:line="240" w:lineRule="auto"/>
    </w:pPr>
  </w:style>
  <w:style w:type="paragraph" w:styleId="899">
    <w:name w:val="Title"/>
    <w:basedOn w:val="1051"/>
    <w:next w:val="1051"/>
    <w:link w:val="9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00">
    <w:name w:val="Title Char"/>
    <w:basedOn w:val="1054"/>
    <w:link w:val="899"/>
    <w:uiPriority w:val="10"/>
    <w:rPr>
      <w:sz w:val="48"/>
      <w:szCs w:val="48"/>
    </w:rPr>
  </w:style>
  <w:style w:type="paragraph" w:styleId="901">
    <w:name w:val="Subtitle"/>
    <w:basedOn w:val="1051"/>
    <w:next w:val="1051"/>
    <w:link w:val="902"/>
    <w:uiPriority w:val="11"/>
    <w:qFormat/>
    <w:pPr>
      <w:spacing w:before="200" w:after="200"/>
    </w:pPr>
    <w:rPr>
      <w:sz w:val="24"/>
      <w:szCs w:val="24"/>
    </w:rPr>
  </w:style>
  <w:style w:type="character" w:styleId="902">
    <w:name w:val="Subtitle Char"/>
    <w:basedOn w:val="1054"/>
    <w:link w:val="901"/>
    <w:uiPriority w:val="11"/>
    <w:rPr>
      <w:sz w:val="24"/>
      <w:szCs w:val="24"/>
    </w:rPr>
  </w:style>
  <w:style w:type="paragraph" w:styleId="903">
    <w:name w:val="Quote"/>
    <w:basedOn w:val="1051"/>
    <w:next w:val="1051"/>
    <w:link w:val="904"/>
    <w:uiPriority w:val="29"/>
    <w:qFormat/>
    <w:pPr>
      <w:ind w:left="720" w:right="720"/>
    </w:pPr>
    <w:rPr>
      <w:i/>
    </w:rPr>
  </w:style>
  <w:style w:type="character" w:styleId="904">
    <w:name w:val="Quote Char"/>
    <w:link w:val="903"/>
    <w:uiPriority w:val="29"/>
    <w:rPr>
      <w:i/>
    </w:rPr>
  </w:style>
  <w:style w:type="paragraph" w:styleId="905">
    <w:name w:val="Intense Quote"/>
    <w:basedOn w:val="1051"/>
    <w:next w:val="1051"/>
    <w:link w:val="9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6">
    <w:name w:val="Intense Quote Char"/>
    <w:link w:val="905"/>
    <w:uiPriority w:val="30"/>
    <w:rPr>
      <w:i/>
    </w:rPr>
  </w:style>
  <w:style w:type="character" w:styleId="907">
    <w:name w:val="Header Char"/>
    <w:basedOn w:val="1054"/>
    <w:link w:val="1064"/>
    <w:uiPriority w:val="99"/>
  </w:style>
  <w:style w:type="character" w:styleId="908">
    <w:name w:val="Footer Char"/>
    <w:basedOn w:val="1054"/>
    <w:link w:val="1059"/>
    <w:uiPriority w:val="99"/>
  </w:style>
  <w:style w:type="paragraph" w:styleId="909">
    <w:name w:val="Caption"/>
    <w:basedOn w:val="1051"/>
    <w:next w:val="1051"/>
    <w:link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10">
    <w:name w:val="Caption Char"/>
    <w:basedOn w:val="909"/>
    <w:link w:val="1059"/>
    <w:uiPriority w:val="99"/>
  </w:style>
  <w:style w:type="table" w:styleId="911">
    <w:name w:val="Table Grid Light"/>
    <w:basedOn w:val="10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>
    <w:name w:val="Plain Table 1"/>
    <w:basedOn w:val="10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3">
    <w:name w:val="Plain Table 2"/>
    <w:basedOn w:val="10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4">
    <w:name w:val="Plain Table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5">
    <w:name w:val="Plain Table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Plain Table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7">
    <w:name w:val="Grid Table 1 Light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Grid Table 1 Light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Grid Table 1 Light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Grid Table 1 Light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1 Light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1 Light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Grid Table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2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2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2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2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2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3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3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4"/>
    <w:basedOn w:val="10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9">
    <w:name w:val="Grid Table 4 - Accent 1"/>
    <w:basedOn w:val="10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0">
    <w:name w:val="Grid Table 4 - Accent 2"/>
    <w:basedOn w:val="10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1">
    <w:name w:val="Grid Table 4 - Accent 3"/>
    <w:basedOn w:val="10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2">
    <w:name w:val="Grid Table 4 - Accent 4"/>
    <w:basedOn w:val="10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3">
    <w:name w:val="Grid Table 4 - Accent 5"/>
    <w:basedOn w:val="10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4">
    <w:name w:val="Grid Table 4 - Accent 6"/>
    <w:basedOn w:val="10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5">
    <w:name w:val="Grid Table 5 Dark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46">
    <w:name w:val="Grid Table 5 Dark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47">
    <w:name w:val="Grid Table 5 Dark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48">
    <w:name w:val="Grid Table 5 Dark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49">
    <w:name w:val="Grid Table 5 Dark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50">
    <w:name w:val="Grid Table 5 Dark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51">
    <w:name w:val="Grid Table 5 Dark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52">
    <w:name w:val="Grid Table 6 Colorful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3">
    <w:name w:val="Grid Table 6 Colorful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54">
    <w:name w:val="Grid Table 6 Colorful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55">
    <w:name w:val="Grid Table 6 Colorful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56">
    <w:name w:val="Grid Table 6 Colorful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7">
    <w:name w:val="Grid Table 6 Colorful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8">
    <w:name w:val="Grid Table 6 Colorful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9">
    <w:name w:val="Grid Table 7 Colorful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7 Colorful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7 Colorful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7 Colorful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7 Colorful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7 Colorful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1 Light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74">
    <w:name w:val="List Table 2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75">
    <w:name w:val="List Table 2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76">
    <w:name w:val="List Table 2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77">
    <w:name w:val="List Table 2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78">
    <w:name w:val="List Table 2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79">
    <w:name w:val="List Table 2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0">
    <w:name w:val="List Table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3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3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3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3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3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4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4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4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5 Dark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5">
    <w:name w:val="List Table 5 Dark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6">
    <w:name w:val="List Table 5 Dark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7">
    <w:name w:val="List Table 5 Dark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8">
    <w:name w:val="List Table 5 Dark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9">
    <w:name w:val="List Table 5 Dark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0">
    <w:name w:val="List Table 5 Dark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1">
    <w:name w:val="List Table 6 Colorful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2">
    <w:name w:val="List Table 6 Colorful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3">
    <w:name w:val="List Table 6 Colorful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4">
    <w:name w:val="List Table 6 Colorful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05">
    <w:name w:val="List Table 6 Colorful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6">
    <w:name w:val="List Table 6 Colorful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07">
    <w:name w:val="List Table 6 Colorful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08">
    <w:name w:val="List Table 7 Colorful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09">
    <w:name w:val="List Table 7 Colorful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10">
    <w:name w:val="List Table 7 Colorful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11">
    <w:name w:val="List Table 7 Colorful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12">
    <w:name w:val="List Table 7 Colorful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13">
    <w:name w:val="List Table 7 Colorful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14">
    <w:name w:val="List Table 7 Colorful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15">
    <w:name w:val="Lined - Accent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6">
    <w:name w:val="Lined - Accent 1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17">
    <w:name w:val="Lined - Accent 2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8">
    <w:name w:val="Lined - Accent 3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9">
    <w:name w:val="Lined - Accent 4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20">
    <w:name w:val="Lined - Accent 5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21">
    <w:name w:val="Lined - Accent 6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2">
    <w:name w:val="Bordered &amp; Lined - Accent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3">
    <w:name w:val="Bordered &amp; Lined - Accent 1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24">
    <w:name w:val="Bordered &amp; Lined - Accent 2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25">
    <w:name w:val="Bordered &amp; Lined - Accent 3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26">
    <w:name w:val="Bordered &amp; Lined - Accent 4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27">
    <w:name w:val="Bordered &amp; Lined - Accent 5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28">
    <w:name w:val="Bordered &amp; Lined - Accent 6"/>
    <w:basedOn w:val="10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9">
    <w:name w:val="Bordered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0">
    <w:name w:val="Bordered - Accent 1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1">
    <w:name w:val="Bordered - Accent 2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2">
    <w:name w:val="Bordered - Accent 3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3">
    <w:name w:val="Bordered - Accent 4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34">
    <w:name w:val="Bordered - Accent 5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35">
    <w:name w:val="Bordered - Accent 6"/>
    <w:basedOn w:val="10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36">
    <w:name w:val="Footnote Text Char"/>
    <w:link w:val="1120"/>
    <w:uiPriority w:val="99"/>
    <w:rPr>
      <w:sz w:val="18"/>
    </w:rPr>
  </w:style>
  <w:style w:type="paragraph" w:styleId="1037">
    <w:name w:val="endnote text"/>
    <w:basedOn w:val="1051"/>
    <w:link w:val="1038"/>
    <w:uiPriority w:val="99"/>
    <w:semiHidden/>
    <w:unhideWhenUsed/>
    <w:pPr>
      <w:spacing w:after="0" w:line="240" w:lineRule="auto"/>
    </w:pPr>
    <w:rPr>
      <w:sz w:val="20"/>
    </w:rPr>
  </w:style>
  <w:style w:type="character" w:styleId="1038">
    <w:name w:val="Endnote Text Char"/>
    <w:link w:val="1037"/>
    <w:uiPriority w:val="99"/>
    <w:rPr>
      <w:sz w:val="20"/>
    </w:rPr>
  </w:style>
  <w:style w:type="character" w:styleId="1039">
    <w:name w:val="endnote reference"/>
    <w:basedOn w:val="1054"/>
    <w:uiPriority w:val="99"/>
    <w:semiHidden/>
    <w:unhideWhenUsed/>
    <w:rPr>
      <w:vertAlign w:val="superscript"/>
    </w:rPr>
  </w:style>
  <w:style w:type="paragraph" w:styleId="1040">
    <w:name w:val="toc 1"/>
    <w:basedOn w:val="1051"/>
    <w:next w:val="1051"/>
    <w:uiPriority w:val="39"/>
    <w:unhideWhenUsed/>
    <w:pPr>
      <w:ind w:left="0" w:right="0" w:firstLine="0"/>
      <w:spacing w:after="57"/>
    </w:pPr>
  </w:style>
  <w:style w:type="paragraph" w:styleId="1041">
    <w:name w:val="toc 2"/>
    <w:basedOn w:val="1051"/>
    <w:next w:val="1051"/>
    <w:uiPriority w:val="39"/>
    <w:unhideWhenUsed/>
    <w:pPr>
      <w:ind w:left="283" w:right="0" w:firstLine="0"/>
      <w:spacing w:after="57"/>
    </w:pPr>
  </w:style>
  <w:style w:type="paragraph" w:styleId="1042">
    <w:name w:val="toc 3"/>
    <w:basedOn w:val="1051"/>
    <w:next w:val="1051"/>
    <w:uiPriority w:val="39"/>
    <w:unhideWhenUsed/>
    <w:pPr>
      <w:ind w:left="567" w:right="0" w:firstLine="0"/>
      <w:spacing w:after="57"/>
    </w:pPr>
  </w:style>
  <w:style w:type="paragraph" w:styleId="1043">
    <w:name w:val="toc 4"/>
    <w:basedOn w:val="1051"/>
    <w:next w:val="1051"/>
    <w:uiPriority w:val="39"/>
    <w:unhideWhenUsed/>
    <w:pPr>
      <w:ind w:left="850" w:right="0" w:firstLine="0"/>
      <w:spacing w:after="57"/>
    </w:pPr>
  </w:style>
  <w:style w:type="paragraph" w:styleId="1044">
    <w:name w:val="toc 5"/>
    <w:basedOn w:val="1051"/>
    <w:next w:val="1051"/>
    <w:uiPriority w:val="39"/>
    <w:unhideWhenUsed/>
    <w:pPr>
      <w:ind w:left="1134" w:right="0" w:firstLine="0"/>
      <w:spacing w:after="57"/>
    </w:pPr>
  </w:style>
  <w:style w:type="paragraph" w:styleId="1045">
    <w:name w:val="toc 6"/>
    <w:basedOn w:val="1051"/>
    <w:next w:val="1051"/>
    <w:uiPriority w:val="39"/>
    <w:unhideWhenUsed/>
    <w:pPr>
      <w:ind w:left="1417" w:right="0" w:firstLine="0"/>
      <w:spacing w:after="57"/>
    </w:pPr>
  </w:style>
  <w:style w:type="paragraph" w:styleId="1046">
    <w:name w:val="toc 7"/>
    <w:basedOn w:val="1051"/>
    <w:next w:val="1051"/>
    <w:uiPriority w:val="39"/>
    <w:unhideWhenUsed/>
    <w:pPr>
      <w:ind w:left="1701" w:right="0" w:firstLine="0"/>
      <w:spacing w:after="57"/>
    </w:pPr>
  </w:style>
  <w:style w:type="paragraph" w:styleId="1047">
    <w:name w:val="toc 8"/>
    <w:basedOn w:val="1051"/>
    <w:next w:val="1051"/>
    <w:uiPriority w:val="39"/>
    <w:unhideWhenUsed/>
    <w:pPr>
      <w:ind w:left="1984" w:right="0" w:firstLine="0"/>
      <w:spacing w:after="57"/>
    </w:pPr>
  </w:style>
  <w:style w:type="paragraph" w:styleId="1048">
    <w:name w:val="toc 9"/>
    <w:basedOn w:val="1051"/>
    <w:next w:val="1051"/>
    <w:uiPriority w:val="39"/>
    <w:unhideWhenUsed/>
    <w:pPr>
      <w:ind w:left="2268" w:right="0" w:firstLine="0"/>
      <w:spacing w:after="57"/>
    </w:pPr>
  </w:style>
  <w:style w:type="paragraph" w:styleId="1049">
    <w:name w:val="TOC Heading"/>
    <w:uiPriority w:val="39"/>
    <w:unhideWhenUsed/>
  </w:style>
  <w:style w:type="paragraph" w:styleId="1050">
    <w:name w:val="table of figures"/>
    <w:basedOn w:val="1051"/>
    <w:next w:val="1051"/>
    <w:uiPriority w:val="99"/>
    <w:unhideWhenUsed/>
    <w:pPr>
      <w:spacing w:after="0" w:afterAutospacing="0"/>
    </w:pPr>
  </w:style>
  <w:style w:type="paragraph" w:styleId="1051" w:default="1">
    <w:name w:val="Normal"/>
    <w:qFormat/>
  </w:style>
  <w:style w:type="paragraph" w:styleId="1052">
    <w:name w:val="Heading 1"/>
    <w:basedOn w:val="1051"/>
    <w:next w:val="1051"/>
    <w:link w:val="106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Cs w:val="20"/>
      <w:lang w:eastAsia="ru-RU"/>
    </w:rPr>
  </w:style>
  <w:style w:type="paragraph" w:styleId="1053">
    <w:name w:val="Heading 5"/>
    <w:basedOn w:val="1051"/>
    <w:next w:val="1051"/>
    <w:link w:val="1109"/>
    <w:uiPriority w:val="9"/>
    <w:semiHidden/>
    <w:unhideWhenUsed/>
    <w:qFormat/>
    <w:pPr>
      <w:keepLines/>
      <w:keepNext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1054" w:default="1">
    <w:name w:val="Default Paragraph Font"/>
    <w:uiPriority w:val="1"/>
    <w:semiHidden/>
    <w:unhideWhenUsed/>
  </w:style>
  <w:style w:type="table" w:styleId="10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56" w:default="1">
    <w:name w:val="No List"/>
    <w:uiPriority w:val="99"/>
    <w:semiHidden/>
    <w:unhideWhenUsed/>
  </w:style>
  <w:style w:type="paragraph" w:styleId="1057">
    <w:name w:val="Balloon Text"/>
    <w:basedOn w:val="1051"/>
    <w:link w:val="10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058" w:customStyle="1">
    <w:name w:val="Текст выноски Знак"/>
    <w:basedOn w:val="1054"/>
    <w:link w:val="1057"/>
    <w:uiPriority w:val="99"/>
    <w:semiHidden/>
    <w:rPr>
      <w:rFonts w:ascii="Segoe UI" w:hAnsi="Segoe UI" w:cs="Segoe UI"/>
      <w:sz w:val="18"/>
      <w:szCs w:val="18"/>
    </w:rPr>
  </w:style>
  <w:style w:type="paragraph" w:styleId="1059">
    <w:name w:val="Footer"/>
    <w:basedOn w:val="1051"/>
    <w:link w:val="106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60" w:customStyle="1">
    <w:name w:val="Нижний колонтитул Знак"/>
    <w:basedOn w:val="1054"/>
    <w:uiPriority w:val="99"/>
  </w:style>
  <w:style w:type="character" w:styleId="1061" w:customStyle="1">
    <w:name w:val="Нижний колонтитул Знак1"/>
    <w:basedOn w:val="1054"/>
    <w:link w:val="105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2" w:customStyle="1">
    <w:name w:val="em-абзац"/>
    <w:basedOn w:val="1051"/>
    <w:link w:val="1063"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character" w:styleId="1063" w:customStyle="1">
    <w:name w:val="em-абзац Знак"/>
    <w:basedOn w:val="1054"/>
    <w:link w:val="1062"/>
    <w:rPr>
      <w:rFonts w:ascii="Times New Roman" w:hAnsi="Times New Roman" w:eastAsia="Times New Roman" w:cs="Times New Roman"/>
      <w:lang w:eastAsia="ru-RU"/>
    </w:rPr>
  </w:style>
  <w:style w:type="paragraph" w:styleId="1064">
    <w:name w:val="Header"/>
    <w:basedOn w:val="1051"/>
    <w:link w:val="106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65" w:customStyle="1">
    <w:name w:val="Верхний колонтитул Знак"/>
    <w:basedOn w:val="1054"/>
    <w:link w:val="10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66" w:customStyle="1">
    <w:name w:val="Заголовок 1 Знак"/>
    <w:basedOn w:val="1054"/>
    <w:link w:val="1052"/>
    <w:rPr>
      <w:rFonts w:ascii="Times New Roman" w:hAnsi="Times New Roman" w:eastAsia="Times New Roman" w:cs="Times New Roman"/>
      <w:b/>
      <w:szCs w:val="20"/>
      <w:lang w:eastAsia="ru-RU"/>
    </w:rPr>
  </w:style>
  <w:style w:type="character" w:styleId="1067">
    <w:name w:val="Hyperlink"/>
    <w:basedOn w:val="1054"/>
    <w:uiPriority w:val="99"/>
    <w:rPr>
      <w:rFonts w:cs="Times New Roman"/>
      <w:color w:val="0000ff"/>
      <w:u w:val="single"/>
    </w:rPr>
  </w:style>
  <w:style w:type="paragraph" w:styleId="1068" w:customStyle="1">
    <w:name w:val="em-пункт"/>
    <w:basedOn w:val="1051"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b/>
      <w:lang w:eastAsia="ru-RU"/>
    </w:rPr>
  </w:style>
  <w:style w:type="paragraph" w:styleId="1069" w:customStyle="1">
    <w:name w:val="em-подраздел"/>
    <w:basedOn w:val="1051"/>
    <w:link w:val="1070"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b/>
      <w:lang w:eastAsia="ru-RU"/>
    </w:rPr>
  </w:style>
  <w:style w:type="character" w:styleId="1070" w:customStyle="1">
    <w:name w:val="em-подраздел Знак"/>
    <w:basedOn w:val="1054"/>
    <w:link w:val="1069"/>
    <w:rPr>
      <w:rFonts w:ascii="Times New Roman" w:hAnsi="Times New Roman" w:eastAsia="Times New Roman" w:cs="Times New Roman"/>
      <w:b/>
      <w:lang w:eastAsia="ru-RU"/>
    </w:rPr>
  </w:style>
  <w:style w:type="paragraph" w:styleId="1071">
    <w:name w:val="List Paragraph"/>
    <w:basedOn w:val="1051"/>
    <w:link w:val="1087"/>
    <w:uiPriority w:val="34"/>
    <w:qFormat/>
    <w:pPr>
      <w:contextualSpacing/>
      <w:ind w:left="720"/>
      <w:spacing w:after="200" w:line="276" w:lineRule="auto"/>
    </w:pPr>
    <w:rPr>
      <w:rFonts w:eastAsiaTheme="minorEastAsia"/>
      <w:lang w:val="en-US"/>
    </w:rPr>
  </w:style>
  <w:style w:type="character" w:styleId="1072" w:customStyle="1">
    <w:name w:val="__SUBST"/>
    <w:rPr>
      <w:b/>
      <w:i/>
      <w:sz w:val="22"/>
    </w:rPr>
  </w:style>
  <w:style w:type="paragraph" w:styleId="1073" w:customStyle="1">
    <w:name w:val="prilozhenie"/>
    <w:basedOn w:val="1051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74" w:customStyle="1">
    <w:name w:val="БДО информация"/>
    <w:pPr>
      <w:jc w:val="both"/>
      <w:spacing w:after="0" w:line="220" w:lineRule="exact"/>
    </w:pPr>
    <w:rPr>
      <w:rFonts w:ascii="Garamond" w:hAnsi="Garamond" w:eastAsia="Times New Roman" w:cs="Garamond"/>
      <w:lang w:eastAsia="ru-RU"/>
    </w:rPr>
  </w:style>
  <w:style w:type="paragraph" w:styleId="1075" w:customStyle="1">
    <w:name w:val="Normal Prefix"/>
    <w:link w:val="1076"/>
    <w:pPr>
      <w:spacing w:before="200" w:after="40" w:line="240" w:lineRule="auto"/>
      <w:widowControl w:val="off"/>
    </w:pPr>
    <w:rPr>
      <w:rFonts w:ascii="Times New Roman" w:hAnsi="Times New Roman" w:eastAsia="Times New Roman" w:cs="Times New Roman"/>
      <w:lang w:val="en-AU" w:eastAsia="ru-RU"/>
    </w:rPr>
  </w:style>
  <w:style w:type="character" w:styleId="1076" w:customStyle="1">
    <w:name w:val="Normal Prefix Char1"/>
    <w:link w:val="1075"/>
    <w:rPr>
      <w:rFonts w:ascii="Times New Roman" w:hAnsi="Times New Roman" w:eastAsia="Times New Roman" w:cs="Times New Roman"/>
      <w:lang w:val="en-AU" w:eastAsia="ru-RU"/>
    </w:rPr>
  </w:style>
  <w:style w:type="paragraph" w:styleId="1077" w:customStyle="1">
    <w:name w:val="RSHB - paragrah in Notes"/>
    <w:qFormat/>
    <w:pPr>
      <w:jc w:val="both"/>
      <w:spacing w:after="120" w:line="240" w:lineRule="auto"/>
    </w:pPr>
    <w:rPr>
      <w:rFonts w:ascii="Arial" w:hAnsi="Arial" w:eastAsia="Times New Roman" w:cs="Arial"/>
      <w:sz w:val="20"/>
      <w:szCs w:val="20"/>
      <w:lang w:val="en-GB" w:eastAsia="ru-RU"/>
    </w:rPr>
  </w:style>
  <w:style w:type="paragraph" w:styleId="1078" w:customStyle="1">
    <w:name w:val="ABC - paragrah in Notes"/>
    <w:link w:val="1079"/>
    <w:qFormat/>
    <w:pPr>
      <w:jc w:val="both"/>
      <w:spacing w:after="240" w:line="216" w:lineRule="auto"/>
    </w:pPr>
    <w:rPr>
      <w:rFonts w:ascii="Arial" w:hAnsi="Arial" w:eastAsia="Times New Roman" w:cs="Times New Roman"/>
      <w:sz w:val="20"/>
      <w:szCs w:val="20"/>
      <w:lang w:val="en-GB"/>
    </w:rPr>
  </w:style>
  <w:style w:type="character" w:styleId="1079" w:customStyle="1">
    <w:name w:val="ABC - paragrah in Notes Char1"/>
    <w:link w:val="1078"/>
    <w:rPr>
      <w:rFonts w:ascii="Arial" w:hAnsi="Arial" w:eastAsia="Times New Roman" w:cs="Times New Roman"/>
      <w:sz w:val="20"/>
      <w:szCs w:val="20"/>
      <w:lang w:val="en-GB"/>
    </w:rPr>
  </w:style>
  <w:style w:type="character" w:styleId="1080" w:customStyle="1">
    <w:name w:val="Font Style134"/>
    <w:rPr>
      <w:rFonts w:ascii="Arial" w:hAnsi="Arial" w:cs="Arial"/>
      <w:sz w:val="16"/>
      <w:szCs w:val="16"/>
    </w:rPr>
  </w:style>
  <w:style w:type="paragraph" w:styleId="1081" w:customStyle="1">
    <w:name w:val="Style11"/>
    <w:basedOn w:val="1051"/>
    <w:pPr>
      <w:ind w:left="40" w:right="1457"/>
      <w:jc w:val="both"/>
      <w:spacing w:after="0" w:line="213" w:lineRule="exact"/>
      <w:widowControl w:val="off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1082" w:customStyle="1">
    <w:name w:val="Style67"/>
    <w:basedOn w:val="1051"/>
    <w:pPr>
      <w:ind w:left="40" w:right="1457" w:hanging="552"/>
      <w:jc w:val="both"/>
      <w:spacing w:after="0" w:line="226" w:lineRule="exact"/>
      <w:widowControl w:val="off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1083" w:customStyle="1">
    <w:name w:val="RSHB - Bullets in Notes"/>
    <w:pPr>
      <w:ind w:right="17"/>
      <w:jc w:val="both"/>
      <w:spacing w:after="120" w:line="216" w:lineRule="auto"/>
      <w:tabs>
        <w:tab w:val="left" w:pos="851" w:leader="none"/>
      </w:tabs>
    </w:pPr>
    <w:rPr>
      <w:rFonts w:ascii="Arial" w:hAnsi="Arial" w:eastAsia="Times New Roman" w:cs="Arial"/>
      <w:sz w:val="20"/>
      <w:szCs w:val="18"/>
      <w:lang w:val="en-GB" w:eastAsia="ru-RU"/>
    </w:rPr>
  </w:style>
  <w:style w:type="character" w:styleId="1084" w:customStyle="1">
    <w:name w:val="ABC - paragrah in Notes Char"/>
    <w:rPr>
      <w:lang w:val="en-GB" w:eastAsia="en-US"/>
    </w:rPr>
  </w:style>
  <w:style w:type="paragraph" w:styleId="1085" w:customStyle="1">
    <w:name w:val="RSHB - Continued"/>
    <w:qFormat/>
    <w:pPr>
      <w:ind w:left="567" w:hanging="567"/>
      <w:jc w:val="both"/>
      <w:spacing w:after="240" w:line="240" w:lineRule="auto"/>
    </w:pPr>
    <w:rPr>
      <w:rFonts w:ascii="Arial" w:hAnsi="Arial" w:eastAsia="Times New Roman" w:cs="Arial"/>
      <w:b/>
      <w:bCs/>
      <w:sz w:val="20"/>
      <w:szCs w:val="20"/>
      <w:lang w:val="en-US" w:eastAsia="ru-RU"/>
    </w:rPr>
  </w:style>
  <w:style w:type="paragraph" w:styleId="1086" w:customStyle="1">
    <w:name w:val="Comment Subject1"/>
    <w:basedOn w:val="1089"/>
    <w:next w:val="1089"/>
    <w:semiHidden/>
    <w:pPr>
      <w:ind w:right="17"/>
      <w:spacing w:after="0" w:line="216" w:lineRule="auto"/>
    </w:pPr>
    <w:rPr>
      <w:rFonts w:ascii="Arial" w:hAnsi="Arial" w:eastAsia="Times New Roman" w:cs="Arial"/>
      <w:b/>
      <w:bCs/>
      <w:sz w:val="18"/>
      <w:szCs w:val="18"/>
      <w:lang w:val="en-GB" w:eastAsia="ru-RU"/>
    </w:rPr>
  </w:style>
  <w:style w:type="character" w:styleId="1087" w:customStyle="1">
    <w:name w:val="Абзац списка Знак"/>
    <w:link w:val="1071"/>
    <w:uiPriority w:val="34"/>
    <w:rPr>
      <w:rFonts w:eastAsiaTheme="minorEastAsia"/>
      <w:lang w:val="en-US"/>
    </w:rPr>
  </w:style>
  <w:style w:type="character" w:styleId="1088" w:customStyle="1">
    <w:name w:val="ABC - subhead in Notes"/>
    <w:rPr>
      <w:b/>
      <w:bCs/>
      <w:i/>
      <w:iCs/>
    </w:rPr>
  </w:style>
  <w:style w:type="paragraph" w:styleId="1089">
    <w:name w:val="annotation text"/>
    <w:basedOn w:val="1051"/>
    <w:link w:val="1090"/>
    <w:uiPriority w:val="99"/>
    <w:unhideWhenUsed/>
    <w:pPr>
      <w:spacing w:line="240" w:lineRule="auto"/>
    </w:pPr>
    <w:rPr>
      <w:sz w:val="20"/>
      <w:szCs w:val="20"/>
    </w:rPr>
  </w:style>
  <w:style w:type="character" w:styleId="1090" w:customStyle="1">
    <w:name w:val="Текст примечания Знак"/>
    <w:basedOn w:val="1054"/>
    <w:link w:val="1089"/>
    <w:uiPriority w:val="99"/>
    <w:rPr>
      <w:sz w:val="20"/>
      <w:szCs w:val="20"/>
    </w:rPr>
  </w:style>
  <w:style w:type="paragraph" w:styleId="1091" w:customStyle="1">
    <w:name w:val="Titre ABC2"/>
    <w:basedOn w:val="1099"/>
    <w:uiPriority w:val="54"/>
    <w:pPr>
      <w:ind w:left="198" w:right="17" w:hanging="198"/>
      <w:spacing w:line="220" w:lineRule="auto"/>
    </w:pPr>
    <w:rPr>
      <w:rFonts w:ascii="Arial" w:hAnsi="Arial" w:eastAsia="Times New Roman" w:cs="Arial"/>
      <w:bCs/>
      <w:sz w:val="18"/>
      <w:szCs w:val="18"/>
      <w:lang w:val="en-US" w:eastAsia="ru-RU"/>
    </w:rPr>
  </w:style>
  <w:style w:type="paragraph" w:styleId="1092" w:customStyle="1">
    <w:name w:val="Table text"/>
    <w:basedOn w:val="1051"/>
    <w:pPr>
      <w:ind w:left="85" w:right="17" w:hanging="85"/>
      <w:spacing w:after="0" w:line="216" w:lineRule="auto"/>
    </w:pPr>
    <w:rPr>
      <w:rFonts w:ascii="Arial" w:hAnsi="Arial" w:eastAsia="Times New Roman" w:cs="Arial"/>
      <w:sz w:val="18"/>
      <w:szCs w:val="18"/>
      <w:lang w:val="en-GB" w:eastAsia="ru-RU"/>
    </w:rPr>
  </w:style>
  <w:style w:type="paragraph" w:styleId="1093" w:customStyle="1">
    <w:name w:val="Row header"/>
    <w:basedOn w:val="1051"/>
    <w:pPr>
      <w:ind w:left="85" w:right="17" w:hanging="85"/>
      <w:spacing w:after="0" w:line="216" w:lineRule="auto"/>
    </w:pPr>
    <w:rPr>
      <w:rFonts w:ascii="Arial" w:hAnsi="Arial" w:eastAsia="Times New Roman" w:cs="Arial"/>
      <w:b/>
      <w:sz w:val="18"/>
      <w:szCs w:val="18"/>
      <w:lang w:val="en-GB" w:eastAsia="ru-RU"/>
    </w:rPr>
  </w:style>
  <w:style w:type="paragraph" w:styleId="1094" w:customStyle="1">
    <w:name w:val="Column header"/>
    <w:basedOn w:val="1051"/>
    <w:uiPriority w:val="6"/>
    <w:pPr>
      <w:ind w:right="-56"/>
      <w:spacing w:after="0" w:line="228" w:lineRule="auto"/>
      <w:tabs>
        <w:tab w:val="decimal" w:pos="1503" w:leader="none"/>
      </w:tabs>
    </w:pPr>
    <w:rPr>
      <w:rFonts w:ascii="Arial" w:hAnsi="Arial" w:eastAsia="Times New Roman" w:cs="Arial"/>
      <w:b/>
      <w:sz w:val="18"/>
      <w:szCs w:val="18"/>
      <w:lang w:val="en-GB" w:eastAsia="ru-RU"/>
    </w:rPr>
  </w:style>
  <w:style w:type="paragraph" w:styleId="1095" w:customStyle="1">
    <w:name w:val="Table numbers1"/>
    <w:link w:val="1096"/>
    <w:pPr>
      <w:ind w:right="-56"/>
      <w:spacing w:after="0" w:line="216" w:lineRule="auto"/>
      <w:tabs>
        <w:tab w:val="decimal" w:pos="1503" w:leader="none"/>
      </w:tabs>
    </w:pPr>
    <w:rPr>
      <w:rFonts w:ascii="Arial" w:hAnsi="Arial" w:eastAsia="Times New Roman" w:cs="Times New Roman"/>
      <w:sz w:val="18"/>
      <w:szCs w:val="20"/>
      <w:lang w:val="en-GB"/>
    </w:rPr>
  </w:style>
  <w:style w:type="character" w:styleId="1096" w:customStyle="1">
    <w:name w:val="Table numbers1 Char"/>
    <w:link w:val="1095"/>
    <w:rPr>
      <w:rFonts w:ascii="Arial" w:hAnsi="Arial" w:eastAsia="Times New Roman" w:cs="Times New Roman"/>
      <w:sz w:val="18"/>
      <w:szCs w:val="20"/>
      <w:lang w:val="en-GB"/>
    </w:rPr>
  </w:style>
  <w:style w:type="paragraph" w:styleId="1097" w:customStyle="1">
    <w:name w:val="Char Char"/>
    <w:uiPriority w:val="7"/>
    <w:pPr>
      <w:jc w:val="both"/>
      <w:spacing w:after="240" w:line="216" w:lineRule="auto"/>
    </w:pPr>
    <w:rPr>
      <w:rFonts w:ascii="Arial" w:hAnsi="Arial" w:eastAsia="Times New Roman" w:cs="Arial"/>
      <w:sz w:val="20"/>
      <w:szCs w:val="20"/>
      <w:lang w:val="en-GB" w:eastAsia="ru-RU"/>
    </w:rPr>
  </w:style>
  <w:style w:type="paragraph" w:styleId="1098" w:customStyle="1">
    <w:name w:val="RSHB - Table numbers"/>
    <w:qFormat/>
    <w:pPr>
      <w:ind w:right="-56"/>
      <w:spacing w:after="0" w:line="216" w:lineRule="auto"/>
      <w:tabs>
        <w:tab w:val="decimal" w:pos="1503" w:leader="none"/>
      </w:tabs>
    </w:pPr>
    <w:rPr>
      <w:rFonts w:ascii="Arial" w:hAnsi="Arial" w:eastAsia="Times New Roman" w:cs="Times New Roman"/>
      <w:sz w:val="18"/>
      <w:szCs w:val="20"/>
      <w:lang w:val="en-GB"/>
    </w:rPr>
  </w:style>
  <w:style w:type="paragraph" w:styleId="1099">
    <w:name w:val="index 2"/>
    <w:basedOn w:val="1051"/>
    <w:next w:val="1051"/>
    <w:uiPriority w:val="99"/>
    <w:semiHidden/>
    <w:unhideWhenUsed/>
    <w:pPr>
      <w:ind w:left="440" w:hanging="220"/>
      <w:spacing w:after="0" w:line="240" w:lineRule="auto"/>
    </w:pPr>
  </w:style>
  <w:style w:type="paragraph" w:styleId="1100">
    <w:name w:val="Body Text"/>
    <w:basedOn w:val="1051"/>
    <w:link w:val="1101"/>
    <w:pPr>
      <w:ind w:right="1"/>
      <w:jc w:val="both"/>
      <w:spacing w:after="0" w:line="216" w:lineRule="auto"/>
      <w:widowControl w:val="off"/>
      <w:suppressLineNumbers/>
    </w:pPr>
    <w:rPr>
      <w:rFonts w:ascii="Arial" w:hAnsi="Arial" w:eastAsia="Times New Roman" w:cs="Arial"/>
      <w:sz w:val="18"/>
      <w:szCs w:val="18"/>
      <w:lang w:val="en-GB" w:eastAsia="ru-RU"/>
    </w:rPr>
  </w:style>
  <w:style w:type="character" w:styleId="1101" w:customStyle="1">
    <w:name w:val="Основной текст Знак"/>
    <w:basedOn w:val="1054"/>
    <w:link w:val="1100"/>
    <w:rPr>
      <w:rFonts w:ascii="Arial" w:hAnsi="Arial" w:eastAsia="Times New Roman" w:cs="Arial"/>
      <w:sz w:val="18"/>
      <w:szCs w:val="18"/>
      <w:lang w:val="en-GB" w:eastAsia="ru-RU"/>
    </w:rPr>
  </w:style>
  <w:style w:type="paragraph" w:styleId="1102" w:customStyle="1">
    <w:name w:val="RR thousands"/>
    <w:basedOn w:val="1051"/>
    <w:link w:val="1103"/>
    <w:pPr>
      <w:ind w:left="86" w:right="17" w:hanging="86"/>
      <w:spacing w:after="0" w:line="216" w:lineRule="auto"/>
    </w:pPr>
    <w:rPr>
      <w:rFonts w:ascii="Arial" w:hAnsi="Arial" w:eastAsia="Times New Roman" w:cs="Arial"/>
      <w:i/>
      <w:iCs/>
      <w:sz w:val="16"/>
      <w:szCs w:val="16"/>
      <w:lang w:val="en-GB" w:eastAsia="ru-RU"/>
    </w:rPr>
  </w:style>
  <w:style w:type="character" w:styleId="1103" w:customStyle="1">
    <w:name w:val="RR thousands Char"/>
    <w:link w:val="1102"/>
    <w:rPr>
      <w:rFonts w:ascii="Arial" w:hAnsi="Arial" w:eastAsia="Times New Roman" w:cs="Arial"/>
      <w:i/>
      <w:iCs/>
      <w:sz w:val="16"/>
      <w:szCs w:val="16"/>
      <w:lang w:val="en-GB" w:eastAsia="ru-RU"/>
    </w:rPr>
  </w:style>
  <w:style w:type="paragraph" w:styleId="1104" w:customStyle="1">
    <w:name w:val="Style15"/>
    <w:basedOn w:val="1051"/>
    <w:uiPriority w:val="54"/>
    <w:pPr>
      <w:ind w:right="17"/>
      <w:spacing w:after="0" w:line="216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1105" w:customStyle="1">
    <w:name w:val="Style17"/>
    <w:basedOn w:val="1051"/>
    <w:uiPriority w:val="54"/>
    <w:pPr>
      <w:ind w:right="17"/>
      <w:spacing w:after="0" w:line="197" w:lineRule="exact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1106" w:customStyle="1">
    <w:name w:val="Style24"/>
    <w:basedOn w:val="1051"/>
    <w:uiPriority w:val="54"/>
    <w:pPr>
      <w:ind w:right="17"/>
      <w:jc w:val="right"/>
      <w:spacing w:after="0" w:line="216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1107" w:customStyle="1">
    <w:name w:val="Style41"/>
    <w:basedOn w:val="1051"/>
    <w:uiPriority w:val="54"/>
    <w:pPr>
      <w:ind w:right="17" w:hanging="120"/>
      <w:spacing w:after="0" w:line="216" w:lineRule="exact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1108" w:customStyle="1">
    <w:name w:val="RSHB - Column header"/>
    <w:basedOn w:val="1051"/>
    <w:qFormat/>
    <w:pPr>
      <w:jc w:val="right"/>
      <w:spacing w:after="0" w:line="228" w:lineRule="auto"/>
      <w:tabs>
        <w:tab w:val="decimal" w:pos="1503" w:leader="none"/>
      </w:tabs>
    </w:pPr>
    <w:rPr>
      <w:rFonts w:ascii="Arial" w:hAnsi="Arial" w:eastAsia="Times New Roman" w:cs="Times New Roman"/>
      <w:b/>
      <w:sz w:val="18"/>
      <w:szCs w:val="20"/>
      <w:lang w:val="en-GB"/>
    </w:rPr>
  </w:style>
  <w:style w:type="character" w:styleId="1109" w:customStyle="1">
    <w:name w:val="Заголовок 5 Знак"/>
    <w:basedOn w:val="1054"/>
    <w:link w:val="1053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paragraph" w:styleId="1110" w:customStyle="1">
    <w:name w:val="ConsPlusNormal"/>
    <w:pPr>
      <w:spacing w:after="0" w:line="240" w:lineRule="auto"/>
    </w:pPr>
    <w:rPr>
      <w:rFonts w:ascii="Times New Roman" w:hAnsi="Times New Roman" w:eastAsia="Calibri" w:cs="Times New Roman"/>
      <w:lang w:eastAsia="ru-RU"/>
    </w:rPr>
  </w:style>
  <w:style w:type="table" w:styleId="1111">
    <w:name w:val="Table Grid"/>
    <w:basedOn w:val="10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2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113">
    <w:name w:val="Body Text Indent"/>
    <w:basedOn w:val="1051"/>
    <w:link w:val="1114"/>
    <w:uiPriority w:val="99"/>
    <w:semiHidden/>
    <w:unhideWhenUsed/>
    <w:pPr>
      <w:ind w:left="283"/>
      <w:spacing w:after="120"/>
    </w:pPr>
  </w:style>
  <w:style w:type="character" w:styleId="1114" w:customStyle="1">
    <w:name w:val="Основной текст с отступом Знак"/>
    <w:basedOn w:val="1054"/>
    <w:link w:val="1113"/>
    <w:uiPriority w:val="99"/>
    <w:semiHidden/>
  </w:style>
  <w:style w:type="character" w:styleId="1115">
    <w:name w:val="annotation reference"/>
    <w:uiPriority w:val="99"/>
    <w:semiHidden/>
    <w:unhideWhenUsed/>
    <w:rPr>
      <w:sz w:val="16"/>
      <w:szCs w:val="16"/>
    </w:rPr>
  </w:style>
  <w:style w:type="paragraph" w:styleId="1116" w:customStyle="1">
    <w:name w:val="Reports Cover 4"/>
    <w:basedOn w:val="1051"/>
    <w:pPr>
      <w:ind w:left="79" w:right="-23"/>
      <w:jc w:val="both"/>
      <w:spacing w:after="0" w:line="400" w:lineRule="exact"/>
      <w:widowControl w:val="off"/>
      <w:tabs>
        <w:tab w:val="left" w:pos="620" w:leader="none"/>
      </w:tabs>
      <w:framePr w:wrap="auto" w:vAnchor="page" w:hAnchor="margin" w:y="2361"/>
    </w:pPr>
    <w:rPr>
      <w:rFonts w:ascii="Times New Roman" w:hAnsi="Times New Roman" w:eastAsia="Times New Roman" w:cs="Times New Roman"/>
      <w:sz w:val="36"/>
      <w:szCs w:val="20"/>
      <w:lang w:val="en-US"/>
    </w:rPr>
  </w:style>
  <w:style w:type="paragraph" w:styleId="1117">
    <w:name w:val="annotation subject"/>
    <w:basedOn w:val="1089"/>
    <w:next w:val="1089"/>
    <w:link w:val="1118"/>
    <w:uiPriority w:val="99"/>
    <w:semiHidden/>
    <w:unhideWhenUsed/>
    <w:rPr>
      <w:b/>
      <w:bCs/>
    </w:rPr>
  </w:style>
  <w:style w:type="character" w:styleId="1118" w:customStyle="1">
    <w:name w:val="Тема примечания Знак"/>
    <w:basedOn w:val="1090"/>
    <w:link w:val="1117"/>
    <w:uiPriority w:val="99"/>
    <w:semiHidden/>
    <w:rPr>
      <w:b/>
      <w:bCs/>
      <w:sz w:val="20"/>
      <w:szCs w:val="20"/>
    </w:rPr>
  </w:style>
  <w:style w:type="paragraph" w:styleId="1119" w:customStyle="1">
    <w:name w:val="Абзац списка2"/>
    <w:basedOn w:val="1051"/>
    <w:qFormat/>
    <w:pPr>
      <w:contextualSpacing/>
      <w:ind w:left="720"/>
      <w:spacing w:after="0" w:line="240" w:lineRule="auto"/>
    </w:pPr>
    <w:rPr>
      <w:rFonts w:ascii="Times New Roman" w:hAnsi="Times New Roman" w:eastAsia="Arial" w:cs="Times New Roman"/>
      <w:sz w:val="24"/>
      <w:szCs w:val="24"/>
      <w:lang w:eastAsia="ru-RU"/>
    </w:rPr>
  </w:style>
  <w:style w:type="paragraph" w:styleId="1120">
    <w:name w:val="footnote text"/>
    <w:basedOn w:val="1051"/>
    <w:link w:val="1121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styleId="1121" w:customStyle="1">
    <w:name w:val="Текст сноски Знак"/>
    <w:basedOn w:val="1054"/>
    <w:link w:val="1120"/>
    <w:uiPriority w:val="99"/>
    <w:rPr>
      <w:sz w:val="20"/>
      <w:szCs w:val="20"/>
    </w:rPr>
  </w:style>
  <w:style w:type="character" w:styleId="1122">
    <w:name w:val="footnote reference"/>
    <w:basedOn w:val="1054"/>
    <w:uiPriority w:val="99"/>
    <w:unhideWhenUsed/>
    <w:qFormat/>
    <w:rPr>
      <w:vertAlign w:val="superscript"/>
    </w:rPr>
  </w:style>
  <w:style w:type="character" w:styleId="1123" w:customStyle="1">
    <w:name w:val="Гипертекстовая ссылка"/>
    <w:basedOn w:val="1054"/>
    <w:uiPriority w:val="99"/>
    <w:rPr>
      <w:color w:val="106bbe"/>
    </w:rPr>
  </w:style>
  <w:style w:type="paragraph" w:styleId="1124" w:customStyle="1">
    <w:name w:val="Нормальный (таблица)"/>
    <w:basedOn w:val="1051"/>
    <w:next w:val="1051"/>
    <w:uiPriority w:val="99"/>
    <w:pPr>
      <w:jc w:val="both"/>
      <w:spacing w:after="0" w:line="240" w:lineRule="auto"/>
    </w:pPr>
    <w:rPr>
      <w:rFonts w:ascii="Arial" w:hAnsi="Arial" w:cs="Arial"/>
      <w:sz w:val="24"/>
      <w:szCs w:val="24"/>
    </w:rPr>
  </w:style>
  <w:style w:type="paragraph" w:styleId="1125" w:customStyle="1">
    <w:name w:val="Прижатый влево"/>
    <w:basedOn w:val="1051"/>
    <w:next w:val="1051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1126" w:customStyle="1">
    <w:name w:val="hps"/>
    <w:basedOn w:val="1054"/>
  </w:style>
  <w:style w:type="paragraph" w:styleId="1127" w:customStyle="1">
    <w:name w:val="ConsNormal"/>
    <w:link w:val="1128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character" w:styleId="1128" w:customStyle="1">
    <w:name w:val="ConsNormal Char"/>
    <w:link w:val="1127"/>
    <w:rPr>
      <w:rFonts w:ascii="Arial" w:hAnsi="Arial" w:eastAsia="Times New Roman" w:cs="Arial"/>
      <w:sz w:val="24"/>
      <w:szCs w:val="24"/>
      <w:lang w:eastAsia="ru-RU"/>
    </w:rPr>
  </w:style>
  <w:style w:type="paragraph" w:styleId="1129">
    <w:name w:val="Normal (Web)"/>
    <w:basedOn w:val="105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30">
    <w:name w:val="Strong"/>
    <w:qFormat/>
    <w:rPr>
      <w:rFonts w:cs="Times New Roman"/>
      <w:b/>
      <w:bCs/>
    </w:rPr>
  </w:style>
  <w:style w:type="paragraph" w:styleId="1131" w:customStyle="1">
    <w:name w:val="ConsNonformat"/>
    <w:pPr>
      <w:spacing w:after="0" w:line="240" w:lineRule="auto"/>
      <w:widowControl w:val="off"/>
    </w:pPr>
    <w:rPr>
      <w:rFonts w:ascii="Courier New" w:hAnsi="Courier New" w:eastAsia="Times New Roman" w:cs="Times New Roman"/>
      <w:sz w:val="16"/>
      <w:szCs w:val="20"/>
      <w:lang w:eastAsia="ru-RU"/>
    </w:rPr>
  </w:style>
  <w:style w:type="table" w:styleId="1132" w:customStyle="1">
    <w:name w:val="Сетка таблицы светлая1"/>
    <w:basedOn w:val="1055"/>
    <w:uiPriority w:val="40"/>
    <w:pPr>
      <w:spacing w:after="0" w:line="240" w:lineRule="auto"/>
    </w:pPr>
    <w:rPr>
      <w:rFonts w:ascii="Calibri" w:hAnsi="Calibri" w:eastAsia="Calibri" w:cs="Times New Roman"/>
      <w:sz w:val="20"/>
      <w:szCs w:val="20"/>
      <w:lang w:val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1133">
    <w:name w:val="Revision"/>
    <w:hidden/>
    <w:uiPriority w:val="99"/>
    <w:semiHidden/>
    <w:pPr>
      <w:spacing w:after="0" w:line="240" w:lineRule="auto"/>
    </w:pPr>
  </w:style>
  <w:style w:type="character" w:styleId="1134">
    <w:name w:val="Emphasis"/>
    <w:basedOn w:val="1054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e-disclosure.ru/portal/company.aspx?id=3207" TargetMode="External"/><Relationship Id="rId12" Type="http://schemas.openxmlformats.org/officeDocument/2006/relationships/hyperlink" Target="http://www.consultant.ru/document/cons_doc_LAW_154017/" TargetMode="External"/><Relationship Id="rId13" Type="http://schemas.openxmlformats.org/officeDocument/2006/relationships/hyperlink" Target="consultantplus://offline/ref=9AEDFF8C039E75E3A7B5597AC488A1B40066042602BCD306C6C282F52CB5F75EFD3A0BF9C666364553D38E8EF3TDC6J" TargetMode="External"/><Relationship Id="rId14" Type="http://schemas.openxmlformats.org/officeDocument/2006/relationships/hyperlink" Target="https://www.e-disclosure.ru/portal/files.aspx?id=3207&amp;type=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BB5C-28C0-4F95-9D66-2255DD7F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Завиткова Юлия Евгеньевна</dc:creator>
  <cp:lastModifiedBy>prohorova-yue</cp:lastModifiedBy>
  <cp:revision>88</cp:revision>
  <dcterms:created xsi:type="dcterms:W3CDTF">2024-04-01T08:12:00Z</dcterms:created>
  <dcterms:modified xsi:type="dcterms:W3CDTF">2025-09-05T08:48:59Z</dcterms:modified>
</cp:coreProperties>
</file>