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Сообщение о существенном факте</w:t>
      </w:r>
      <w:r>
        <w:rPr>
          <w:bCs/>
          <w:color w:val="000000"/>
        </w:rPr>
      </w:r>
    </w:p>
    <w:p>
      <w:pPr>
        <w:jc w:val="center"/>
        <w:rPr>
          <w:bCs/>
        </w:rPr>
        <w:outlineLvl w:val="0"/>
      </w:pPr>
      <w:r>
        <w:rPr>
          <w:bCs/>
          <w:color w:val="000000"/>
        </w:rPr>
        <w:t xml:space="preserve">«О</w:t>
      </w:r>
      <w:r>
        <w:rPr>
          <w:bCs/>
        </w:rPr>
        <w:t xml:space="preserve"> дат</w:t>
      </w:r>
      <w:r>
        <w:rPr>
          <w:bCs/>
        </w:rPr>
        <w:t xml:space="preserve">е</w:t>
      </w:r>
      <w:r>
        <w:rPr>
          <w:bCs/>
        </w:rPr>
        <w:t xml:space="preserve"> начала размещения </w:t>
      </w:r>
      <w:r>
        <w:rPr>
          <w:bCs/>
        </w:rPr>
        <w:t xml:space="preserve">ценных бумаг</w:t>
      </w:r>
      <w:r>
        <w:rPr>
          <w:bCs/>
          <w:color w:val="000000"/>
        </w:rPr>
        <w:t xml:space="preserve">»</w:t>
      </w:r>
      <w:r>
        <w:rPr>
          <w:bCs/>
        </w:rPr>
      </w:r>
    </w:p>
    <w:tbl>
      <w:tblPr>
        <w:tblW w:w="10235" w:type="dxa"/>
        <w:tblInd w:w="-25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6"/>
        <w:gridCol w:w="9322"/>
        <w:gridCol w:w="451"/>
        <w:gridCol w:w="286"/>
      </w:tblGrid>
      <w:tr>
        <w:tblPrEx/>
        <w:trPr>
          <w:cantSplit/>
          <w:gridBefore w:val="1"/>
        </w:trPr>
        <w:tc>
          <w:tcPr>
            <w:gridSpan w:val="3"/>
            <w:tcW w:w="10059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numPr>
                <w:ilvl w:val="0"/>
                <w:numId w:val="8"/>
              </w:numPr>
              <w:jc w:val="center"/>
            </w:pPr>
            <w:r>
              <w:t xml:space="preserve">Общие сведения</w:t>
            </w:r>
            <w:r/>
          </w:p>
          <w:p>
            <w:pPr>
              <w:jc w:val="center"/>
            </w:pPr>
            <w:r/>
            <w:r/>
          </w:p>
        </w:tc>
      </w:tr>
      <w:tr>
        <w:tblPrEx/>
        <w:trPr>
          <w:gridBefore w:val="1"/>
        </w:trPr>
        <w:tc>
          <w:tcPr>
            <w:gridSpan w:val="2"/>
            <w:tcW w:w="9773" w:type="dxa"/>
            <w:textDirection w:val="lrTb"/>
            <w:noWrap w:val="false"/>
          </w:tcPr>
          <w:tbl>
            <w:tblPr>
              <w:tblW w:w="9639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5953"/>
            </w:tblGrid>
            <w:tr>
              <w:tblPrEx/>
              <w:trPr/>
              <w:tc>
                <w:tcPr>
                  <w:tcW w:w="3686" w:type="dxa"/>
                  <w:textDirection w:val="lrTb"/>
                  <w:noWrap w:val="false"/>
                </w:tcPr>
                <w:p>
                  <w:pPr>
                    <w:ind w:left="537" w:right="57" w:hanging="567"/>
                    <w:jc w:val="both"/>
                  </w:pPr>
                  <w:r>
                    <w:t xml:space="preserve">1.1.   Полное фирменное наименование (для коммерческой организации) или наименование (для некоммерческой организации) эмитента:</w:t>
                  </w:r>
                  <w:r/>
                </w:p>
              </w:tc>
              <w:tc>
                <w:tcPr>
                  <w:tcW w:w="5953" w:type="dxa"/>
                  <w:textDirection w:val="lrTb"/>
                  <w:noWrap w:val="false"/>
                </w:tcPr>
                <w:p>
                  <w:pPr>
                    <w:ind w:left="120" w:right="5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Акционерное общество «Российский Сельскохозяйственный банк»</w:t>
                  </w:r>
                  <w:r>
                    <w:rPr>
                      <w:b/>
                      <w:i/>
                    </w:rPr>
                  </w:r>
                </w:p>
              </w:tc>
            </w:tr>
            <w:tr>
              <w:tblPrEx/>
              <w:trPr/>
              <w:tc>
                <w:tcPr>
                  <w:tcW w:w="3686" w:type="dxa"/>
                  <w:textDirection w:val="lrTb"/>
                  <w:noWrap w:val="false"/>
                </w:tcPr>
                <w:p>
                  <w:pPr>
                    <w:ind w:left="537" w:right="57" w:hanging="567"/>
                    <w:jc w:val="both"/>
                  </w:pPr>
                  <w:r>
                    <w:t xml:space="preserve">1.2.   Адрес эмитента, указанный в едином государственном реестре юридических лиц:</w:t>
                  </w:r>
                  <w:r/>
                </w:p>
              </w:tc>
              <w:tc>
                <w:tcPr>
                  <w:tcW w:w="5953" w:type="dxa"/>
                  <w:textDirection w:val="lrTb"/>
                  <w:noWrap w:val="false"/>
                </w:tcPr>
                <w:p>
                  <w:pPr>
                    <w:ind w:left="120" w:right="5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119034, город Москва,  Гагаринский переулок, дом 3</w:t>
                  </w:r>
                  <w:r>
                    <w:rPr>
                      <w:b/>
                      <w:i/>
                    </w:rPr>
                  </w:r>
                </w:p>
              </w:tc>
            </w:tr>
            <w:tr>
              <w:tblPrEx/>
              <w:trPr/>
              <w:tc>
                <w:tcPr>
                  <w:tcW w:w="3686" w:type="dxa"/>
                  <w:textDirection w:val="lrTb"/>
                  <w:noWrap w:val="false"/>
                </w:tcPr>
                <w:p>
                  <w:pPr>
                    <w:ind w:left="537" w:right="119" w:hanging="567"/>
                    <w:jc w:val="both"/>
                  </w:pPr>
                  <w:r>
                    <w:t xml:space="preserve">1.3.   Основной государственный регистрационный номер (ОГРН) эмитента (при наличии):</w:t>
                  </w:r>
                  <w:r/>
                </w:p>
              </w:tc>
              <w:tc>
                <w:tcPr>
                  <w:tcW w:w="5953" w:type="dxa"/>
                  <w:textDirection w:val="lrTb"/>
                  <w:noWrap w:val="false"/>
                </w:tcPr>
                <w:p>
                  <w:pPr>
                    <w:ind w:left="537" w:right="57" w:hanging="41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1027700342890</w:t>
                  </w:r>
                  <w:r>
                    <w:rPr>
                      <w:b/>
                      <w:i/>
                    </w:rPr>
                  </w:r>
                </w:p>
              </w:tc>
            </w:tr>
            <w:tr>
              <w:tblPrEx/>
              <w:trPr/>
              <w:tc>
                <w:tcPr>
                  <w:tcW w:w="3686" w:type="dxa"/>
                  <w:textDirection w:val="lrTb"/>
                  <w:noWrap w:val="false"/>
                </w:tcPr>
                <w:p>
                  <w:pPr>
                    <w:ind w:left="537" w:right="57" w:hanging="567"/>
                    <w:jc w:val="both"/>
                  </w:pPr>
                  <w:r>
                    <w:t xml:space="preserve">1.4.   Идентификационный номер налогоплательщика (ИНН) эмитента (при наличии):</w:t>
                  </w:r>
                  <w:r/>
                </w:p>
              </w:tc>
              <w:tc>
                <w:tcPr>
                  <w:tcW w:w="5953" w:type="dxa"/>
                  <w:textDirection w:val="lrTb"/>
                  <w:noWrap w:val="false"/>
                </w:tcPr>
                <w:p>
                  <w:pPr>
                    <w:ind w:left="537" w:right="57" w:hanging="41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7725114488</w:t>
                  </w:r>
                  <w:r>
                    <w:rPr>
                      <w:b/>
                      <w:i/>
                    </w:rPr>
                  </w:r>
                </w:p>
              </w:tc>
            </w:tr>
            <w:tr>
              <w:tblPrEx/>
              <w:trPr/>
              <w:tc>
                <w:tcPr>
                  <w:tcW w:w="3686" w:type="dxa"/>
                  <w:textDirection w:val="lrTb"/>
                  <w:noWrap w:val="false"/>
                </w:tcPr>
                <w:p>
                  <w:pPr>
                    <w:ind w:left="537" w:right="57" w:hanging="567"/>
                    <w:jc w:val="both"/>
                  </w:pPr>
                  <w:r>
                    <w:t xml:space="preserve">1.5.   Уникальный код эмитента, присвоенный Банком России:</w:t>
                  </w:r>
                  <w:r/>
                </w:p>
              </w:tc>
              <w:tc>
                <w:tcPr>
                  <w:tcW w:w="5953" w:type="dxa"/>
                  <w:textDirection w:val="lrTb"/>
                  <w:noWrap w:val="false"/>
                </w:tcPr>
                <w:p>
                  <w:pPr>
                    <w:ind w:left="537" w:right="57" w:hanging="41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03349-В</w:t>
                  </w:r>
                  <w:r>
                    <w:rPr>
                      <w:b/>
                      <w:i/>
                    </w:rPr>
                  </w:r>
                </w:p>
              </w:tc>
            </w:tr>
            <w:tr>
              <w:tblPrEx/>
              <w:trPr/>
              <w:tc>
                <w:tcPr>
                  <w:tcW w:w="3686" w:type="dxa"/>
                  <w:textDirection w:val="lrTb"/>
                  <w:noWrap w:val="false"/>
                </w:tcPr>
                <w:p>
                  <w:pPr>
                    <w:ind w:left="537" w:right="57" w:hanging="567"/>
                    <w:jc w:val="both"/>
                  </w:pPr>
                  <w:r>
                    <w:t xml:space="preserve">1.6.   Адрес страницы в сети Интернет, используемой эмитентом для раскрытия информации:</w:t>
                  </w:r>
                  <w:r/>
                </w:p>
              </w:tc>
              <w:tc>
                <w:tcPr>
                  <w:tcW w:w="5953" w:type="dxa"/>
                  <w:textDirection w:val="lrTb"/>
                  <w:noWrap w:val="false"/>
                </w:tcPr>
                <w:p>
                  <w:pPr>
                    <w:ind w:left="120" w:right="-27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lang w:val="en-US"/>
                    </w:rPr>
                    <w:t xml:space="preserve">http</w:t>
                  </w:r>
                  <w:r>
                    <w:rPr>
                      <w:b/>
                      <w:i/>
                    </w:rPr>
                    <w:t xml:space="preserve">://</w:t>
                  </w:r>
                  <w:r>
                    <w:rPr>
                      <w:b/>
                      <w:i/>
                      <w:lang w:val="en-US"/>
                    </w:rPr>
                    <w:t xml:space="preserve">www</w:t>
                  </w:r>
                  <w:r>
                    <w:rPr>
                      <w:b/>
                      <w:i/>
                    </w:rPr>
                    <w:t xml:space="preserve">.</w:t>
                  </w:r>
                  <w:r>
                    <w:rPr>
                      <w:b/>
                      <w:i/>
                      <w:lang w:val="en-US"/>
                    </w:rPr>
                    <w:t xml:space="preserve">e</w:t>
                  </w:r>
                  <w:r>
                    <w:rPr>
                      <w:b/>
                      <w:i/>
                    </w:rPr>
                    <w:t xml:space="preserve">-</w:t>
                  </w:r>
                  <w:r>
                    <w:rPr>
                      <w:b/>
                      <w:i/>
                      <w:lang w:val="en-US"/>
                    </w:rPr>
                    <w:t xml:space="preserve">disclosure</w:t>
                  </w:r>
                  <w:r>
                    <w:rPr>
                      <w:b/>
                      <w:i/>
                    </w:rPr>
                    <w:t xml:space="preserve">.</w:t>
                  </w:r>
                  <w:r>
                    <w:rPr>
                      <w:b/>
                      <w:i/>
                      <w:lang w:val="en-US"/>
                    </w:rPr>
                    <w:t xml:space="preserve">ru</w:t>
                  </w:r>
                  <w:r>
                    <w:rPr>
                      <w:b/>
                      <w:i/>
                    </w:rPr>
                    <w:t xml:space="preserve">/</w:t>
                  </w:r>
                  <w:r>
                    <w:rPr>
                      <w:b/>
                      <w:i/>
                      <w:lang w:val="en-US"/>
                    </w:rPr>
                    <w:t xml:space="preserve">portal</w:t>
                  </w:r>
                  <w:r>
                    <w:rPr>
                      <w:b/>
                      <w:i/>
                    </w:rPr>
                    <w:t xml:space="preserve">/</w:t>
                  </w:r>
                  <w:r>
                    <w:rPr>
                      <w:b/>
                      <w:i/>
                      <w:lang w:val="en-US"/>
                    </w:rPr>
                    <w:t xml:space="preserve">company</w:t>
                  </w:r>
                  <w:r>
                    <w:rPr>
                      <w:b/>
                      <w:i/>
                    </w:rPr>
                    <w:t xml:space="preserve">.</w:t>
                  </w:r>
                  <w:r>
                    <w:rPr>
                      <w:b/>
                      <w:i/>
                      <w:lang w:val="en-US"/>
                    </w:rPr>
                    <w:t xml:space="preserve">aspx</w:t>
                  </w:r>
                  <w:r>
                    <w:rPr>
                      <w:b/>
                      <w:i/>
                    </w:rPr>
                    <w:t xml:space="preserve">?</w:t>
                  </w:r>
                  <w:r>
                    <w:rPr>
                      <w:b/>
                      <w:i/>
                      <w:lang w:val="en-US"/>
                    </w:rPr>
                    <w:t xml:space="preserve">id</w:t>
                  </w:r>
                  <w:r>
                    <w:rPr>
                      <w:b/>
                      <w:i/>
                    </w:rPr>
                    <w:t xml:space="preserve">=3207, </w:t>
                  </w:r>
                  <w:r>
                    <w:rPr>
                      <w:b/>
                      <w:i/>
                    </w:rPr>
                  </w:r>
                </w:p>
                <w:p>
                  <w:pPr>
                    <w:ind w:left="120" w:right="-27"/>
                    <w:rPr>
                      <w:b/>
                      <w:i/>
                      <w:color w:val="000000"/>
                    </w:rPr>
                  </w:pPr>
                  <w:r/>
                  <w:hyperlink r:id="rId10" w:tooltip="http://www.rshb.ru" w:history="1">
                    <w:r>
                      <w:rPr>
                        <w:rStyle w:val="654"/>
                        <w:b/>
                        <w:i/>
                        <w:color w:val="000000"/>
                        <w:u w:val="none"/>
                        <w:lang w:val="en-US"/>
                      </w:rPr>
                      <w:t xml:space="preserve">http</w:t>
                    </w:r>
                    <w:r>
                      <w:rPr>
                        <w:rStyle w:val="654"/>
                        <w:b/>
                        <w:i/>
                        <w:color w:val="000000"/>
                        <w:u w:val="none"/>
                      </w:rPr>
                      <w:t xml:space="preserve">://</w:t>
                    </w:r>
                    <w:r>
                      <w:rPr>
                        <w:rStyle w:val="654"/>
                        <w:b/>
                        <w:i/>
                        <w:color w:val="000000"/>
                        <w:u w:val="none"/>
                        <w:lang w:val="en-US"/>
                      </w:rPr>
                      <w:t xml:space="preserve">www</w:t>
                    </w:r>
                    <w:r>
                      <w:rPr>
                        <w:rStyle w:val="654"/>
                        <w:b/>
                        <w:i/>
                        <w:color w:val="000000"/>
                        <w:u w:val="none"/>
                      </w:rPr>
                      <w:t xml:space="preserve">.</w:t>
                    </w:r>
                    <w:r>
                      <w:rPr>
                        <w:rStyle w:val="654"/>
                        <w:b/>
                        <w:i/>
                        <w:color w:val="000000"/>
                        <w:u w:val="none"/>
                        <w:lang w:val="en-US"/>
                      </w:rPr>
                      <w:t xml:space="preserve">rshb</w:t>
                    </w:r>
                    <w:r>
                      <w:rPr>
                        <w:rStyle w:val="654"/>
                        <w:b/>
                        <w:i/>
                        <w:color w:val="000000"/>
                        <w:u w:val="none"/>
                      </w:rPr>
                      <w:t xml:space="preserve">.</w:t>
                    </w:r>
                    <w:r>
                      <w:rPr>
                        <w:rStyle w:val="654"/>
                        <w:b/>
                        <w:i/>
                        <w:color w:val="000000"/>
                        <w:u w:val="none"/>
                        <w:lang w:val="en-US"/>
                      </w:rPr>
                      <w:t xml:space="preserve">ru</w:t>
                    </w:r>
                  </w:hyperlink>
                  <w:r/>
                  <w:r>
                    <w:rPr>
                      <w:b/>
                      <w:i/>
                      <w:color w:val="000000"/>
                    </w:rPr>
                  </w:r>
                </w:p>
              </w:tc>
            </w:tr>
            <w:tr>
              <w:tblPrEx/>
              <w:trPr>
                <w:trHeight w:val="68"/>
              </w:trPr>
              <w:tc>
                <w:tcPr>
                  <w:tcW w:w="3686" w:type="dxa"/>
                  <w:textDirection w:val="lrTb"/>
                  <w:noWrap w:val="false"/>
                </w:tcPr>
                <w:p>
                  <w:pPr>
                    <w:ind w:left="537" w:right="57" w:hanging="567"/>
                    <w:jc w:val="both"/>
                  </w:pPr>
                  <w:r>
                    <w:t xml:space="preserve">1.7.   </w:t>
                  </w:r>
                  <w:r>
                    <w:rPr>
                      <w:bCs/>
                    </w:rPr>
                    <w:t xml:space="preserve">Дата наступления события (существенного факта), о котором составлено сообщение:</w:t>
                  </w:r>
                  <w:r/>
                </w:p>
              </w:tc>
              <w:tc>
                <w:tcPr>
                  <w:tcW w:w="5953" w:type="dxa"/>
                  <w:textDirection w:val="lrTb"/>
                  <w:noWrap w:val="false"/>
                </w:tcPr>
                <w:p>
                  <w:pPr>
                    <w:ind w:left="537" w:right="-27" w:hanging="41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28</w:t>
                  </w:r>
                  <w:r>
                    <w:rPr>
                      <w:b/>
                      <w:i/>
                    </w:rPr>
                    <w:t xml:space="preserve">.11.</w:t>
                  </w:r>
                  <w:r>
                    <w:rPr>
                      <w:b/>
                      <w:i/>
                    </w:rPr>
                    <w:t xml:space="preserve">2024</w:t>
                  </w:r>
                  <w:r>
                    <w:rPr>
                      <w:b/>
                      <w:i/>
                    </w:rPr>
                  </w:r>
                </w:p>
              </w:tc>
            </w:tr>
          </w:tbl>
          <w:p>
            <w:pPr>
              <w:ind w:left="57" w:right="57"/>
              <w:jc w:val="both"/>
            </w:pPr>
            <w:r/>
            <w:r/>
          </w:p>
        </w:tc>
        <w:tc>
          <w:tcPr>
            <w:tcW w:w="286" w:type="dxa"/>
            <w:textDirection w:val="lrTb"/>
            <w:noWrap w:val="false"/>
          </w:tcPr>
          <w:p>
            <w:pPr>
              <w:ind w:left="57" w:right="57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gridAfter w:val="2"/>
          <w:trHeight w:val="313"/>
        </w:trPr>
        <w:tc>
          <w:tcPr>
            <w:gridSpan w:val="2"/>
            <w:shd w:val="clear" w:color="auto" w:fill="auto"/>
            <w:tcW w:w="9498" w:type="dxa"/>
            <w:textDirection w:val="lrTb"/>
            <w:noWrap w:val="false"/>
          </w:tcPr>
          <w:p>
            <w:pPr>
              <w:ind w:left="57"/>
              <w:jc w:val="center"/>
            </w:pPr>
            <w:r/>
            <w:r/>
          </w:p>
          <w:p>
            <w:pPr>
              <w:ind w:left="57"/>
              <w:jc w:val="center"/>
            </w:pPr>
            <w:r>
              <w:t xml:space="preserve">2. Содержание сообщения</w:t>
            </w:r>
            <w:r/>
          </w:p>
          <w:p>
            <w:pPr>
              <w:ind w:left="57"/>
              <w:jc w:val="center"/>
            </w:pPr>
            <w:r>
              <w:t xml:space="preserve">«</w:t>
            </w:r>
            <w:r>
              <w:t xml:space="preserve">О</w:t>
            </w:r>
            <w:r>
              <w:t xml:space="preserve"> дате</w:t>
            </w:r>
            <w:r>
              <w:t xml:space="preserve"> начала размещения ценных бумаг</w:t>
            </w:r>
            <w:r>
              <w:t xml:space="preserve">»</w:t>
            </w:r>
            <w:r/>
          </w:p>
          <w:p>
            <w:pPr>
              <w:ind w:left="57"/>
              <w:jc w:val="center"/>
            </w:pPr>
            <w:r/>
            <w:r/>
          </w:p>
        </w:tc>
      </w:tr>
      <w:tr>
        <w:tblPrEx/>
        <w:trPr>
          <w:gridAfter w:val="2"/>
          <w:trHeight w:val="725"/>
        </w:trPr>
        <w:tc>
          <w:tcPr>
            <w:gridSpan w:val="2"/>
            <w:shd w:val="clear" w:color="auto" w:fill="auto"/>
            <w:tcW w:w="9498" w:type="dxa"/>
            <w:textDirection w:val="lrTb"/>
            <w:noWrap w:val="false"/>
          </w:tcPr>
          <w:p>
            <w:pPr>
              <w:ind w:left="602" w:hanging="602"/>
              <w:jc w:val="both"/>
              <w:tabs>
                <w:tab w:val="left" w:pos="602" w:leader="none"/>
              </w:tabs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2.1.</w:t>
            </w:r>
            <w:r>
              <w:rPr>
                <w:bCs/>
                <w:color w:val="000000"/>
              </w:rPr>
              <w:t xml:space="preserve">  </w:t>
            </w:r>
            <w:r>
              <w:rPr>
                <w:bCs/>
                <w:color w:val="000000"/>
              </w:rPr>
              <w:t xml:space="preserve"> </w:t>
            </w:r>
            <w:r>
              <w:rPr>
                <w:bCs/>
                <w:color w:val="000000"/>
              </w:rPr>
              <w:t xml:space="preserve"> </w:t>
            </w:r>
            <w:r>
              <w:rPr>
                <w:bCs/>
                <w:color w:val="000000"/>
              </w:rPr>
              <w:t xml:space="preserve">В</w:t>
            </w:r>
            <w:r>
              <w:rPr>
                <w:bCs/>
              </w:rPr>
              <w:t xml:space="preserve">ид, категория (тип), серия (при наличии) и иные идентификационные признаки </w:t>
            </w:r>
            <w:r>
              <w:rPr>
                <w:bCs/>
              </w:rPr>
              <w:t xml:space="preserve">размещаемых </w:t>
            </w:r>
            <w:r>
              <w:rPr>
                <w:bCs/>
              </w:rPr>
              <w:t xml:space="preserve">ценных бумаг, указанные в решении о выпуске ценных бумаг</w:t>
            </w:r>
            <w:r>
              <w:rPr>
                <w:bCs/>
              </w:rPr>
              <w:t xml:space="preserve"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  <w:p>
            <w:pPr>
              <w:ind w:left="601"/>
              <w:jc w:val="both"/>
              <w:rPr>
                <w:b/>
                <w:i/>
              </w:rPr>
            </w:pPr>
            <w:r>
              <w:t xml:space="preserve">Вид: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би</w:t>
            </w:r>
            <w:r>
              <w:rPr>
                <w:rFonts w:eastAsia="Calibri"/>
                <w:b/>
                <w:i/>
              </w:rPr>
              <w:t xml:space="preserve">ржевые облигации</w:t>
            </w:r>
            <w:r>
              <w:rPr>
                <w:b/>
                <w:i/>
              </w:rPr>
              <w:t xml:space="preserve">;</w:t>
            </w:r>
            <w:r>
              <w:rPr>
                <w:b/>
                <w:i/>
              </w:rPr>
            </w:r>
          </w:p>
          <w:p>
            <w:pPr>
              <w:ind w:left="601"/>
              <w:jc w:val="both"/>
              <w:rPr>
                <w:b/>
                <w:i/>
              </w:rPr>
            </w:pPr>
            <w:r>
              <w:t xml:space="preserve">Серия:</w:t>
            </w:r>
            <w:r>
              <w:rPr>
                <w:b/>
                <w:i/>
              </w:rPr>
              <w:t xml:space="preserve"> БO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</w:rPr>
              <w:t xml:space="preserve">2</w:t>
            </w:r>
            <w:r>
              <w:rPr>
                <w:b/>
                <w:i/>
              </w:rPr>
              <w:t xml:space="preserve">1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</w:rPr>
              <w:t xml:space="preserve">002P;</w:t>
            </w:r>
            <w:r>
              <w:rPr>
                <w:b/>
                <w:i/>
              </w:rPr>
            </w:r>
          </w:p>
          <w:p>
            <w:pPr>
              <w:ind w:left="601"/>
              <w:jc w:val="both"/>
              <w:rPr>
                <w:b/>
                <w:i/>
              </w:rPr>
            </w:pPr>
            <w:r>
              <w:t xml:space="preserve">Иные идентификационные признаки:</w:t>
            </w:r>
            <w:r>
              <w:rPr>
                <w:b/>
                <w:i/>
              </w:rPr>
              <w:t xml:space="preserve"> биржевые облигации процентные неконвертируемые бездокументарные с централи</w:t>
            </w:r>
            <w:r>
              <w:rPr>
                <w:b/>
                <w:i/>
              </w:rPr>
              <w:t xml:space="preserve">зованным учетом прав серии БO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</w:rPr>
              <w:t xml:space="preserve">2</w:t>
            </w:r>
            <w:r>
              <w:rPr>
                <w:b/>
                <w:i/>
              </w:rPr>
              <w:t xml:space="preserve">1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</w:rPr>
              <w:t xml:space="preserve">002P, размещаемые </w:t>
            </w:r>
            <w:r>
              <w:rPr>
                <w:b/>
                <w:bCs/>
                <w:i/>
                <w:iCs/>
              </w:rPr>
              <w:t xml:space="preserve">путем открытой подписки</w:t>
            </w:r>
            <w:r>
              <w:rPr>
                <w:b/>
                <w:i/>
              </w:rPr>
              <w:t xml:space="preserve"> в рамках Программы биржевых облигаций серии 002Р, имеющей регистрационный номер </w:t>
            </w:r>
            <w:r>
              <w:rPr>
                <w:b/>
                <w:i/>
              </w:rPr>
              <w:t xml:space="preserve">                                    </w:t>
            </w:r>
            <w:r>
              <w:rPr>
                <w:b/>
                <w:i/>
              </w:rPr>
              <w:t xml:space="preserve">4-03349-B-002P-02Е от 09.07.2020 (именуемые по тексту - Би</w:t>
            </w:r>
            <w:r>
              <w:rPr>
                <w:b/>
                <w:i/>
              </w:rPr>
              <w:t xml:space="preserve">ржевые облигации серии БO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</w:rPr>
              <w:t xml:space="preserve">21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</w:rPr>
              <w:t xml:space="preserve">002P);</w:t>
            </w:r>
            <w:r>
              <w:rPr>
                <w:b/>
                <w:i/>
              </w:rPr>
            </w:r>
          </w:p>
          <w:p>
            <w:pPr>
              <w:ind w:left="601"/>
              <w:jc w:val="both"/>
              <w:rPr>
                <w:b/>
                <w:i/>
              </w:rPr>
            </w:pPr>
            <w:r>
              <w:t xml:space="preserve">Международный код (номер) идентификации ценных бумаг (</w:t>
            </w:r>
            <w:r>
              <w:rPr>
                <w:lang w:val="en-US"/>
              </w:rPr>
              <w:t xml:space="preserve">ISIN</w:t>
            </w:r>
            <w:r>
              <w:rPr>
                <w:color w:val="000000"/>
              </w:rPr>
              <w:t xml:space="preserve">)</w:t>
            </w:r>
            <w:r>
              <w:rPr>
                <w:i/>
                <w:color w:val="000000"/>
              </w:rPr>
              <w:t xml:space="preserve">: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 </w:t>
            </w:r>
            <w:r>
              <w:rPr>
                <w:b/>
                <w:i/>
              </w:rPr>
              <w:t xml:space="preserve">не присвоен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</w:r>
          </w:p>
          <w:p>
            <w:pPr>
              <w:ind w:left="426"/>
              <w:jc w:val="both"/>
              <w:rPr>
                <w:bCs/>
              </w:rPr>
            </w:pPr>
            <w:r>
              <w:rPr>
                <w:bCs/>
              </w:rPr>
              <w:t xml:space="preserve">   Международный код классификации финансовых инструментов (CFI): </w:t>
            </w:r>
            <w:r>
              <w:rPr>
                <w:b/>
                <w:bCs/>
                <w:i/>
              </w:rPr>
              <w:t xml:space="preserve">не присвоен.</w:t>
            </w:r>
            <w:r>
              <w:rPr>
                <w:bCs/>
              </w:rPr>
            </w:r>
          </w:p>
          <w:p>
            <w:pPr>
              <w:ind w:left="601" w:right="34" w:hanging="568"/>
              <w:jc w:val="both"/>
              <w:rPr>
                <w:rFonts w:eastAsia="Calibri"/>
                <w:b/>
                <w:i/>
              </w:rPr>
            </w:pPr>
            <w:r>
              <w:rPr>
                <w:bCs/>
              </w:rPr>
              <w:t xml:space="preserve">2.2.</w:t>
            </w:r>
            <w:r>
              <w:rPr>
                <w:bCs/>
                <w:lang w:val="en-US"/>
              </w:rPr>
              <w:t xml:space="preserve"> </w:t>
            </w:r>
            <w:r>
              <w:rPr>
                <w:bCs/>
              </w:rPr>
              <w:t xml:space="preserve">  </w:t>
            </w:r>
            <w:r>
              <w:rPr>
                <w:bCs/>
              </w:rPr>
              <w:t xml:space="preserve"> </w:t>
            </w:r>
            <w:r>
              <w:rPr>
                <w:bCs/>
              </w:rPr>
              <w:t xml:space="preserve">Срок </w:t>
            </w:r>
            <w:r>
              <w:rPr>
                <w:bCs/>
              </w:rPr>
              <w:t xml:space="preserve">(</w:t>
            </w:r>
            <w:r>
              <w:t xml:space="preserve">порядок определения срока)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погашения</w:t>
            </w:r>
            <w:r>
              <w:rPr>
                <w:bCs/>
              </w:rPr>
              <w:t xml:space="preserve"> облигаций и</w:t>
            </w:r>
            <w:r>
              <w:rPr>
                <w:bCs/>
              </w:rPr>
              <w:t xml:space="preserve">ли</w:t>
            </w:r>
            <w:r>
              <w:rPr>
                <w:bCs/>
              </w:rPr>
              <w:t xml:space="preserve"> опционов</w:t>
            </w:r>
            <w:r>
              <w:rPr>
                <w:bCs/>
              </w:rPr>
              <w:t xml:space="preserve"> эмитента</w:t>
            </w:r>
            <w:r>
              <w:rPr>
                <w:bCs/>
              </w:rPr>
              <w:t xml:space="preserve"> либо сведения о том, что срок погашения облигаций не определяется (для облигаций без срока погашения)</w:t>
            </w:r>
            <w:r>
              <w:rPr>
                <w:bCs/>
              </w:rPr>
              <w:t xml:space="preserve">:</w:t>
            </w:r>
            <w:r>
              <w:rPr>
                <w:i/>
              </w:rPr>
              <w:t xml:space="preserve"> </w:t>
            </w:r>
            <w:r>
              <w:rPr>
                <w:rStyle w:val="642"/>
                <w:i/>
              </w:rPr>
              <w:t xml:space="preserve">Биржевые облигации серии </w:t>
            </w:r>
            <w:r>
              <w:rPr>
                <w:b/>
                <w:i/>
              </w:rPr>
              <w:t xml:space="preserve">БO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</w:rPr>
              <w:t xml:space="preserve">21-</w:t>
            </w:r>
            <w:r>
              <w:rPr>
                <w:b/>
                <w:i/>
              </w:rPr>
              <w:t xml:space="preserve">002P</w:t>
            </w:r>
            <w:r>
              <w:rPr>
                <w:rStyle w:val="642"/>
                <w:i/>
              </w:rPr>
              <w:t xml:space="preserve"> </w:t>
            </w:r>
            <w:r>
              <w:rPr>
                <w:rStyle w:val="642"/>
                <w:i/>
              </w:rPr>
              <w:t xml:space="preserve">погашаются в </w:t>
            </w:r>
            <w:r>
              <w:rPr>
                <w:rStyle w:val="642"/>
                <w:i/>
              </w:rPr>
              <w:t xml:space="preserve">             </w:t>
            </w:r>
            <w:r>
              <w:rPr>
                <w:rStyle w:val="642"/>
                <w:i/>
              </w:rPr>
              <w:t xml:space="preserve">1</w:t>
            </w:r>
            <w:r>
              <w:rPr>
                <w:rStyle w:val="642"/>
                <w:i/>
              </w:rPr>
              <w:t xml:space="preserve">82</w:t>
            </w:r>
            <w:r>
              <w:rPr>
                <w:rStyle w:val="642"/>
                <w:i/>
              </w:rPr>
              <w:t xml:space="preserve">-й </w:t>
            </w:r>
            <w:r>
              <w:rPr>
                <w:rStyle w:val="642"/>
                <w:i/>
              </w:rPr>
              <w:t xml:space="preserve">день с даты начала размещения Биржевых облигаций серии</w:t>
            </w:r>
            <w:r>
              <w:rPr>
                <w:b/>
                <w:i/>
              </w:rPr>
              <w:t xml:space="preserve"> БO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</w:rPr>
              <w:t xml:space="preserve">21-</w:t>
            </w:r>
            <w:r>
              <w:rPr>
                <w:b/>
                <w:i/>
              </w:rPr>
              <w:t xml:space="preserve">002P</w:t>
            </w:r>
            <w:r>
              <w:rPr>
                <w:rFonts w:eastAsia="Calibri"/>
                <w:b/>
                <w:i/>
              </w:rPr>
              <w:t xml:space="preserve">.</w:t>
            </w:r>
            <w:r>
              <w:rPr>
                <w:rFonts w:eastAsia="Calibri"/>
                <w:b/>
                <w:i/>
              </w:rPr>
            </w:r>
          </w:p>
          <w:p>
            <w:pPr>
              <w:ind w:left="602" w:right="57" w:hanging="568"/>
              <w:jc w:val="both"/>
              <w:tabs>
                <w:tab w:val="left" w:pos="390" w:leader="none"/>
              </w:tabs>
              <w:rPr>
                <w:bCs/>
              </w:rPr>
            </w:pPr>
            <w:r>
              <w:rPr>
                <w:bCs/>
              </w:rPr>
              <w:t xml:space="preserve">2.3.</w:t>
            </w:r>
            <w:r>
              <w:rPr>
                <w:bCs/>
              </w:rPr>
              <w:t xml:space="preserve">   </w:t>
            </w:r>
            <w:r>
              <w:rPr>
                <w:bCs/>
              </w:rPr>
              <w:t xml:space="preserve">Р</w:t>
            </w:r>
            <w:r>
              <w:t xml:space="preserve">егистрационный номер выпуска (дополнительного выпуска) ценных бумаг и дата его регистрации</w:t>
            </w:r>
            <w:r>
              <w:rPr>
                <w:bCs/>
              </w:rPr>
              <w:t xml:space="preserve">: </w:t>
            </w:r>
            <w:r>
              <w:rPr>
                <w:bCs/>
              </w:rPr>
            </w:r>
          </w:p>
          <w:p>
            <w:pPr>
              <w:ind w:left="602" w:right="57" w:hanging="568"/>
              <w:jc w:val="both"/>
              <w:tabs>
                <w:tab w:val="left" w:pos="390" w:leader="none"/>
              </w:tabs>
              <w:rPr>
                <w:b/>
                <w:i/>
              </w:rPr>
            </w:pPr>
            <w:r>
              <w:rPr>
                <w:bCs/>
              </w:rPr>
              <w:t xml:space="preserve">         </w:t>
            </w:r>
            <w:r>
              <w:rPr>
                <w:bCs/>
                <w:color w:val="000000"/>
              </w:rPr>
              <w:t xml:space="preserve">Регистрационный номер выпуск</w:t>
            </w:r>
            <w:r>
              <w:rPr>
                <w:bCs/>
                <w:color w:val="000000"/>
              </w:rPr>
              <w:t xml:space="preserve">а</w:t>
            </w:r>
            <w:r>
              <w:rPr>
                <w:bCs/>
                <w:color w:val="000000"/>
              </w:rPr>
              <w:t xml:space="preserve">: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i/>
              </w:rPr>
              <w:t xml:space="preserve">4B02-</w:t>
            </w:r>
            <w:r>
              <w:rPr>
                <w:b/>
                <w:i/>
              </w:rPr>
              <w:t xml:space="preserve">4</w:t>
            </w:r>
            <w:r>
              <w:rPr>
                <w:b/>
                <w:i/>
              </w:rPr>
              <w:t xml:space="preserve">2</w:t>
            </w:r>
            <w:r>
              <w:rPr>
                <w:b/>
                <w:i/>
              </w:rPr>
              <w:t xml:space="preserve">-03349-B-002P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</w:r>
          </w:p>
          <w:p>
            <w:pPr>
              <w:ind w:left="602" w:right="57"/>
              <w:jc w:val="both"/>
              <w:tabs>
                <w:tab w:val="num" w:pos="0" w:leader="none"/>
              </w:tabs>
              <w:rPr>
                <w:b/>
                <w:i/>
              </w:rPr>
            </w:pPr>
            <w:r>
              <w:rPr>
                <w:color w:val="000000"/>
              </w:rPr>
              <w:t xml:space="preserve">Дата его </w:t>
            </w:r>
            <w:r>
              <w:rPr>
                <w:color w:val="000000"/>
              </w:rPr>
              <w:t xml:space="preserve">регистрации</w:t>
            </w:r>
            <w:r>
              <w:rPr>
                <w:rStyle w:val="642"/>
                <w:b w:val="0"/>
              </w:rPr>
              <w:t xml:space="preserve">:</w:t>
            </w:r>
            <w:r>
              <w:rPr>
                <w:rStyle w:val="642"/>
              </w:rPr>
              <w:t xml:space="preserve"> </w:t>
            </w:r>
            <w:r>
              <w:rPr>
                <w:rStyle w:val="642"/>
                <w:i/>
              </w:rPr>
              <w:t xml:space="preserve">25.03.2024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</w:r>
          </w:p>
          <w:p>
            <w:pPr>
              <w:ind w:left="601" w:right="34" w:hanging="568"/>
              <w:jc w:val="both"/>
              <w:rPr>
                <w:b/>
                <w:i/>
                <w:szCs w:val="20"/>
              </w:rPr>
            </w:pPr>
            <w:r>
              <w:rPr>
                <w:bCs/>
              </w:rPr>
              <w:t xml:space="preserve">2.4.</w:t>
            </w:r>
            <w:r>
              <w:rPr>
                <w:bCs/>
              </w:rPr>
              <w:t xml:space="preserve"> </w:t>
            </w:r>
            <w:r>
              <w:rPr>
                <w:bCs/>
              </w:rPr>
              <w:t xml:space="preserve"> </w:t>
            </w:r>
            <w:r>
              <w:rPr>
                <w:bCs/>
              </w:rPr>
              <w:t xml:space="preserve">Л</w:t>
            </w:r>
            <w:r>
              <w:t xml:space="preserve">ицо, осуществившее регистрацию выпуска (дополнительного выпуска) ценных бумаг (Банк России, регистрирующая организация)</w:t>
            </w:r>
            <w:r>
              <w:rPr>
                <w:bCs/>
              </w:rPr>
              <w:t xml:space="preserve">:</w:t>
            </w:r>
            <w:r>
              <w:t xml:space="preserve"> </w:t>
            </w:r>
            <w:r>
              <w:rPr>
                <w:b/>
                <w:i/>
                <w:szCs w:val="20"/>
              </w:rPr>
              <w:t xml:space="preserve">Публичное акционерное общество «Московская Биржа ММВБ-РТС» (ПАО Московская Биржа).</w:t>
            </w:r>
            <w:r>
              <w:rPr>
                <w:b/>
                <w:i/>
                <w:szCs w:val="20"/>
              </w:rPr>
            </w:r>
          </w:p>
          <w:p>
            <w:pPr>
              <w:ind w:left="601" w:right="34" w:hanging="568"/>
              <w:jc w:val="both"/>
              <w:rPr>
                <w:bCs/>
              </w:rPr>
            </w:pPr>
            <w:r>
              <w:rPr>
                <w:bCs/>
              </w:rPr>
              <w:t xml:space="preserve">2.5.  Количество размещаемых ценных бумаг</w:t>
            </w:r>
            <w:r>
              <w:rPr>
                <w:bCs/>
              </w:rPr>
              <w:t xml:space="preserve"> и</w:t>
            </w:r>
            <w:r>
              <w:rPr>
                <w:bCs/>
              </w:rPr>
              <w:t xml:space="preserve"> номинальная стоимость (для акций и облигаций) каждой размещаемой ценной бумаги</w:t>
            </w:r>
            <w:r>
              <w:rPr>
                <w:bCs/>
              </w:rPr>
              <w:t xml:space="preserve">.</w:t>
            </w:r>
            <w:r>
              <w:t xml:space="preserve"> </w:t>
            </w:r>
            <w:r>
              <w:rPr>
                <w:bCs/>
              </w:rPr>
              <w:t xml:space="preserve">В отношении облигаций, размещаемых в рамках программы облигаций, вместо указания количества размещаемых облигаций может быть указано их примерное количество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</w:p>
          <w:p>
            <w:pPr>
              <w:ind w:left="601" w:right="34" w:hanging="568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</w:t>
            </w:r>
            <w:r>
              <w:rPr>
                <w:b/>
                <w:bCs/>
                <w:i/>
              </w:rPr>
              <w:t xml:space="preserve">7</w:t>
            </w:r>
            <w:r>
              <w:rPr>
                <w:b/>
                <w:bCs/>
                <w:i/>
              </w:rPr>
              <w:t xml:space="preserve"> 000 000 (</w:t>
            </w:r>
            <w:r>
              <w:rPr>
                <w:b/>
                <w:bCs/>
                <w:i/>
              </w:rPr>
              <w:t xml:space="preserve">семь </w:t>
            </w:r>
            <w:r>
              <w:rPr>
                <w:b/>
                <w:bCs/>
                <w:i/>
              </w:rPr>
              <w:t xml:space="preserve">миллионов) штук.</w:t>
            </w:r>
            <w:r>
              <w:rPr>
                <w:b/>
                <w:bCs/>
                <w:i/>
              </w:rPr>
            </w:r>
          </w:p>
          <w:p>
            <w:pPr>
              <w:ind w:left="601" w:right="34" w:hanging="568"/>
              <w:jc w:val="both"/>
              <w:rPr>
                <w:b/>
                <w:i/>
              </w:rPr>
            </w:pPr>
            <w:r>
              <w:rPr>
                <w:bCs/>
                <w:i/>
              </w:rPr>
              <w:t xml:space="preserve">          </w:t>
            </w:r>
            <w:r>
              <w:rPr>
                <w:bCs/>
              </w:rPr>
              <w:t xml:space="preserve">Н</w:t>
            </w:r>
            <w:r>
              <w:rPr>
                <w:bCs/>
              </w:rPr>
              <w:t xml:space="preserve">оминальная стоимость </w:t>
            </w:r>
            <w:r>
              <w:rPr>
                <w:bCs/>
              </w:rPr>
              <w:t xml:space="preserve">(</w:t>
            </w:r>
            <w:r>
              <w:t xml:space="preserve">для акций и облигаций</w:t>
            </w:r>
            <w:r>
              <w:rPr>
                <w:bCs/>
              </w:rPr>
              <w:t xml:space="preserve">) </w:t>
            </w:r>
            <w:r>
              <w:rPr>
                <w:bCs/>
              </w:rPr>
              <w:t xml:space="preserve">каждой</w:t>
            </w:r>
            <w:r>
              <w:rPr>
                <w:bCs/>
              </w:rPr>
              <w:t xml:space="preserve"> размещаемой</w:t>
            </w:r>
            <w:r>
              <w:rPr>
                <w:bCs/>
              </w:rPr>
              <w:t xml:space="preserve"> ценной бумаги:</w:t>
            </w:r>
            <w:r>
              <w:rPr>
                <w:bCs/>
              </w:rPr>
              <w:t xml:space="preserve"> </w:t>
            </w:r>
            <w:r>
              <w:rPr>
                <w:b/>
                <w:i/>
              </w:rPr>
              <w:t xml:space="preserve">1</w:t>
            </w:r>
            <w:r>
              <w:rPr>
                <w:b/>
                <w:i/>
              </w:rPr>
              <w:t xml:space="preserve"> 000 (</w:t>
            </w:r>
            <w:r>
              <w:rPr>
                <w:b/>
                <w:i/>
              </w:rPr>
              <w:t xml:space="preserve">о</w:t>
            </w:r>
            <w:r>
              <w:rPr>
                <w:b/>
                <w:i/>
              </w:rPr>
              <w:t xml:space="preserve">дна тысяча) рублей.</w:t>
            </w:r>
            <w:r>
              <w:rPr>
                <w:b/>
                <w:i/>
              </w:rPr>
            </w:r>
          </w:p>
          <w:p>
            <w:pPr>
              <w:ind w:left="599" w:right="34" w:hanging="599"/>
              <w:jc w:val="both"/>
              <w:rPr>
                <w:b/>
                <w:i/>
              </w:rPr>
            </w:pPr>
            <w:r>
              <w:rPr>
                <w:bCs/>
              </w:rPr>
              <w:t xml:space="preserve">2.6.</w:t>
            </w:r>
            <w:r>
              <w:rPr>
                <w:bCs/>
              </w:rPr>
              <w:t xml:space="preserve"> </w:t>
            </w:r>
            <w:r>
              <w:rPr>
                <w:bCs/>
                <w:lang w:val="en-US"/>
              </w:rPr>
              <w:t xml:space="preserve"> </w:t>
            </w:r>
            <w:r>
              <w:rPr>
                <w:bCs/>
              </w:rPr>
              <w:t xml:space="preserve"> </w:t>
            </w:r>
            <w:r>
              <w:rPr>
                <w:bCs/>
              </w:rPr>
              <w:t xml:space="preserve">Способ размещения ценных бумаг</w:t>
            </w:r>
            <w:r>
              <w:t xml:space="preserve"> </w:t>
            </w:r>
            <w:r>
              <w:rPr>
                <w:bCs/>
              </w:rPr>
              <w:t xml:space="preserve">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</w:t>
            </w:r>
            <w:r>
              <w:rPr>
                <w:bCs/>
              </w:rPr>
              <w:t xml:space="preserve">: </w:t>
            </w:r>
            <w:r>
              <w:rPr>
                <w:b/>
                <w:i/>
              </w:rPr>
              <w:t xml:space="preserve">о</w:t>
            </w:r>
            <w:r>
              <w:rPr>
                <w:b/>
                <w:i/>
              </w:rPr>
              <w:t xml:space="preserve">ткрыт</w:t>
            </w:r>
            <w:r>
              <w:rPr>
                <w:b/>
                <w:i/>
              </w:rPr>
              <w:t xml:space="preserve">ая</w:t>
            </w:r>
            <w:r>
              <w:rPr>
                <w:b/>
                <w:i/>
              </w:rPr>
              <w:t xml:space="preserve"> подписк</w:t>
            </w:r>
            <w:r>
              <w:rPr>
                <w:b/>
                <w:i/>
              </w:rPr>
              <w:t xml:space="preserve">а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</w:r>
          </w:p>
          <w:p>
            <w:pPr>
              <w:ind w:left="602" w:right="34" w:hanging="602"/>
              <w:jc w:val="both"/>
              <w:tabs>
                <w:tab w:val="left" w:pos="851" w:leader="none"/>
              </w:tabs>
              <w:rPr>
                <w:bCs/>
                <w:i/>
                <w:color w:val="000000"/>
              </w:rPr>
            </w:pPr>
            <w:r>
              <w:rPr>
                <w:bCs/>
              </w:rPr>
              <w:t xml:space="preserve">2.7.  Цена размещения ценных бумаг или порядок ее определения либо сведения о том, </w:t>
            </w:r>
            <w:r>
              <w:rPr>
                <w:bCs/>
                <w:color w:val="000000"/>
              </w:rPr>
              <w:t xml:space="preserve">что указанная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      </w:r>
            <w:r>
              <w:rPr>
                <w:bCs/>
                <w:i/>
                <w:color w:val="000000"/>
              </w:rPr>
              <w:t xml:space="preserve"> </w:t>
            </w:r>
            <w:r>
              <w:rPr>
                <w:b/>
                <w:i/>
              </w:rPr>
              <w:t xml:space="preserve">Правлением АО «</w:t>
            </w:r>
            <w:r>
              <w:rPr>
                <w:b/>
                <w:i/>
              </w:rPr>
              <w:t xml:space="preserve">Россельхозбанк</w:t>
            </w:r>
            <w:r>
              <w:rPr>
                <w:b/>
                <w:i/>
              </w:rPr>
              <w:t xml:space="preserve">» </w:t>
            </w:r>
            <w:r>
              <w:rPr>
                <w:b/>
                <w:i/>
              </w:rPr>
              <w:t xml:space="preserve">28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  <w:t xml:space="preserve">11</w:t>
            </w:r>
            <w:r>
              <w:rPr>
                <w:b/>
                <w:i/>
              </w:rPr>
              <w:t xml:space="preserve">.2024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(протокол от </w:t>
            </w:r>
            <w:r>
              <w:rPr>
                <w:b/>
                <w:i/>
              </w:rPr>
              <w:t xml:space="preserve">28.11</w:t>
            </w:r>
            <w:r>
              <w:rPr>
                <w:b/>
                <w:i/>
              </w:rPr>
              <w:t xml:space="preserve">.2024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№ </w:t>
            </w:r>
            <w:r>
              <w:rPr>
                <w:b/>
                <w:i/>
              </w:rPr>
              <w:t xml:space="preserve">74</w:t>
            </w:r>
            <w:bookmarkStart w:id="0" w:name="_GoBack"/>
            <w:r/>
            <w:bookmarkEnd w:id="0"/>
            <w:r>
              <w:rPr>
                <w:b/>
                <w:i/>
              </w:rPr>
              <w:t xml:space="preserve">) принято решение установить</w:t>
            </w:r>
            <w:r>
              <w:rPr>
                <w:b/>
                <w:bCs/>
                <w:i/>
                <w:iCs/>
              </w:rPr>
              <w:t xml:space="preserve"> цену размещен</w:t>
            </w:r>
            <w:r>
              <w:rPr>
                <w:b/>
                <w:bCs/>
                <w:i/>
                <w:iCs/>
              </w:rPr>
              <w:t xml:space="preserve">ия Биржевых облигаций серии </w:t>
            </w:r>
            <w:r>
              <w:rPr>
                <w:b/>
                <w:bCs/>
                <w:i/>
                <w:iCs/>
              </w:rPr>
              <w:t xml:space="preserve">             </w:t>
            </w:r>
            <w:r>
              <w:rPr>
                <w:b/>
                <w:bCs/>
                <w:i/>
                <w:iCs/>
              </w:rPr>
              <w:t xml:space="preserve">БO</w:t>
            </w:r>
            <w:r>
              <w:rPr>
                <w:b/>
                <w:bCs/>
                <w:i/>
                <w:iCs/>
              </w:rPr>
              <w:t xml:space="preserve">-</w:t>
            </w:r>
            <w:r>
              <w:rPr>
                <w:b/>
                <w:bCs/>
                <w:i/>
                <w:iCs/>
              </w:rPr>
              <w:t xml:space="preserve">21-</w:t>
            </w:r>
            <w:r>
              <w:rPr>
                <w:b/>
                <w:bCs/>
                <w:i/>
                <w:iCs/>
              </w:rPr>
              <w:t xml:space="preserve">002P  равной 1 000 (</w:t>
            </w:r>
            <w:r>
              <w:rPr>
                <w:b/>
                <w:bCs/>
                <w:i/>
                <w:iCs/>
              </w:rPr>
              <w:t xml:space="preserve">о</w:t>
            </w:r>
            <w:r>
              <w:rPr>
                <w:b/>
                <w:bCs/>
                <w:i/>
                <w:iCs/>
              </w:rPr>
              <w:t xml:space="preserve">дной тысяче) рублей за одну биржевую облигацию, что соответствует 100% от номинальной стоимости Биржевой облигации серии БO</w:t>
            </w:r>
            <w:r>
              <w:rPr>
                <w:b/>
                <w:bCs/>
                <w:i/>
                <w:iCs/>
              </w:rPr>
              <w:t xml:space="preserve">-</w:t>
            </w:r>
            <w:r>
              <w:rPr>
                <w:b/>
                <w:bCs/>
                <w:i/>
                <w:iCs/>
              </w:rPr>
              <w:t xml:space="preserve">21-</w:t>
            </w:r>
            <w:r>
              <w:rPr>
                <w:b/>
                <w:bCs/>
                <w:i/>
                <w:iCs/>
              </w:rPr>
              <w:t xml:space="preserve">002P.</w:t>
            </w:r>
            <w:r>
              <w:rPr>
                <w:bCs/>
                <w:i/>
                <w:color w:val="000000"/>
              </w:rPr>
            </w:r>
          </w:p>
          <w:p>
            <w:pPr>
              <w:ind w:left="601" w:right="34" w:hanging="568"/>
              <w:jc w:val="both"/>
            </w:pPr>
            <w:r>
              <w:rPr>
                <w:bCs/>
                <w:iCs/>
              </w:rPr>
              <w:t xml:space="preserve">2.8.</w:t>
            </w:r>
            <w:r>
              <w:rPr>
                <w:bCs/>
                <w:iCs/>
              </w:rPr>
              <w:t xml:space="preserve"> </w:t>
            </w:r>
            <w:r>
              <w:rPr>
                <w:b/>
                <w:bCs/>
                <w:i/>
                <w:iCs/>
              </w:rPr>
              <w:t xml:space="preserve"> </w:t>
            </w:r>
            <w:r>
              <w:rPr>
                <w:bCs/>
                <w:iCs/>
              </w:rPr>
              <w:t xml:space="preserve">Информация о п</w:t>
            </w:r>
            <w:r>
              <w:rPr>
                <w:bCs/>
                <w:iCs/>
              </w:rPr>
              <w:t xml:space="preserve">редоставлени</w:t>
            </w:r>
            <w:r>
              <w:rPr>
                <w:bCs/>
                <w:iCs/>
              </w:rPr>
              <w:t xml:space="preserve">и</w:t>
            </w:r>
            <w:r>
              <w:rPr>
                <w:bCs/>
                <w:iCs/>
              </w:rPr>
              <w:t xml:space="preserve"> участникам (акционерам) эмитента и (или) иным лицам преимущественного права приобретения ценных бумаг:</w:t>
            </w:r>
            <w:r>
              <w:rPr>
                <w:b/>
                <w:bCs/>
                <w:i/>
                <w:iCs/>
              </w:rPr>
              <w:t xml:space="preserve"> преимущественное право приобретения Биржевых облигаций серии БO</w:t>
            </w:r>
            <w:r>
              <w:rPr>
                <w:b/>
                <w:bCs/>
                <w:i/>
                <w:iCs/>
              </w:rPr>
              <w:t xml:space="preserve">-</w:t>
            </w:r>
            <w:r>
              <w:rPr>
                <w:b/>
                <w:bCs/>
                <w:i/>
                <w:iCs/>
              </w:rPr>
              <w:t xml:space="preserve">21-</w:t>
            </w:r>
            <w:r>
              <w:rPr>
                <w:b/>
                <w:bCs/>
                <w:i/>
                <w:iCs/>
              </w:rPr>
              <w:t xml:space="preserve">002P  не предусмотрено.</w:t>
            </w:r>
            <w:r/>
          </w:p>
          <w:p>
            <w:pPr>
              <w:ind w:left="602" w:right="34" w:hanging="602"/>
              <w:jc w:val="both"/>
              <w:tabs>
                <w:tab w:val="left" w:pos="851" w:leader="none"/>
              </w:tabs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 xml:space="preserve">2.9.</w:t>
            </w:r>
            <w:r>
              <w:rPr>
                <w:bCs/>
                <w:i/>
                <w:iCs/>
              </w:rPr>
              <w:t xml:space="preserve">  </w:t>
            </w:r>
            <w:r>
              <w:rPr>
                <w:bCs/>
                <w:i/>
                <w:iCs/>
              </w:rPr>
              <w:t xml:space="preserve">  </w:t>
            </w:r>
            <w:r>
              <w:rPr>
                <w:bCs/>
                <w:iCs/>
              </w:rPr>
              <w:t xml:space="preserve">Д</w:t>
            </w:r>
            <w:r>
              <w:t xml:space="preserve">ата начала размещения ценных бумаг</w:t>
            </w:r>
            <w:r>
              <w:rPr>
                <w:bCs/>
                <w:iCs/>
              </w:rPr>
              <w:t xml:space="preserve">: </w:t>
            </w:r>
            <w:r>
              <w:rPr>
                <w:b/>
                <w:bCs/>
                <w:i/>
                <w:iCs/>
              </w:rPr>
              <w:t xml:space="preserve">02.12</w:t>
            </w:r>
            <w:r>
              <w:rPr>
                <w:b/>
                <w:bCs/>
                <w:i/>
                <w:iCs/>
              </w:rPr>
              <w:t xml:space="preserve">.2024</w:t>
            </w:r>
            <w:r>
              <w:rPr>
                <w:b/>
                <w:bCs/>
                <w:i/>
                <w:iCs/>
              </w:rPr>
              <w:t xml:space="preserve">.</w:t>
            </w:r>
            <w:r>
              <w:rPr>
                <w:b/>
                <w:bCs/>
                <w:i/>
                <w:iCs/>
              </w:rPr>
            </w:r>
          </w:p>
          <w:p>
            <w:pPr>
              <w:ind w:left="602" w:hanging="602"/>
              <w:jc w:val="both"/>
              <w:rPr>
                <w:b/>
                <w:i/>
              </w:rPr>
            </w:pPr>
            <w:r>
              <w:rPr>
                <w:bCs/>
                <w:iCs/>
              </w:rPr>
              <w:t xml:space="preserve">2.1</w:t>
            </w:r>
            <w:r>
              <w:rPr>
                <w:bCs/>
                <w:iCs/>
              </w:rPr>
              <w:t xml:space="preserve">0</w:t>
            </w:r>
            <w:r>
              <w:rPr>
                <w:bCs/>
                <w:iCs/>
              </w:rPr>
              <w:t xml:space="preserve">.</w:t>
            </w:r>
            <w:r>
              <w:rPr>
                <w:bCs/>
                <w:iCs/>
              </w:rPr>
              <w:t xml:space="preserve"> </w:t>
            </w:r>
            <w:r>
              <w:rPr>
                <w:bCs/>
                <w:iCs/>
              </w:rPr>
              <w:t xml:space="preserve">Указание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на</w:t>
            </w:r>
            <w:r>
              <w:rPr>
                <w:bCs/>
                <w:iCs/>
              </w:rPr>
              <w:t xml:space="preserve"> то, что дата начала размещения ценных бумаг может быть изменена при условии опубликования информации об этом в ленте новостей не позднее 1 дня до наступления опубликованной в </w:t>
            </w:r>
            <w:r>
              <w:rPr>
                <w:bCs/>
                <w:iCs/>
              </w:rPr>
              <w:t xml:space="preserve">указанном </w:t>
            </w:r>
            <w:r>
              <w:rPr>
                <w:bCs/>
                <w:iCs/>
              </w:rPr>
              <w:t xml:space="preserve">сообщении даты начала размещения ценных бумаг: </w:t>
            </w:r>
            <w:r>
              <w:rPr>
                <w:b/>
                <w:bCs/>
                <w:i/>
                <w:iCs/>
              </w:rPr>
              <w:t xml:space="preserve">Дата начала размещения Биржевых облигаций серии БO</w:t>
            </w:r>
            <w:r>
              <w:rPr>
                <w:b/>
                <w:bCs/>
                <w:i/>
                <w:iCs/>
              </w:rPr>
              <w:t xml:space="preserve">-</w:t>
            </w:r>
            <w:r>
              <w:rPr>
                <w:b/>
                <w:bCs/>
                <w:i/>
                <w:iCs/>
              </w:rPr>
              <w:t xml:space="preserve">21-</w:t>
            </w:r>
            <w:r>
              <w:rPr>
                <w:b/>
                <w:bCs/>
                <w:i/>
                <w:iCs/>
              </w:rPr>
              <w:t xml:space="preserve">002P  может быть перенесена (изменена). В случае принятия Эмитентом решения о переносе (об изменении) даты начала размещения Биржевых облигаций серии </w:t>
            </w:r>
            <w:r>
              <w:rPr>
                <w:b/>
                <w:bCs/>
                <w:i/>
                <w:iCs/>
              </w:rPr>
              <w:t xml:space="preserve">БO</w:t>
            </w:r>
            <w:r>
              <w:rPr>
                <w:b/>
                <w:bCs/>
                <w:i/>
                <w:iCs/>
              </w:rPr>
              <w:t xml:space="preserve">-</w:t>
            </w:r>
            <w:r>
              <w:rPr>
                <w:b/>
                <w:bCs/>
                <w:i/>
                <w:iCs/>
              </w:rPr>
              <w:t xml:space="preserve">21-</w:t>
            </w:r>
            <w:r>
              <w:rPr>
                <w:b/>
                <w:bCs/>
                <w:i/>
                <w:iCs/>
              </w:rPr>
              <w:t xml:space="preserve">002P, Эмитент обязан опубликовать сообщение об изменении даты начала размещения ценных </w:t>
            </w:r>
            <w:r>
              <w:rPr>
                <w:b/>
                <w:bCs/>
                <w:i/>
                <w:iCs/>
              </w:rPr>
              <w:t xml:space="preserve">бумаг в</w:t>
            </w:r>
            <w:r>
              <w:rPr>
                <w:b/>
                <w:bCs/>
                <w:i/>
                <w:iCs/>
              </w:rPr>
              <w:t xml:space="preserve"> соответствии с нормативными актами в сфере финансовых рынков в Ленте новостей и на странице в сети Интернет не позднее, чем </w:t>
            </w:r>
            <w:r>
              <w:rPr>
                <w:b/>
                <w:bCs/>
                <w:i/>
                <w:iCs/>
              </w:rPr>
              <w:t xml:space="preserve">за 1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i/>
              </w:rPr>
              <w:t xml:space="preserve">(Один) день до наступления даты начала размещения, указанной в п. 2.9 настоящего сообщения.</w:t>
            </w:r>
            <w:r>
              <w:rPr>
                <w:b/>
                <w:i/>
              </w:rPr>
            </w:r>
          </w:p>
          <w:p>
            <w:pPr>
              <w:ind w:left="602" w:hanging="568"/>
              <w:jc w:val="both"/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2.1</w:t>
            </w:r>
            <w:r>
              <w:rPr>
                <w:bCs/>
                <w:iCs/>
              </w:rPr>
              <w:t xml:space="preserve">1</w:t>
            </w:r>
            <w:r>
              <w:rPr>
                <w:bCs/>
                <w:iCs/>
              </w:rPr>
              <w:t xml:space="preserve">.</w:t>
            </w:r>
            <w:r>
              <w:rPr>
                <w:b/>
                <w:bCs/>
                <w:i/>
                <w:iCs/>
              </w:rPr>
              <w:t xml:space="preserve"> </w:t>
            </w:r>
            <w:r>
              <w:rPr>
                <w:b/>
                <w:bCs/>
                <w:i/>
                <w:iCs/>
              </w:rPr>
              <w:t xml:space="preserve"> </w:t>
            </w:r>
            <w:r>
              <w:rPr>
                <w:bCs/>
                <w:iCs/>
              </w:rPr>
              <w:t xml:space="preserve">Дата окончания размещения ценных бумаг или порядок ее определения:</w:t>
            </w:r>
            <w:r>
              <w:rPr>
                <w:bCs/>
                <w:i/>
                <w:iCs/>
              </w:rPr>
            </w:r>
          </w:p>
          <w:p>
            <w:pPr>
              <w:ind w:left="601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Датой окончания размещения Биржевых облигаций серии </w:t>
            </w:r>
            <w:r>
              <w:rPr>
                <w:b/>
                <w:bCs/>
                <w:i/>
                <w:iCs/>
              </w:rPr>
              <w:t xml:space="preserve">БO-</w:t>
            </w:r>
            <w:r>
              <w:rPr>
                <w:b/>
                <w:bCs/>
                <w:i/>
                <w:iCs/>
              </w:rPr>
              <w:t xml:space="preserve">21-</w:t>
            </w:r>
            <w:r>
              <w:rPr>
                <w:b/>
                <w:bCs/>
                <w:i/>
                <w:iCs/>
              </w:rPr>
              <w:t xml:space="preserve">002P</w:t>
            </w:r>
            <w:r>
              <w:rPr>
                <w:b/>
                <w:i/>
              </w:rPr>
              <w:t xml:space="preserve"> является     наиболее ранняя из следующих дат:</w:t>
            </w:r>
            <w:r>
              <w:rPr>
                <w:b/>
                <w:i/>
              </w:rPr>
            </w:r>
          </w:p>
          <w:p>
            <w:pPr>
              <w:ind w:left="601"/>
              <w:jc w:val="both"/>
              <w:tabs>
                <w:tab w:val="left" w:pos="601" w:leader="none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а) </w:t>
            </w:r>
            <w:r>
              <w:rPr>
                <w:b/>
                <w:i/>
              </w:rPr>
              <w:t xml:space="preserve">25</w:t>
            </w:r>
            <w:r>
              <w:rPr>
                <w:b/>
                <w:i/>
              </w:rPr>
              <w:t xml:space="preserve">-й (</w:t>
            </w:r>
            <w:r>
              <w:rPr>
                <w:b/>
                <w:i/>
              </w:rPr>
              <w:t xml:space="preserve">двадцать пятый)</w:t>
            </w:r>
            <w:r>
              <w:rPr>
                <w:b/>
                <w:i/>
              </w:rPr>
              <w:t xml:space="preserve"> день с даты начала размещения Биржевых облигаций</w:t>
            </w:r>
            <w:r>
              <w:rPr>
                <w:b/>
                <w:bCs/>
                <w:i/>
                <w:iCs/>
              </w:rPr>
              <w:t xml:space="preserve">           серии БO-</w:t>
            </w:r>
            <w:r>
              <w:rPr>
                <w:b/>
                <w:bCs/>
                <w:i/>
                <w:iCs/>
              </w:rPr>
              <w:t xml:space="preserve">21-</w:t>
            </w:r>
            <w:r>
              <w:rPr>
                <w:b/>
                <w:bCs/>
                <w:i/>
                <w:iCs/>
              </w:rPr>
              <w:t xml:space="preserve">002P</w:t>
            </w:r>
            <w:r>
              <w:rPr>
                <w:b/>
                <w:i/>
              </w:rPr>
              <w:t xml:space="preserve">;</w:t>
            </w:r>
            <w:r>
              <w:rPr>
                <w:b/>
                <w:i/>
              </w:rPr>
            </w:r>
          </w:p>
          <w:p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б) дата размещения последней Биржевой облигации </w:t>
            </w:r>
            <w:r>
              <w:rPr>
                <w:b/>
                <w:bCs/>
                <w:i/>
                <w:iCs/>
              </w:rPr>
              <w:t xml:space="preserve">серии БO-</w:t>
            </w:r>
            <w:r>
              <w:rPr>
                <w:b/>
                <w:bCs/>
                <w:i/>
                <w:iCs/>
              </w:rPr>
              <w:t xml:space="preserve">21-</w:t>
            </w:r>
            <w:r>
              <w:rPr>
                <w:b/>
                <w:bCs/>
                <w:i/>
                <w:iCs/>
              </w:rPr>
              <w:t xml:space="preserve">002P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</w:r>
          </w:p>
          <w:p>
            <w:pPr>
              <w:ind w:left="602" w:hanging="26"/>
              <w:jc w:val="both"/>
            </w:pPr>
            <w:r/>
            <w:r/>
          </w:p>
        </w:tc>
      </w:tr>
      <w:tr>
        <w:tblPrEx/>
        <w:trPr>
          <w:gridAfter w:val="2"/>
          <w:trHeight w:val="272"/>
        </w:trPr>
        <w:tc>
          <w:tcPr>
            <w:gridSpan w:val="2"/>
            <w:shd w:val="clear" w:color="auto" w:fill="auto"/>
            <w:tcW w:w="9498" w:type="dxa"/>
            <w:textDirection w:val="lrTb"/>
            <w:noWrap w:val="false"/>
          </w:tcPr>
          <w:p>
            <w:pPr>
              <w:jc w:val="center"/>
              <w:tabs>
                <w:tab w:val="left" w:pos="601" w:leader="none"/>
              </w:tabs>
            </w:pPr>
            <w:r/>
            <w:r/>
          </w:p>
          <w:p>
            <w:pPr>
              <w:jc w:val="center"/>
              <w:tabs>
                <w:tab w:val="left" w:pos="601" w:leader="none"/>
              </w:tabs>
            </w:pPr>
            <w:r>
              <w:t xml:space="preserve">3. </w:t>
            </w:r>
            <w:r>
              <w:t xml:space="preserve">Подпись</w:t>
            </w:r>
            <w:r/>
          </w:p>
        </w:tc>
      </w:tr>
      <w:tr>
        <w:tblPrEx/>
        <w:trPr>
          <w:gridAfter w:val="2"/>
          <w:trHeight w:val="1953"/>
        </w:trPr>
        <w:tc>
          <w:tcPr>
            <w:gridSpan w:val="2"/>
            <w:shd w:val="clear" w:color="auto" w:fill="auto"/>
            <w:tcW w:w="9498" w:type="dxa"/>
            <w:textDirection w:val="lrTb"/>
            <w:noWrap w:val="false"/>
          </w:tcPr>
          <w:p>
            <w:pPr>
              <w:pStyle w:val="646"/>
            </w:pPr>
            <w:r/>
            <w:r/>
          </w:p>
          <w:p>
            <w:pPr>
              <w:pStyle w:val="646"/>
              <w:tabs>
                <w:tab w:val="left" w:pos="426" w:leader="none"/>
              </w:tabs>
            </w:pPr>
            <w:r>
              <w:t xml:space="preserve">3.1. </w:t>
            </w:r>
            <w:r>
              <w:t xml:space="preserve">Директор Департамента по работе на рынках капитала</w:t>
            </w:r>
            <w:r>
              <w:tab/>
              <w:t xml:space="preserve">                   </w:t>
            </w:r>
            <w:r>
              <w:t xml:space="preserve">     </w:t>
            </w:r>
            <w:r>
              <w:t xml:space="preserve"> </w:t>
            </w:r>
            <w:r>
              <w:t xml:space="preserve">Д</w:t>
            </w:r>
            <w:r>
              <w:t xml:space="preserve">.В. </w:t>
            </w:r>
            <w:r>
              <w:t xml:space="preserve">Тулинов</w:t>
            </w:r>
            <w:r>
              <w:t xml:space="preserve"> </w:t>
            </w:r>
            <w:r/>
          </w:p>
          <w:p>
            <w:pPr>
              <w:pStyle w:val="646"/>
              <w:tabs>
                <w:tab w:val="left" w:pos="585" w:leader="none"/>
              </w:tabs>
            </w:pPr>
            <w:r>
              <w:t xml:space="preserve">       АО «</w:t>
            </w:r>
            <w:r>
              <w:t xml:space="preserve">Россельхозбанк</w:t>
            </w:r>
            <w:r>
              <w:t xml:space="preserve">»</w:t>
            </w:r>
            <w:r/>
          </w:p>
          <w:p>
            <w:pPr>
              <w:ind w:right="972"/>
              <w:tabs>
                <w:tab w:val="left" w:pos="570" w:leader="none"/>
              </w:tabs>
            </w:pPr>
            <w:r>
              <w:t xml:space="preserve">       (</w:t>
            </w:r>
            <w:r>
              <w:t xml:space="preserve">на основании доверенности от </w:t>
            </w:r>
            <w:r>
              <w:t xml:space="preserve">14.06.2023 № 577</w:t>
            </w:r>
            <w:r>
              <w:t xml:space="preserve">) </w:t>
            </w:r>
            <w:r/>
          </w:p>
          <w:p>
            <w:pPr>
              <w:pStyle w:val="646"/>
            </w:pPr>
            <w:r/>
            <w:r/>
          </w:p>
          <w:p>
            <w:pPr>
              <w:pStyle w:val="646"/>
            </w:pPr>
            <w:r>
              <w:t xml:space="preserve">3.2. Дата: </w:t>
            </w:r>
            <w:r>
              <w:t xml:space="preserve">28.11</w:t>
            </w:r>
            <w:r>
              <w:t xml:space="preserve">.2024</w:t>
            </w:r>
            <w:r/>
          </w:p>
          <w:p>
            <w:pPr>
              <w:pStyle w:val="646"/>
              <w:tabs>
                <w:tab w:val="left" w:pos="426" w:leader="none"/>
              </w:tabs>
            </w:pPr>
            <w:r/>
            <w:r/>
          </w:p>
        </w:tc>
      </w:tr>
    </w:tbl>
    <w:p>
      <w:pPr>
        <w:ind w:left="57"/>
        <w:jc w:val="center"/>
      </w:pPr>
      <w:r/>
      <w:r/>
    </w:p>
    <w:p>
      <w:pPr>
        <w:ind w:left="57"/>
        <w:jc w:val="center"/>
      </w:pPr>
      <w:r/>
      <w:r/>
    </w:p>
    <w:sectPr>
      <w:footnotePr/>
      <w:endnotePr/>
      <w:type w:val="nextPage"/>
      <w:pgSz w:w="11906" w:h="16838" w:orient="portrait"/>
      <w:pgMar w:top="567" w:right="1134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Blackadder ITC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. 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1081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4"/>
    <w:link w:val="649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  <w:rPr>
      <w:sz w:val="24"/>
      <w:szCs w:val="24"/>
    </w:rPr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 w:customStyle="1">
    <w:name w:val="Стиль1"/>
    <w:basedOn w:val="633"/>
    <w:rPr>
      <w:rFonts w:ascii="Blackadder ITC" w:hAnsi="Blackadder ITC"/>
      <w:b/>
      <w:sz w:val="40"/>
      <w:szCs w:val="40"/>
    </w:rPr>
  </w:style>
  <w:style w:type="character" w:styleId="638" w:customStyle="1">
    <w:name w:val="normaltext1"/>
    <w:rPr>
      <w:rFonts w:ascii="Tahoma" w:hAnsi="Tahoma" w:cs="Tahoma"/>
      <w:sz w:val="16"/>
      <w:szCs w:val="16"/>
    </w:rPr>
  </w:style>
  <w:style w:type="paragraph" w:styleId="639" w:customStyle="1">
    <w:name w:val="Normal Prefix"/>
    <w:pPr>
      <w:spacing w:before="200" w:after="40"/>
      <w:widowControl w:val="off"/>
    </w:pPr>
    <w:rPr>
      <w:sz w:val="22"/>
      <w:szCs w:val="22"/>
    </w:rPr>
  </w:style>
  <w:style w:type="paragraph" w:styleId="640">
    <w:name w:val="Body Text"/>
    <w:basedOn w:val="633"/>
    <w:rPr>
      <w:color w:val="000000"/>
      <w:sz w:val="22"/>
      <w:szCs w:val="18"/>
    </w:rPr>
  </w:style>
  <w:style w:type="character" w:styleId="641" w:customStyle="1">
    <w:name w:val="__SUBST"/>
    <w:rPr>
      <w:b/>
      <w:i/>
      <w:sz w:val="22"/>
    </w:rPr>
  </w:style>
  <w:style w:type="character" w:styleId="642">
    <w:name w:val="Strong"/>
    <w:qFormat/>
    <w:rPr>
      <w:rFonts w:cs="Times New Roman"/>
      <w:b/>
      <w:bCs/>
    </w:rPr>
  </w:style>
  <w:style w:type="character" w:styleId="643">
    <w:name w:val="annotation reference"/>
    <w:rPr>
      <w:rFonts w:cs="Times New Roman"/>
      <w:sz w:val="16"/>
      <w:szCs w:val="16"/>
    </w:rPr>
  </w:style>
  <w:style w:type="paragraph" w:styleId="644">
    <w:name w:val="annotation text"/>
    <w:basedOn w:val="633"/>
    <w:link w:val="645"/>
    <w:rPr>
      <w:sz w:val="20"/>
      <w:szCs w:val="20"/>
    </w:rPr>
  </w:style>
  <w:style w:type="character" w:styleId="645" w:customStyle="1">
    <w:name w:val="Текст примечания Знак"/>
    <w:link w:val="644"/>
    <w:rPr>
      <w:lang w:val="ru-RU" w:eastAsia="ru-RU" w:bidi="ar-SA"/>
    </w:rPr>
  </w:style>
  <w:style w:type="paragraph" w:styleId="646" w:customStyle="1">
    <w:name w:val="Default"/>
    <w:rPr>
      <w:color w:val="000000"/>
      <w:sz w:val="24"/>
      <w:szCs w:val="24"/>
    </w:rPr>
  </w:style>
  <w:style w:type="table" w:styleId="647">
    <w:name w:val="Table Grid"/>
    <w:basedOn w:val="63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48">
    <w:name w:val="Balloon Text"/>
    <w:basedOn w:val="633"/>
    <w:semiHidden/>
    <w:rPr>
      <w:rFonts w:ascii="Tahoma" w:hAnsi="Tahoma" w:cs="Tahoma"/>
      <w:sz w:val="16"/>
      <w:szCs w:val="16"/>
    </w:rPr>
  </w:style>
  <w:style w:type="paragraph" w:styleId="649">
    <w:name w:val="Title"/>
    <w:basedOn w:val="633"/>
    <w:qFormat/>
    <w:pPr>
      <w:jc w:val="center"/>
    </w:pPr>
    <w:rPr>
      <w:b/>
      <w:bCs/>
      <w:szCs w:val="28"/>
    </w:rPr>
  </w:style>
  <w:style w:type="paragraph" w:styleId="650">
    <w:name w:val="Body Text 2"/>
    <w:basedOn w:val="633"/>
    <w:pPr>
      <w:spacing w:after="120" w:line="480" w:lineRule="auto"/>
    </w:pPr>
  </w:style>
  <w:style w:type="paragraph" w:styleId="651" w:customStyle="1">
    <w:name w:val="_SUBST"/>
    <w:basedOn w:val="633"/>
    <w:rPr>
      <w:b/>
      <w:i/>
      <w:color w:val="000000"/>
      <w:sz w:val="22"/>
    </w:rPr>
  </w:style>
  <w:style w:type="paragraph" w:styleId="652">
    <w:name w:val="Body Text 3"/>
    <w:basedOn w:val="633"/>
    <w:link w:val="653"/>
    <w:pPr>
      <w:spacing w:after="120"/>
    </w:pPr>
    <w:rPr>
      <w:sz w:val="16"/>
      <w:szCs w:val="16"/>
    </w:rPr>
  </w:style>
  <w:style w:type="character" w:styleId="653" w:customStyle="1">
    <w:name w:val="Основной текст 3 Знак"/>
    <w:link w:val="652"/>
    <w:rPr>
      <w:sz w:val="16"/>
      <w:szCs w:val="16"/>
    </w:rPr>
  </w:style>
  <w:style w:type="character" w:styleId="654">
    <w:name w:val="Hyperlink"/>
    <w:rPr>
      <w:color w:val="0000ff"/>
      <w:u w:val="single"/>
    </w:rPr>
  </w:style>
  <w:style w:type="paragraph" w:styleId="655">
    <w:name w:val="List Paragraph"/>
    <w:basedOn w:val="633"/>
    <w:uiPriority w:val="34"/>
    <w:qFormat/>
    <w:pPr>
      <w:ind w:left="708"/>
    </w:pPr>
  </w:style>
  <w:style w:type="paragraph" w:styleId="656">
    <w:name w:val="annotation subject"/>
    <w:basedOn w:val="644"/>
    <w:next w:val="644"/>
    <w:link w:val="657"/>
    <w:rPr>
      <w:b/>
      <w:bCs/>
    </w:rPr>
  </w:style>
  <w:style w:type="character" w:styleId="657" w:customStyle="1">
    <w:name w:val="Тема примечания Знак"/>
    <w:basedOn w:val="645"/>
    <w:link w:val="656"/>
    <w:rPr>
      <w:b/>
      <w:bCs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7D4D-AA9E-4294-8143-FA8632A7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ОАО "Россельхозбанк"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Muradjan</dc:creator>
  <cp:revision>35</cp:revision>
  <dcterms:created xsi:type="dcterms:W3CDTF">2023-02-03T07:43:00Z</dcterms:created>
  <dcterms:modified xsi:type="dcterms:W3CDTF">2024-11-28T11:39:27Z</dcterms:modified>
</cp:coreProperties>
</file>