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899"/>
      </w:tblGrid>
      <w:tr>
        <w:tblPrEx/>
        <w:trPr>
          <w:jc w:val="center"/>
          <w:trHeight w:val="114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1142"/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pPr>
            <w:r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r>
            <w:r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r>
            <w:r>
              <w:rPr>
                <w:rFonts w:ascii="Cambria" w:hAnsi="Cambria" w:cs="Cambria"/>
                <w:caps/>
                <w:sz w:val="32"/>
                <w:szCs w:val="32"/>
                <w:lang w:val="en-US"/>
              </w:rPr>
            </w:r>
          </w:p>
          <w:p>
            <w:pPr>
              <w:pStyle w:val="1142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ЛИПЕЦКИЙ РЕГИОНАЛЬНЫЙ ФИЛИАЛ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  <w:p>
            <w:pPr>
              <w:pStyle w:val="1142"/>
              <w:jc w:val="center"/>
              <w:rPr>
                <w:rFonts w:ascii="Cambria" w:hAnsi="Cambria" w:cs="Cambria"/>
                <w:caps/>
                <w:sz w:val="32"/>
                <w:szCs w:val="32"/>
              </w:rPr>
            </w:pP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 </w:t>
            </w:r>
            <w:r>
              <w:rPr>
                <w:rFonts w:ascii="Cambria" w:hAnsi="Cambria" w:cs="Cambria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  <w:r>
              <w:rPr>
                <w:rFonts w:ascii="Cambria" w:hAnsi="Cambria" w:cs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26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  <w:p>
            <w:pPr>
              <w:pStyle w:val="1142"/>
              <w:jc w:val="center"/>
              <w:rPr>
                <w:rFonts w:ascii="Cambria" w:hAnsi="Cambria" w:cs="Cambria"/>
                <w:sz w:val="36"/>
                <w:szCs w:val="36"/>
              </w:rPr>
            </w:pPr>
            <w:r>
              <w:rPr>
                <w:rFonts w:ascii="Cambria" w:hAnsi="Cambria" w:cs="Cambria"/>
                <w:sz w:val="36"/>
                <w:szCs w:val="36"/>
              </w:rPr>
              <w:t xml:space="preserve">ТАРИФЫ КОМИССИОННОГО ВОЗНАГРАЖДЕН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ИЯ НА УСЛУГИ ЮРИДИЧЕСКИМ ЛИЦАМ, СУБЪЕКТАМ РОССИЙСКОЙ ФЕДЕРАЦИИ, МУНИЦИПАЛЬНЫМ ОБРАЗОВАНИЯМ, 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ИНДИВИДУАЛЬНЫМ ПРЕДПРИНИМАТЕЛЯМ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 И ФИЗИЧЕСКИМ ЛИЦАМ, ЗАНИМАЮЩИМСЯ В УСТАНОВЛЕННОМ ЗАКОНОДАТЕЛЬСТВОМ РФ ПОРЯДКЕ ЧАСТНОЙ ПРАКТИКОЙ</w:t>
            </w:r>
            <w:r>
              <w:rPr>
                <w:rFonts w:ascii="Cambria" w:hAnsi="Cambria" w:cs="Cambria"/>
                <w:sz w:val="36"/>
                <w:szCs w:val="36"/>
              </w:rPr>
              <w:t xml:space="preserve">*</w:t>
            </w:r>
            <w:r>
              <w:rPr>
                <w:rFonts w:ascii="Cambria" w:hAnsi="Cambria" w:cs="Cambria"/>
                <w:sz w:val="36"/>
                <w:szCs w:val="36"/>
              </w:rPr>
            </w:r>
            <w:r>
              <w:rPr>
                <w:rFonts w:ascii="Cambria" w:hAnsi="Cambria" w:cs="Cambria"/>
                <w:sz w:val="36"/>
                <w:szCs w:val="36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</w:pPr>
            <w:r/>
            <w:r/>
          </w:p>
        </w:tc>
      </w:tr>
      <w:tr>
        <w:tblPrEx/>
        <w:trPr>
          <w:jc w:val="center"/>
          <w:trHeight w:val="178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142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действуют с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17.</w:t>
            </w:r>
            <w:r>
              <w:rPr>
                <w:sz w:val="32"/>
                <w:szCs w:val="32"/>
                <w:lang w:val="en-US"/>
              </w:rPr>
              <w:t xml:space="preserve">08</w:t>
            </w:r>
            <w:r>
              <w:rPr>
                <w:sz w:val="32"/>
                <w:szCs w:val="32"/>
              </w:rPr>
              <w:t xml:space="preserve">.</w:t>
            </w:r>
            <w:r>
              <w:rPr>
                <w:sz w:val="32"/>
                <w:szCs w:val="32"/>
              </w:rPr>
              <w:t xml:space="preserve">20</w:t>
            </w:r>
            <w:r>
              <w:rPr>
                <w:sz w:val="32"/>
                <w:szCs w:val="32"/>
              </w:rPr>
              <w:t xml:space="preserve">2</w:t>
            </w:r>
            <w:r>
              <w:rPr>
                <w:sz w:val="32"/>
                <w:szCs w:val="32"/>
                <w:lang w:val="en-US"/>
              </w:rPr>
              <w:t xml:space="preserve">5</w:t>
            </w:r>
            <w:r>
              <w:rPr>
                <w:sz w:val="32"/>
                <w:szCs w:val="32"/>
                <w:lang w:val="en-US"/>
              </w:rPr>
            </w:r>
            <w:r>
              <w:rPr>
                <w:sz w:val="32"/>
                <w:szCs w:val="32"/>
                <w:lang w:val="en-US"/>
              </w:rPr>
            </w:r>
          </w:p>
        </w:tc>
      </w:tr>
    </w:tbl>
    <w:p>
      <w:pPr>
        <w:ind w:left="6372" w:right="-54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left="6372" w:right="-5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6372" w:right="-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92"/>
        <w:gridCol w:w="5797"/>
      </w:tblGrid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Департамент транзакционного бизнеса и цифровых каналов продаж МСБ и микробизнеса (ДТБЦКПМСБиМ)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851"/>
        </w:trPr>
        <w:tc>
          <w:tcPr>
            <w:shd w:val="clear" w:color="auto" w:fill="auto"/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</w:pPr>
            <w:r>
              <w:t xml:space="preserve">Департамент транзакционного бизнеса (ДТБ)</w:t>
            </w:r>
            <w:r/>
          </w:p>
        </w:tc>
      </w:tr>
    </w:tbl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</w:rPr>
        <w:t xml:space="preserve">от *Настоящие Тарифы устанавливают размеры комиссионного вознаграждения на услуги АО «Россельхозбанк», оказываемые физическим лицам, занимающимся в установленном законодательством Российской Федерации порядке частной практикой.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right="-5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69745" cy="1210945"/>
                <wp:effectExtent l="0" t="0" r="1905" b="825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6974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9.35pt;height:95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r/>
      <w:r/>
    </w:p>
    <w:p>
      <w:pPr>
        <w:pStyle w:val="1144"/>
        <w:rPr>
          <w:rFonts w:ascii="Calibri" w:hAnsi="Calibri"/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\o "1-1" \h \z \u </w:instrText>
      </w:r>
      <w:r>
        <w:rPr>
          <w:szCs w:val="22"/>
        </w:rPr>
        <w:fldChar w:fldCharType="separate"/>
      </w:r>
      <w:hyperlink w:tooltip="#_Toc490219969" w:anchor="_Toc490219969" w:history="1">
        <w:r>
          <w:rPr>
            <w:rStyle w:val="1143"/>
          </w:rPr>
          <w:t xml:space="preserve">1. Открытие и ведение счетов</w:t>
        </w:r>
        <w:r>
          <w:tab/>
        </w:r>
        <w:r>
          <w:fldChar w:fldCharType="begin"/>
        </w:r>
        <w:r>
          <w:instrText xml:space="preserve"> PAGEREF _Toc490219969 \h </w:instrText>
        </w:r>
        <w:r>
          <w:fldChar w:fldCharType="separate"/>
        </w:r>
        <w:r>
          <w:t xml:space="preserve">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0" w:anchor="_Toc490219970" w:history="1">
        <w:r>
          <w:rPr>
            <w:rStyle w:val="1143"/>
          </w:rPr>
          <w:t xml:space="preserve">2. Кассовые операции*</w:t>
        </w:r>
        <w:r>
          <w:tab/>
        </w:r>
        <w:r>
          <w:fldChar w:fldCharType="begin"/>
        </w:r>
        <w:r>
          <w:instrText xml:space="preserve"> PAGEREF _Toc490219970 \h </w:instrText>
        </w:r>
        <w:r>
          <w:fldChar w:fldCharType="separate"/>
        </w:r>
        <w:r>
          <w:t xml:space="preserve">23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1" w:anchor="_Toc490219971" w:history="1">
        <w:r>
          <w:rPr>
            <w:rStyle w:val="1143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_Toc490219971 \h </w:instrText>
        </w:r>
        <w:r>
          <w:fldChar w:fldCharType="separate"/>
        </w:r>
        <w:r>
          <w:t xml:space="preserve">27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2" w:anchor="_Toc490219972" w:history="1">
        <w:r>
          <w:rPr>
            <w:rStyle w:val="1143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_Toc490219972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3" w:anchor="_Toc490219973" w:history="1">
        <w:r>
          <w:rPr>
            <w:rStyle w:val="1143"/>
          </w:rPr>
          <w:t xml:space="preserve">5. Документарные операции</w:t>
        </w:r>
        <w:r>
          <w:tab/>
        </w:r>
        <w:r>
          <w:fldChar w:fldCharType="begin"/>
        </w:r>
        <w:r>
          <w:instrText xml:space="preserve"> PAGEREF _Toc490219973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4" w:anchor="_Toc490219974" w:history="1">
        <w:r>
          <w:rPr>
            <w:rStyle w:val="1143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_Toc490219974 \h </w:instrText>
        </w:r>
        <w:r>
          <w:fldChar w:fldCharType="separate"/>
        </w:r>
        <w:r>
          <w:t xml:space="preserve">41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5" w:anchor="_Toc490219975" w:history="1">
        <w:r>
          <w:rPr>
            <w:rStyle w:val="1143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_Toc490219975 \h </w:instrText>
        </w:r>
        <w:r>
          <w:fldChar w:fldCharType="separate"/>
        </w:r>
        <w:r>
          <w:t xml:space="preserve">44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6" w:anchor="_Toc490219976" w:history="1">
        <w:r>
          <w:rPr>
            <w:rStyle w:val="1143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_Toc490219976 \h </w:instrText>
        </w:r>
        <w:r>
          <w:fldChar w:fldCharType="separate"/>
        </w:r>
        <w:r>
          <w:t xml:space="preserve">49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7" w:anchor="_Toc490219977" w:history="1">
        <w:r>
          <w:rPr>
            <w:rStyle w:val="1143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_Toc490219977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8" w:anchor="_Toc490219978" w:history="1">
        <w:r>
          <w:rPr>
            <w:rStyle w:val="1143"/>
          </w:rPr>
          <w:t xml:space="preserve">10. Услуги инкассации </w:t>
        </w:r>
        <w:r>
          <w:tab/>
        </w:r>
        <w:r>
          <w:fldChar w:fldCharType="begin"/>
        </w:r>
        <w:r>
          <w:instrText xml:space="preserve"> PAGEREF _Toc490219978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79" w:anchor="_Toc490219979" w:history="1">
        <w:r>
          <w:rPr>
            <w:rStyle w:val="1143"/>
          </w:rPr>
          <w:t xml:space="preserve">11. Операции по покупке-продаже иностранной валюты</w:t>
        </w:r>
        <w:r>
          <w:tab/>
        </w:r>
        <w:r>
          <w:fldChar w:fldCharType="begin"/>
        </w:r>
        <w:r>
          <w:instrText xml:space="preserve"> PAGEREF _Toc490219979 \h </w:instrText>
        </w:r>
        <w:r>
          <w:fldChar w:fldCharType="separate"/>
        </w:r>
        <w:r>
          <w:t xml:space="preserve">51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0" w:anchor="_Toc490219980" w:history="1">
        <w:r>
          <w:rPr>
            <w:rStyle w:val="1143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_Toc490219980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1" w:anchor="_Toc490219981" w:history="1">
        <w:r>
          <w:rPr>
            <w:rStyle w:val="1143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_Toc490219981 \h </w:instrText>
        </w:r>
        <w:r>
          <w:fldChar w:fldCharType="separate"/>
        </w:r>
        <w:r>
          <w:t xml:space="preserve">65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Fonts w:ascii="Calibri" w:hAnsi="Calibri"/>
          <w:szCs w:val="22"/>
        </w:rPr>
      </w:pPr>
      <w:r/>
      <w:hyperlink w:tooltip="#_Toc490219982" w:anchor="_Toc490219982" w:history="1">
        <w:r>
          <w:rPr>
            <w:rStyle w:val="1143"/>
          </w:rPr>
          <w:t xml:space="preserve">14. Депозитарные услуги</w:t>
        </w:r>
        <w:r>
          <w:tab/>
        </w:r>
        <w:r>
          <w:fldChar w:fldCharType="begin"/>
        </w:r>
        <w:r>
          <w:instrText xml:space="preserve"> PAGEREF _Toc490219982 \h </w:instrText>
        </w:r>
        <w:r>
          <w:fldChar w:fldCharType="separate"/>
        </w:r>
        <w:r>
          <w:t xml:space="preserve">67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15. Операции с монетами из драгоценных металлов.</w:t>
        </w:r>
        <w:r>
          <w:tab/>
          <w:t xml:space="preserve">40</w:t>
        </w:r>
      </w:hyperlink>
      <w:r>
        <w:rPr>
          <w:rStyle w:val="1143"/>
        </w:rPr>
      </w:r>
      <w:r>
        <w:rPr>
          <w:rStyle w:val="1143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</w:t>
        </w:r>
        <w:r>
          <w:rPr>
            <w:rStyle w:val="1143"/>
          </w:rPr>
          <w:t xml:space="preserve">6</w:t>
        </w:r>
        <w:r>
          <w:rPr>
            <w:rStyle w:val="1143"/>
          </w:rPr>
          <w:t xml:space="preserve">. Операции с </w:t>
        </w:r>
        <w:r>
          <w:rPr>
            <w:rStyle w:val="1143"/>
          </w:rPr>
          <w:t xml:space="preserve">драгоценными металлами</w:t>
        </w:r>
        <w:r>
          <w:rPr>
            <w:rStyle w:val="1143"/>
          </w:rPr>
          <w:t xml:space="preserve">.</w:t>
        </w:r>
        <w:r>
          <w:tab/>
          <w:t xml:space="preserve">40</w:t>
        </w:r>
      </w:hyperlink>
      <w:r>
        <w:rPr>
          <w:rStyle w:val="1143"/>
        </w:rPr>
      </w:r>
      <w:r>
        <w:rPr>
          <w:rStyle w:val="1143"/>
        </w:rPr>
      </w:r>
    </w:p>
    <w:p>
      <w:pPr>
        <w:pStyle w:val="1144"/>
        <w:rPr>
          <w:rStyle w:val="1143"/>
        </w:rPr>
      </w:pPr>
      <w:r/>
      <w:hyperlink w:tooltip="#_Toc490219983" w:anchor="_Toc490219983" w:history="1">
        <w:r>
          <w:rPr>
            <w:rStyle w:val="1143"/>
          </w:rPr>
          <w:t xml:space="preserve">1</w:t>
        </w:r>
        <w:r>
          <w:rPr>
            <w:rStyle w:val="1143"/>
          </w:rPr>
          <w:t xml:space="preserve">7</w:t>
        </w:r>
        <w:r>
          <w:rPr>
            <w:rStyle w:val="1143"/>
          </w:rPr>
          <w:t xml:space="preserve">. </w:t>
        </w:r>
        <w:r>
          <w:rPr>
            <w:rStyle w:val="1143"/>
          </w:rPr>
          <w:t xml:space="preserve">Обслуживание с использованием Торговой системы РСХБ-Дилинг АО «Россельхозбагк»</w:t>
        </w:r>
        <w:r>
          <w:rPr>
            <w:rStyle w:val="1143"/>
          </w:rPr>
          <w:t xml:space="preserve">.</w:t>
        </w:r>
        <w:r>
          <w:tab/>
          <w:t xml:space="preserve">42</w:t>
        </w:r>
      </w:hyperlink>
      <w:r>
        <w:rPr>
          <w:rStyle w:val="1143"/>
        </w:rPr>
      </w:r>
      <w:r>
        <w:rPr>
          <w:rStyle w:val="1143"/>
        </w:rPr>
      </w:r>
    </w:p>
    <w:p>
      <w:r/>
      <w:r/>
    </w:p>
    <w:p>
      <w:r>
        <w:rPr>
          <w:sz w:val="22"/>
          <w:szCs w:val="22"/>
        </w:rPr>
        <w:fldChar w:fldCharType="end"/>
      </w:r>
      <w:r>
        <w:rPr>
          <w:b w:val="0"/>
          <w:bCs w:val="0"/>
          <w:lang w:val="en-US"/>
        </w:rPr>
      </w:r>
      <w:r/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  <w:r>
        <w:rPr>
          <w:b w:val="0"/>
          <w:bCs w:val="0"/>
          <w:lang w:val="en-US"/>
        </w:rPr>
      </w:r>
    </w:p>
    <w:p>
      <w:pPr>
        <w:pStyle w:val="1103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t xml:space="preserve">Обслуживание с использованием Торговой системы</w:t>
      </w:r>
      <w:r>
        <w:rPr>
          <w:b w:val="0"/>
          <w:bCs w:val="0"/>
        </w:rPr>
        <w:br/>
        <w:t xml:space="preserve"> РСХБ-Дилинг АО «Россельхозбанк»</w:t>
      </w:r>
      <w:r>
        <w:br w:type="page" w:clear="all"/>
      </w:r>
      <w:bookmarkStart w:id="1" w:name="_Toc490219969"/>
      <w:r>
        <w:rPr>
          <w:sz w:val="24"/>
          <w:szCs w:val="24"/>
        </w:rPr>
        <w:t xml:space="preserve">1. Открытие и ведение счетов</w:t>
      </w:r>
      <w:bookmarkEnd w:id="1"/>
      <w:r>
        <w:rPr>
          <w:bCs w:val="0"/>
          <w:sz w:val="24"/>
          <w:szCs w:val="24"/>
        </w:rPr>
      </w:r>
      <w:r>
        <w:rPr>
          <w:bCs w:val="0"/>
          <w:sz w:val="24"/>
          <w:szCs w:val="24"/>
        </w:rPr>
      </w:r>
    </w:p>
    <w:tbl>
      <w:tblPr>
        <w:tblW w:w="101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719"/>
        <w:gridCol w:w="1985"/>
        <w:gridCol w:w="329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1.1. Открытие и ведение счетов в рублях Российской Федерации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 Без взимания комиссии в Банке открываются и обслуживаются: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бюджетные счета (счета, открываемые на балансовых позициях 401-404);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бюджетных учреждений/казенных учреждений/автономных учреждений;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депозитные счета нотариусов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головного исполнителя;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отдельные счета исполнителя государственного оборонного заказа;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публичные депозитные счета;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специальные счета участника закупки для обеспечения заявок на участие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конкурсах и аукционах;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счета эскроу для расчетов по договору участия в долевом строительстве.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Применяется при предоставлении услуг, указанных в разделе 1 «Открытие и ведение счетов» настоящих тарифов.».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эквайринга и 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переходе на обслуживание из другого подраз</w:t>
            </w:r>
            <w:r>
              <w:rPr>
                <w:sz w:val="20"/>
                <w:szCs w:val="20"/>
              </w:rPr>
              <w:t xml:space="preserve">деления Банка </w:t>
            </w:r>
            <w:r>
              <w:rPr>
                <w:sz w:val="20"/>
                <w:szCs w:val="20"/>
              </w:rPr>
              <w:t xml:space="preserve">и предъявле</w:t>
            </w:r>
            <w:r>
              <w:rPr>
                <w:sz w:val="20"/>
                <w:szCs w:val="20"/>
              </w:rPr>
              <w:t xml:space="preserve">нии клиентом Уведом</w:t>
            </w:r>
            <w:r>
              <w:rPr>
                <w:sz w:val="20"/>
                <w:szCs w:val="20"/>
              </w:rPr>
              <w:t xml:space="preserve">ления о закрытии счета в подраз</w:t>
            </w:r>
            <w:r>
              <w:rPr>
                <w:sz w:val="20"/>
                <w:szCs w:val="20"/>
              </w:rPr>
              <w:t xml:space="preserve">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для формирования фонда капитального ремонта в рамках требований Жилищного кодекса РФ от 29.12.2004 №188-ФЗ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</w:t>
            </w:r>
            <w:r>
              <w:rPr>
                <w:sz w:val="20"/>
                <w:szCs w:val="20"/>
              </w:rPr>
              <w:t xml:space="preserve">открываемого организациям, на которые возлагается исполнение обязанностей  опекунов 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</w:t>
            </w:r>
            <w:r>
              <w:rPr>
                <w:sz w:val="20"/>
                <w:szCs w:val="20"/>
              </w:rPr>
              <w:t xml:space="preserve">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sz w:val="20"/>
                <w:szCs w:val="20"/>
              </w:rPr>
              <w:t xml:space="preserve">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эквайринга, заключенного с АО 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07"/>
              <w:jc w:val="center"/>
              <w:spacing w:before="40"/>
              <w:rPr>
                <w:b w:val="0"/>
                <w:bCs w:val="0"/>
                <w:iCs/>
                <w:sz w:val="20"/>
                <w:szCs w:val="20"/>
              </w:rPr>
            </w:pPr>
            <w:r>
              <w:rPr>
                <w:b w:val="0"/>
                <w:bCs w:val="0"/>
                <w:iCs/>
                <w:sz w:val="20"/>
                <w:szCs w:val="20"/>
              </w:rPr>
              <w:t xml:space="preserve">Не взимается</w:t>
            </w:r>
            <w:r>
              <w:rPr>
                <w:b w:val="0"/>
                <w:bCs w:val="0"/>
                <w:iCs/>
                <w:sz w:val="20"/>
                <w:szCs w:val="20"/>
              </w:rPr>
            </w:r>
            <w:r>
              <w:rPr>
                <w:b w:val="0"/>
                <w:bCs w:val="0"/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</w:t>
            </w:r>
            <w:r>
              <w:rPr>
                <w:sz w:val="20"/>
                <w:szCs w:val="20"/>
              </w:rPr>
              <w:t xml:space="preserve">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</w:rPr>
              <w:t xml:space="preserve">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</w:t>
            </w:r>
            <w:r>
              <w:rPr>
                <w:bCs/>
                <w:sz w:val="20"/>
                <w:szCs w:val="20"/>
              </w:rPr>
              <w:t xml:space="preserve">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</w:rPr>
              <w:br/>
              <w:t xml:space="preserve">на распоряжение </w:t>
            </w:r>
            <w:r>
              <w:rPr>
                <w:sz w:val="20"/>
                <w:szCs w:val="20"/>
              </w:rPr>
              <w:t xml:space="preserve">денежными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средствами по счету».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в Банке действующего договора о выпуске и </w:t>
            </w:r>
            <w:r>
              <w:rPr>
                <w:sz w:val="20"/>
                <w:szCs w:val="20"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  <w:r>
              <w:rPr>
                <w:b w:val="0"/>
                <w:i w:val="0"/>
                <w:iCs w:val="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1.1.5.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</w:pPr>
            <w:r/>
            <w:r/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</w:t>
            </w:r>
            <w:r>
              <w:rPr>
                <w:sz w:val="20"/>
                <w:szCs w:val="20"/>
              </w:rPr>
              <w:t xml:space="preserve">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</w:t>
            </w:r>
            <w:r>
              <w:rPr>
                <w:sz w:val="20"/>
                <w:szCs w:val="20"/>
              </w:rPr>
              <w:t xml:space="preserve">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</w:t>
            </w:r>
            <w:r>
              <w:rPr>
                <w:rFonts w:eastAsia="Calibri"/>
                <w:sz w:val="20"/>
                <w:szCs w:val="20"/>
              </w:rPr>
              <w:t xml:space="preserve">ткрытые в АО «Россельхозбанк»: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17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«Открытые в других кредитных организациях на территории Российской Федерации:».</w:t>
            </w:r>
            <w:r>
              <w:rPr>
                <w:bCs/>
                <w:sz w:val="20"/>
                <w:szCs w:val="20"/>
                <w:highlight w:val="white"/>
              </w:rPr>
              <w:t xml:space="preserve">:</w:t>
            </w:r>
            <w:r>
              <w:rPr>
                <w:bCs/>
                <w:sz w:val="20"/>
                <w:szCs w:val="20"/>
                <w:highlight w:val="white"/>
              </w:rPr>
              <w:t xml:space="preserve">%ТИЩЕНКО%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165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до 100 млн.руб. (включительно)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сумма платежа свыше 100 млн.руб.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</w:t>
            </w:r>
            <w:r>
              <w:rPr>
                <w:bCs/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1.1.5.3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закрытии счета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связи с реализацией АО «Россельхозбанк» права расторжения договора банковского счета в соответствии с требованиями законодательства Российской Федерации.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-отправленный в пользу третьих лиц при закрытии счета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 остатка средств на счете»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</w:t>
            </w:r>
            <w:r>
              <w:rPr>
                <w:rFonts w:eastAsia="Calibri"/>
                <w:sz w:val="20"/>
                <w:szCs w:val="20"/>
              </w:rPr>
              <w:t xml:space="preserve">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</w:t>
            </w:r>
            <w:r>
              <w:rPr>
                <w:sz w:val="20"/>
                <w:szCs w:val="20"/>
              </w:rPr>
              <w:t xml:space="preserve">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«Россельхозбанк»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</w:t>
            </w:r>
            <w:r>
              <w:rPr>
                <w:sz w:val="20"/>
                <w:szCs w:val="20"/>
              </w:rPr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b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1.1.7.1.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</w:t>
            </w:r>
            <w:r>
              <w:rPr>
                <w:iCs/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 согласованию сторон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vAlign w:val="center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«Перевод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организациях».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150 000,01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свыше 5 000 000,00 руб.»</w:t>
            </w:r>
            <w:r>
              <w:rPr>
                <w:sz w:val="20"/>
                <w:highlight w:val="yellow"/>
              </w:rPr>
            </w:r>
            <w:r>
              <w:rPr>
                <w:sz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на счета кредитных организаций с балансовой позицией </w:t>
            </w:r>
            <w:r>
              <w:rPr>
                <w:sz w:val="20"/>
                <w:szCs w:val="20"/>
              </w:rPr>
              <w:t xml:space="preserve">30102, 30109, 30232, 30301, 30302, 47422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для</w:t>
            </w:r>
            <w:r>
              <w:rPr>
                <w:iCs/>
                <w:sz w:val="20"/>
                <w:szCs w:val="20"/>
              </w:rPr>
              <w:t xml:space="preserve"> последующего зачисления денежных средств на счета физических лиц.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 «Россельхозбанк»);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Пункт 2 настоящего примечани</w:t>
            </w:r>
            <w:r>
              <w:rPr>
                <w:iCs/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iCs/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в благотворительных целях (при наличии решения АО «Россельхозбанк» о приеме и перечислении переводов денежных средств в пользу конкретных физических лиц).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</w:t>
            </w:r>
            <w:r>
              <w:rPr>
                <w:iCs/>
                <w:sz w:val="20"/>
                <w:szCs w:val="20"/>
              </w:rPr>
              <w:t xml:space="preserve">лиц согласно условиям отдельных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Для </w:t>
            </w:r>
            <w:r>
              <w:rPr>
                <w:iCs/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iCs/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ind w:left="34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</w:t>
            </w:r>
            <w:r>
              <w:rPr>
                <w:bCs/>
                <w:sz w:val="20"/>
                <w:szCs w:val="20"/>
              </w:rPr>
              <w:t xml:space="preserve">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i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каждому платежу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платежам внутри  </w:t>
            </w:r>
            <w:r>
              <w:rPr>
                <w:bCs/>
                <w:sz w:val="20"/>
                <w:szCs w:val="20"/>
              </w:rPr>
              <w:t xml:space="preserve">АО «Россельхозбанк» производится бесплатно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2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4"/>
              <w:spacing w:before="120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1.1.12.1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</w:t>
            </w:r>
            <w:r>
              <w:t xml:space="preserve">» ИНН 9718083320</w:t>
            </w:r>
            <w:r>
              <w:t xml:space="preserve">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150</w:t>
            </w:r>
            <w:r>
              <w:rPr>
                <w:bCs/>
                <w:sz w:val="20"/>
                <w:szCs w:val="20"/>
              </w:rPr>
              <w:t xml:space="preserve">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каждый </w:t>
            </w:r>
            <w:r>
              <w:rPr>
                <w:bCs/>
                <w:sz w:val="20"/>
                <w:szCs w:val="20"/>
              </w:rPr>
              <w:t xml:space="preserve">расчетный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</w:t>
            </w:r>
            <w:r>
              <w:rPr>
                <w:sz w:val="20"/>
                <w:szCs w:val="20"/>
              </w:rPr>
              <w:t xml:space="preserve">кте 1.1.5 Тарифов,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8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1.1.1</w:t>
            </w:r>
            <w:r>
              <w:rPr>
                <w:bCs/>
                <w:sz w:val="20"/>
                <w:szCs w:val="20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</w:t>
            </w:r>
            <w:r>
              <w:rPr>
                <w:bCs/>
                <w:sz w:val="20"/>
                <w:szCs w:val="20"/>
              </w:rPr>
              <w:t xml:space="preserve"> без дополнительного распоряжения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81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18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bCs/>
                <w:sz w:val="20"/>
                <w:szCs w:val="20"/>
              </w:rPr>
              <w:t xml:space="preserve">каждое дополнительное соглашение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заключи</w:t>
            </w:r>
            <w:r>
              <w:rPr>
                <w:sz w:val="20"/>
                <w:szCs w:val="20"/>
              </w:rPr>
              <w:t xml:space="preserve">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356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bCs/>
                <w:sz w:val="20"/>
                <w:szCs w:val="20"/>
                <w:u w:val="single"/>
              </w:rPr>
            </w:r>
            <w:r>
              <w:rPr>
                <w:b/>
                <w:bCs/>
                <w:sz w:val="20"/>
                <w:szCs w:val="20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97" w:type="dxa"/>
            <w:vMerge w:val="restar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</w:t>
            </w:r>
            <w:r>
              <w:rPr>
                <w:sz w:val="20"/>
                <w:szCs w:val="20"/>
              </w:rPr>
              <w:t xml:space="preserve">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</w:t>
            </w:r>
            <w:r>
              <w:rPr>
                <w:bCs/>
                <w:sz w:val="20"/>
                <w:szCs w:val="20"/>
              </w:rPr>
              <w:t xml:space="preserve">использовании клиентом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приостановления Банком использования Клиентом системы</w:t>
            </w:r>
            <w:r>
              <w:rPr>
                <w:bCs/>
                <w:sz w:val="20"/>
                <w:szCs w:val="20"/>
              </w:rPr>
              <w:t xml:space="preserve">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</w:t>
            </w:r>
            <w:r>
              <w:rPr>
                <w:bCs/>
                <w:sz w:val="20"/>
                <w:szCs w:val="20"/>
              </w:rPr>
              <w:t xml:space="preserve">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отсутствии операций по счету в течение календарного месяца, но не более 6 (шести) календарных месяцев подряд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7 (седьмого) календарного месяца при отсутствии операций по счету комиссия взимается в установленном размере согласно п. 1.2.3, но</w:t>
            </w:r>
            <w:r>
              <w:rPr>
                <w:bCs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</w:t>
            </w:r>
            <w:r>
              <w:rPr>
                <w:sz w:val="20"/>
                <w:szCs w:val="20"/>
              </w:rPr>
              <w:t xml:space="preserve">евро</w:t>
            </w:r>
            <w:r>
              <w:rPr>
                <w:sz w:val="20"/>
                <w:szCs w:val="20"/>
              </w:rPr>
              <w:t xml:space="preserve">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2750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на расчетн</w:t>
            </w:r>
            <w:r>
              <w:rPr>
                <w:bCs/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Совокупный среднедневной остаток рассч</w:t>
            </w:r>
            <w:r>
              <w:rPr>
                <w:bCs/>
                <w:sz w:val="20"/>
                <w:szCs w:val="20"/>
              </w:rPr>
              <w:t xml:space="preserve">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</w:t>
            </w:r>
            <w:r>
              <w:rPr>
                <w:bCs/>
                <w:sz w:val="20"/>
                <w:szCs w:val="20"/>
              </w:rPr>
              <w:t xml:space="preserve">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</w:t>
            </w:r>
            <w:r>
              <w:rPr>
                <w:bCs/>
                <w:sz w:val="20"/>
                <w:szCs w:val="20"/>
              </w:rPr>
              <w:t xml:space="preserve">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 Комиссия взимается по ставке тарифа, действующей на дату начисления комиссии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</w:t>
            </w:r>
            <w:r>
              <w:rPr>
                <w:bCs/>
                <w:sz w:val="20"/>
                <w:szCs w:val="20"/>
              </w:rPr>
              <w:t xml:space="preserve">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</w:t>
            </w:r>
            <w:r>
              <w:rPr>
                <w:bCs/>
                <w:sz w:val="20"/>
                <w:szCs w:val="20"/>
              </w:rPr>
              <w:t xml:space="preserve">обслуживания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/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1.2.3.1 Тарифов, но </w:t>
            </w:r>
            <w:r>
              <w:rPr>
                <w:bCs/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1.2.3.3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t xml:space="preserve">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</w:t>
            </w:r>
            <w:r>
              <w:rPr>
                <w:sz w:val="20"/>
                <w:szCs w:val="20"/>
              </w:rPr>
              <w:t xml:space="preserve">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</w:t>
            </w:r>
            <w:r>
              <w:rPr>
                <w:sz w:val="20"/>
                <w:szCs w:val="20"/>
              </w:rPr>
              <w:t xml:space="preserve">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/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</w:t>
            </w:r>
            <w:r>
              <w:rPr>
                <w:sz w:val="20"/>
                <w:szCs w:val="20"/>
              </w:rPr>
              <w:t xml:space="preserve">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</w:t>
            </w:r>
            <w:r>
              <w:rPr>
                <w:sz w:val="20"/>
                <w:szCs w:val="20"/>
              </w:rPr>
              <w:t xml:space="preserve">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</w:t>
            </w:r>
            <w:r>
              <w:rPr>
                <w:sz w:val="20"/>
                <w:szCs w:val="20"/>
              </w:rPr>
              <w:t xml:space="preserve">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/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1.2.3.3 Тарифов, но </w:t>
            </w:r>
            <w:r>
              <w:rPr>
                <w:sz w:val="20"/>
                <w:szCs w:val="20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26"/>
              <w:spacing w:before="4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  <w:r>
              <w:rPr>
                <w:b w:val="0"/>
                <w:i/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spacing w:before="4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33</w:t>
            </w: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Банк вправе отказать в приеме к и</w:t>
            </w:r>
            <w:r>
              <w:rPr>
                <w:bCs/>
                <w:sz w:val="20"/>
                <w:szCs w:val="20"/>
              </w:rPr>
              <w:t xml:space="preserve">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«Услуга оказывается при наличии технической возможности у Банка.».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свыше трех месяцев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Отзыв (аннулирование), </w:t>
            </w:r>
            <w:r>
              <w:rPr>
                <w:bCs/>
                <w:sz w:val="20"/>
                <w:szCs w:val="20"/>
              </w:rPr>
              <w:t xml:space="preserve"> возврат перевода</w:t>
            </w:r>
            <w:r>
              <w:rPr>
                <w:iCs/>
                <w:sz w:val="20"/>
                <w:szCs w:val="20"/>
              </w:rPr>
              <w:t xml:space="preserve">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ind w:left="-52" w:firstLine="52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02" w:type="dxa"/>
            <w:textDirection w:val="lrTb"/>
            <w:noWrap w:val="false"/>
          </w:tcPr>
          <w:p>
            <w:pPr>
              <w:ind w:left="459" w:hanging="425"/>
              <w:jc w:val="center"/>
              <w:spacing w:before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один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before="1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2" w:name="_Toc366599448"/>
            <w:r>
              <w:rPr>
                <w:sz w:val="20"/>
                <w:szCs w:val="20"/>
              </w:rPr>
              <w:t xml:space="preserve">2000 руб.                          за каждый запрос</w:t>
            </w:r>
            <w:bookmarkEnd w:id="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</w:t>
            </w:r>
            <w:r>
              <w:rPr>
                <w:iCs/>
                <w:sz w:val="20"/>
                <w:szCs w:val="20"/>
              </w:rPr>
              <w:t xml:space="preserve">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             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1.3.7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за один документ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</w:tr>
      <w:tr>
        <w:tblPrEx/>
        <w:trPr>
          <w:trHeight w:val="922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документ».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6"/>
              <w:spacing w:before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bCs w:val="0"/>
                <w:i w:val="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</w:t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  <w:r>
              <w:rPr>
                <w:b w:val="0"/>
                <w:bCs w:val="0"/>
                <w:i w:val="0"/>
                <w:sz w:val="20"/>
                <w:szCs w:val="20"/>
              </w:rPr>
            </w:r>
          </w:p>
          <w:p>
            <w:pPr>
              <w:pStyle w:val="1104"/>
              <w:ind w:firstLine="0"/>
              <w:jc w:val="left"/>
              <w:spacing w:before="0" w:after="0"/>
              <w:rPr>
                <w:sz w:val="20"/>
                <w:szCs w:val="20"/>
              </w:rPr>
            </w:pPr>
            <w:r>
              <w:rPr>
                <w:b w:val="0"/>
                <w:bCs w:val="0"/>
                <w:i w:val="0"/>
                <w:sz w:val="20"/>
                <w:szCs w:val="20"/>
              </w:rPr>
              <w:t xml:space="preserve">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04"/>
              <w:ind w:firstLine="0"/>
              <w:jc w:val="left"/>
              <w:spacing w:before="40" w:after="0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b w:val="0"/>
                <w:i w:val="0"/>
                <w:sz w:val="20"/>
                <w:szCs w:val="20"/>
              </w:rPr>
            </w:r>
            <w:r>
              <w:rPr>
                <w:b w:val="0"/>
                <w:i w:val="0"/>
                <w:sz w:val="20"/>
                <w:szCs w:val="20"/>
              </w:rPr>
            </w:r>
          </w:p>
          <w:p>
            <w:r/>
            <w:r/>
          </w:p>
          <w:p>
            <w:pPr>
              <w:rPr>
                <w:sz w:val="20"/>
                <w:szCs w:val="20"/>
              </w:rPr>
            </w:pPr>
            <w:r>
              <w:t xml:space="preserve">-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</w:t>
            </w:r>
            <w:r>
              <w:rPr>
                <w:sz w:val="20"/>
                <w:szCs w:val="20"/>
              </w:rPr>
              <w:t xml:space="preserve">квартирных домов, переселения граждан из аварийного жилищного фонда в соответствии с Федеральным Законом от 21.07.2007 №185-ФЗ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  <w:r>
              <w:rPr>
                <w:b/>
                <w:i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ind w:left="-1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1.3.10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bCs/>
                <w:sz w:val="20"/>
                <w:szCs w:val="20"/>
                <w:highlight w:val="lightGray"/>
              </w:rPr>
            </w:r>
            <w:r>
              <w:rPr>
                <w:bCs/>
                <w:sz w:val="20"/>
                <w:szCs w:val="20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одну копию»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pStyle w:val="1128"/>
              <w:ind w:firstLine="0"/>
              <w:jc w:val="lef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pStyle w:val="1128"/>
              <w:ind w:firstLine="0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</w:t>
            </w:r>
            <w:r>
              <w:rPr>
                <w:bCs/>
                <w:sz w:val="20"/>
                <w:szCs w:val="20"/>
              </w:rPr>
              <w:t xml:space="preserve"> руб.                               за документ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pStyle w:val="1128"/>
              <w:ind w:firstLine="0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28"/>
              <w:ind w:firstLine="0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                 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1.3.13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1.3.1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9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spacing w:before="120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Примечания к разделу 1 Тарифов:</w:t>
      </w:r>
      <w:r>
        <w:rPr>
          <w:i/>
          <w:sz w:val="20"/>
          <w:szCs w:val="20"/>
          <w:u w:val="single"/>
        </w:rPr>
      </w:r>
      <w:r>
        <w:rPr>
          <w:i/>
          <w:sz w:val="20"/>
          <w:szCs w:val="20"/>
          <w:u w:val="single"/>
        </w:rPr>
      </w:r>
    </w:p>
    <w:p>
      <w:pPr>
        <w:ind w:firstLine="709"/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</w:t>
      </w:r>
      <w:r>
        <w:rPr>
          <w:bCs/>
        </w:rPr>
        <w:t xml:space="preserve"> </w:t>
      </w:r>
      <w:r>
        <w:rPr>
          <w:bCs/>
          <w:i/>
          <w:sz w:val="16"/>
          <w:szCs w:val="16"/>
        </w:rPr>
        <w:t xml:space="preserve">Бюджетные счета, депозитные счета нотариусов</w:t>
      </w:r>
      <w:r>
        <w:rPr>
          <w:bCs/>
          <w:i/>
          <w:sz w:val="16"/>
          <w:szCs w:val="16"/>
        </w:rPr>
        <w:t xml:space="preserve">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компенсационного фонда, специальные  банковские счета для размещен</w:t>
      </w:r>
      <w:r>
        <w:rPr>
          <w:bCs/>
          <w:i/>
          <w:sz w:val="16"/>
          <w:szCs w:val="16"/>
        </w:rPr>
        <w:t xml:space="preserve">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</w:t>
      </w:r>
      <w:r>
        <w:rPr>
          <w:i/>
          <w:sz w:val="16"/>
          <w:szCs w:val="16"/>
        </w:rPr>
        <w:t xml:space="preserve"> счета эскроу для расчетов по договору участия в долевом строительстве</w:t>
      </w:r>
      <w:r>
        <w:rPr>
          <w:bCs/>
          <w:i/>
          <w:sz w:val="16"/>
          <w:szCs w:val="16"/>
        </w:rPr>
        <w:t xml:space="preserve"> открываются и обслуживаются в Банке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</w:t>
      </w:r>
      <w:r>
        <w:rPr>
          <w:i/>
          <w:sz w:val="16"/>
          <w:szCs w:val="16"/>
        </w:rPr>
        <w:t xml:space="preserve">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</w:t>
      </w:r>
      <w:r>
        <w:rPr>
          <w:i/>
          <w:sz w:val="20"/>
          <w:szCs w:val="20"/>
        </w:rPr>
        <w:t xml:space="preserve">1.5, 1.1.8, 1.1.12, Тарифов).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</w:t>
      </w:r>
      <w:r>
        <w:t xml:space="preserve"> </w:t>
      </w:r>
      <w:r>
        <w:rPr>
          <w:i/>
          <w:sz w:val="20"/>
          <w:szCs w:val="20"/>
        </w:rPr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Срок действия  - до 31 декабря 2025 года (включительно).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Австралийский доллар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Багамский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Болгарский лев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Венгерский форинт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Албанский лек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t xml:space="preserve"> </w:t>
      </w:r>
      <w:r>
        <w:rPr>
          <w:i/>
          <w:sz w:val="20"/>
          <w:szCs w:val="20"/>
        </w:rPr>
        <w:t xml:space="preserve">Вон Республики Корея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Гонконгский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Датская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Исландская крона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Канадский доллар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Македонский денар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Новозеландский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Норвежская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Польский злотый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Румынский лей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Сингапурский доллар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Украинская гривна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Фунт стерлингов Соединенного королевства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Хорватская куна</w:t>
      </w:r>
      <w:r>
        <w:rPr>
          <w:i/>
          <w:sz w:val="20"/>
          <w:szCs w:val="20"/>
        </w:rPr>
        <w:t xml:space="preserve">,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Чешская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Шведская крона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Швейцарский франк</w:t>
      </w:r>
      <w:r>
        <w:rPr>
          <w:i/>
          <w:sz w:val="20"/>
          <w:szCs w:val="20"/>
        </w:rPr>
        <w:t xml:space="preserve">,</w:t>
      </w:r>
      <w:r>
        <w:t xml:space="preserve"> </w:t>
      </w:r>
      <w:r>
        <w:rPr>
          <w:i/>
          <w:sz w:val="20"/>
          <w:szCs w:val="20"/>
        </w:rPr>
        <w:t xml:space="preserve">Японская йена</w:t>
      </w:r>
      <w:r>
        <w:rPr>
          <w:i/>
          <w:sz w:val="20"/>
          <w:szCs w:val="20"/>
        </w:rPr>
        <w:t xml:space="preserve">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spacing w:before="4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center"/>
        <w:spacing w:before="4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3"/>
        <w:jc w:val="center"/>
      </w:pPr>
      <w:r/>
      <w:bookmarkStart w:id="3" w:name="_Toc490219970"/>
      <w:r>
        <w:rPr>
          <w:sz w:val="24"/>
          <w:szCs w:val="24"/>
        </w:rPr>
        <w:t xml:space="preserve">2. Кассовые операции*</w:t>
      </w:r>
      <w:bookmarkEnd w:id="3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982"/>
        <w:gridCol w:w="3546"/>
      </w:tblGrid>
      <w:tr>
        <w:tblPrEx/>
        <w:trPr>
          <w:trHeight w:val="227"/>
          <w:tblHeader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</w:t>
            </w: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</w:t>
            </w:r>
            <w:r>
              <w:rPr>
                <w:sz w:val="20"/>
                <w:szCs w:val="20"/>
              </w:rPr>
              <w:t xml:space="preserve">300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  <w:r>
              <w:rPr>
                <w:sz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</w:rPr>
              <w:t xml:space="preserve">в том числе при закрытии счета)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2.2.1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</w:t>
            </w:r>
            <w:r>
              <w:rPr>
                <w:sz w:val="20"/>
                <w:szCs w:val="22"/>
              </w:rPr>
              <w:t xml:space="preserve">9</w:t>
            </w:r>
            <w:r>
              <w:rPr>
                <w:sz w:val="20"/>
                <w:szCs w:val="22"/>
              </w:rPr>
              <w:t xml:space="preserve"> % от суммы</w:t>
            </w:r>
            <w:r>
              <w:rPr>
                <w:sz w:val="20"/>
                <w:szCs w:val="22"/>
                <w:lang w:val="en-US"/>
              </w:rPr>
              <w:t xml:space="preserve"> </w:t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t xml:space="preserve">5</w:t>
            </w:r>
            <w:r>
              <w:rPr>
                <w:sz w:val="20"/>
                <w:szCs w:val="22"/>
              </w:rPr>
              <w:t xml:space="preserve">0</w:t>
            </w:r>
            <w:r>
              <w:rPr>
                <w:sz w:val="20"/>
                <w:szCs w:val="22"/>
              </w:rPr>
              <w:t xml:space="preserve">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0,3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2.2.2.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«Юридическим лицам и индивидуальн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Банка*** по предварительной заявке**».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4 000 000,00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4 000 000,01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этом денежные средства, выданные в течение текущего календарного месяца на цели, </w:t>
            </w:r>
            <w:r>
              <w:rPr>
                <w:sz w:val="20"/>
                <w:szCs w:val="22"/>
              </w:rPr>
              <w:t xml:space="preserve">указанные в п.2.2.1, в расчет общей суммы средств, выданных клиенту в течение указанного месяца, не включаются.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При выдаче денежной наличности без предварительной заявки</w:t>
            </w:r>
            <w:r>
              <w:rPr>
                <w:sz w:val="20"/>
                <w:szCs w:val="22"/>
                <w:vertAlign w:val="superscript"/>
              </w:rPr>
              <w:t xml:space="preserve">**</w:t>
            </w:r>
            <w:r>
              <w:rPr>
                <w:sz w:val="20"/>
                <w:szCs w:val="22"/>
              </w:rPr>
              <w:t xml:space="preserve"> указанный тариф увеличивается на 0,5 процентных пункта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2.3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</w:t>
            </w:r>
            <w:r>
              <w:rPr>
                <w:sz w:val="20"/>
                <w:szCs w:val="20"/>
              </w:rPr>
              <w:t xml:space="preserve">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15 000 000,01 руб. и выше в течение календарного месяца»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</w:t>
            </w:r>
            <w:r>
              <w:rPr>
                <w:sz w:val="20"/>
                <w:szCs w:val="20"/>
              </w:rPr>
              <w:t xml:space="preserve">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 от суммы, 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</w:t>
            </w:r>
            <w:r>
              <w:rPr>
                <w:sz w:val="20"/>
                <w:szCs w:val="20"/>
              </w:rPr>
              <w:t xml:space="preserve">(% от вносимой суммы) и комиссии за пе</w:t>
            </w:r>
            <w:r>
              <w:rPr>
                <w:sz w:val="20"/>
                <w:szCs w:val="20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</w:t>
            </w:r>
            <w:r>
              <w:rPr>
                <w:sz w:val="20"/>
                <w:szCs w:val="20"/>
                <w:vertAlign w:val="superscript"/>
              </w:rPr>
              <w:t xml:space="preserve">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0,3 % от суммы, минимум 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2.1</w:t>
            </w:r>
            <w:r>
              <w:rPr>
                <w:sz w:val="20"/>
              </w:rPr>
              <w:t xml:space="preserve">0</w:t>
            </w:r>
            <w:r>
              <w:rPr>
                <w:sz w:val="20"/>
              </w:rPr>
              <w:t xml:space="preserve">. Размен банкнот/монет Банка 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 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</w:t>
            </w:r>
            <w:r>
              <w:rPr>
                <w:sz w:val="20"/>
                <w:szCs w:val="20"/>
                <w:vertAlign w:val="superscript"/>
              </w:rPr>
              <w:t xml:space="preserve">**</w:t>
            </w:r>
            <w:r>
              <w:rPr>
                <w:sz w:val="20"/>
                <w:szCs w:val="20"/>
              </w:rPr>
              <w:t xml:space="preserve"> за 3 рабочих дня до получения разменной монеты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02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 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обслуживанию бюджет</w:t>
            </w:r>
            <w:r>
              <w:rPr>
                <w:sz w:val="20"/>
                <w:szCs w:val="20"/>
              </w:rPr>
              <w:t xml:space="preserve">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</w:t>
            </w:r>
            <w:r>
              <w:rPr>
                <w:sz w:val="20"/>
                <w:szCs w:val="20"/>
              </w:rPr>
              <w:t xml:space="preserve">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  <w:t xml:space="preserve">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 оформлен предварительный заказ, в случае неполучения предварительно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</w:rPr>
      </w:pPr>
      <w:r>
        <w:rPr>
          <w:i/>
          <w:sz w:val="16"/>
        </w:rPr>
        <w:t xml:space="preserve">Примечание:</w:t>
      </w:r>
      <w:r>
        <w:rPr>
          <w:i/>
          <w:sz w:val="16"/>
        </w:rPr>
      </w:r>
      <w:r>
        <w:rPr>
          <w:i/>
          <w:sz w:val="16"/>
        </w:rPr>
      </w:r>
    </w:p>
    <w:p>
      <w:pPr>
        <w:jc w:val="both"/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</w:t>
      </w:r>
      <w:r>
        <w:rPr>
          <w:bCs/>
          <w:i/>
          <w:sz w:val="16"/>
          <w:szCs w:val="16"/>
        </w:rPr>
        <w:t xml:space="preserve">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«**) Предварительная заявка клиента – это письменное заявление клиента о намерении получить денежную наличность со своего банковского с</w:t>
      </w:r>
      <w:r>
        <w:rPr>
          <w:i/>
          <w:sz w:val="16"/>
          <w:szCs w:val="16"/>
        </w:rPr>
        <w:t xml:space="preserve">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</w:t>
      </w:r>
      <w:r>
        <w:rPr>
          <w:i/>
          <w:sz w:val="16"/>
          <w:szCs w:val="16"/>
        </w:rPr>
        <w:t xml:space="preserve">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подразделения.».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46.21.11 - Торговля оптовая зерном.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46.22 - Торговля оптовая цветами и растениями.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46.23 - Торговля оптовая живыми животными.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46.31 - Торговля оптовая фруктами 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46.31.1 - Торговля оптовая свежими овощами,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46.31.11 - Торговля оптовая свежим картофелем.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46.31.12 - Торговля оптовая прочими свежими овощами.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46.31.13 - Торговля оптовая свежими фруктами и орехами.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46.32 - Торговля оптовая мясом и мясными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46.32.2 - Торговля оптовая продуктами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46.32.3 - Торговля оптовая консервами из мяса и мяса птицы.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46.33.1 - Торговля оптовая молочными продуктами.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46.33.2 - Торговля оптовая яйцами.</w:t>
      </w:r>
      <w:r>
        <w:t xml:space="preserve"> </w:t>
      </w:r>
      <w:r>
        <w:rPr>
          <w:i/>
          <w:sz w:val="16"/>
        </w:rPr>
        <w:t xml:space="preserve">46.33.3 - Торговля оптовая пищевыми маслами и жирами.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47.29.22 - Торговля розничная растительными маслами в специализированных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«*****) В соответствии с Федеральным законом от 10 июля 2023 года № 304-ФЗ 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rPr>
          <w:i/>
          <w:sz w:val="16"/>
        </w:rPr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i/>
          <w:sz w:val="16"/>
        </w:rPr>
        <w:t xml:space="preserve">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лиц.»</w:t>
      </w:r>
      <w:r>
        <w:rPr>
          <w:i/>
          <w:sz w:val="16"/>
        </w:rPr>
      </w:r>
      <w:r>
        <w:rPr>
          <w:i/>
          <w:sz w:val="16"/>
        </w:rPr>
      </w:r>
    </w:p>
    <w:p>
      <w:pPr>
        <w:rPr>
          <w:i/>
          <w:sz w:val="16"/>
        </w:rPr>
      </w:pPr>
      <w:r>
        <w:t xml:space="preserve"> </w:t>
      </w:r>
      <w:r>
        <w:rPr>
          <w:i/>
          <w:sz w:val="16"/>
        </w:rPr>
        <w:t xml:space="preserve">«******) Банк не принимает поврежденные банкноты иностранных государств.»</w:t>
      </w:r>
      <w:r>
        <w:rPr>
          <w:i/>
          <w:sz w:val="16"/>
        </w:rPr>
        <w:t xml:space="preserve">.</w:t>
      </w:r>
      <w:r>
        <w:rPr>
          <w:i/>
          <w:sz w:val="16"/>
        </w:rPr>
      </w:r>
      <w:r>
        <w:rPr>
          <w:i/>
          <w:sz w:val="16"/>
        </w:rPr>
      </w:r>
    </w:p>
    <w:p>
      <w:r>
        <w:t xml:space="preserve">   </w:t>
      </w:r>
      <w:r/>
    </w:p>
    <w:p>
      <w:pPr>
        <w:pStyle w:val="1103"/>
      </w:pPr>
      <w:r/>
      <w:bookmarkStart w:id="4" w:name="_Toc423447805"/>
      <w:r/>
      <w:bookmarkStart w:id="5" w:name="_Toc490219971"/>
      <w:r>
        <w:t xml:space="preserve">3. Выполнение функций агента валютного контроля</w:t>
      </w:r>
      <w:bookmarkEnd w:id="4"/>
      <w:r/>
      <w:bookmarkEnd w:id="5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863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985"/>
        <w:gridCol w:w="3402"/>
        <w:gridCol w:w="4216"/>
        <w:gridCol w:w="4216"/>
      </w:tblGrid>
      <w:tr>
        <w:tblPrEx/>
        <w:trPr>
          <w:gridAfter w:val="2"/>
        </w:trPr>
        <w:tc>
          <w:tcPr>
            <w:shd w:val="clear" w:color="auto" w:fill="auto"/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    п/п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Наименование услуги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Тариф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Примечание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 w:after="20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         минимум 500 руб.,  для головного офиса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(далее – ГО),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АО «Россельхозбанк» - «Центр розничного и малого бизнеса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(далее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) и РФ АО «Россельхозбанк» - «ЦКБ» (далее – ЦКБ),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spacing w:before="40" w:after="20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 для других региональных филиалов АО «Россельхозбанк» (далее – РФ Банка) 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                    за одну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3.3.2.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учет без одновременного представления экспортного контракта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1 500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</w:rPr>
              <w:t xml:space="preserve"> услуги***</w:t>
            </w:r>
            <w:r>
              <w:rPr>
                <w:bCs/>
              </w:rPr>
              <w:t xml:space="preserve">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5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3276"/>
        </w:trPr>
        <w:tc>
          <w:tcPr>
            <w:shd w:val="clear" w:color="auto" w:fill="auto"/>
            <w:tcBorders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3.3.4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</w:t>
            </w:r>
            <w: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</w:t>
            </w:r>
            <w:r>
              <w:rPr>
                <w:bCs/>
                <w:sz w:val="20"/>
                <w:szCs w:val="20"/>
              </w:rPr>
              <w:t xml:space="preserve">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1149"/>
              <w:ind w:left="709"/>
              <w:jc w:val="both"/>
              <w:tabs>
                <w:tab w:val="left" w:pos="1134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tcW w:w="421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Проверка справки о подтверждающих документах (далее –  СПД), включая СПД, содержащую скорректированные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сведения,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 руб.                    за один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3.4.2.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450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700 руб. за один подтверждающий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9072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Снятие контракта (кредитного договора) с учета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3.5.2.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переводе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контракта (кредитного договора) на учет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3.5.3.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0,15 % минимум 500 руб., максимум      80 000 руб. 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ЦРБМ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300 руб., максимум 80 000 руб. 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день оказания услуги***.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3.6.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0,12%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250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10 000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ГО,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ЦРМБ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 и ЦКБ,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минимум 150 руб.,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максимум 5 000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других РФ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оказания услуги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Комиссия не взимается: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между нерезидентом и Банком;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банках на территории Российской Федерации, а также в банках-нерезидентах;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3.7.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3.8.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 руб. за лист, максимум 1 000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услуги***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>
          <w:gridAfter w:val="2"/>
          <w:trHeight w:val="1022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685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02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/>
              <w:t xml:space="preserve">и предоставляется только резидентам.».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rFonts w:eastAsia="Calibri"/>
          <w:sz w:val="16"/>
          <w:szCs w:val="16"/>
          <w:u w:val="single"/>
          <w:lang w:eastAsia="en-US"/>
        </w:rPr>
      </w:pPr>
      <w:r>
        <w:rPr>
          <w:rFonts w:eastAsia="Calibri"/>
          <w:sz w:val="16"/>
          <w:szCs w:val="16"/>
          <w:u w:val="single"/>
          <w:lang w:eastAsia="en-US"/>
        </w:rPr>
        <w:t xml:space="preserve">Примечание:</w:t>
      </w:r>
      <w:r>
        <w:rPr>
          <w:rFonts w:eastAsia="Calibri"/>
          <w:sz w:val="16"/>
          <w:szCs w:val="16"/>
          <w:u w:val="single"/>
          <w:lang w:eastAsia="en-US"/>
        </w:rPr>
      </w:r>
      <w:r>
        <w:rPr>
          <w:rFonts w:eastAsia="Calibri"/>
          <w:sz w:val="16"/>
          <w:szCs w:val="16"/>
          <w:u w:val="single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Понятия и </w:t>
      </w:r>
      <w:r>
        <w:rPr>
          <w:rFonts w:eastAsia="Calibri"/>
          <w:bCs/>
          <w:sz w:val="16"/>
          <w:szCs w:val="16"/>
          <w:lang w:eastAsia="en-US"/>
        </w:rPr>
        <w:t xml:space="preserve">термины применяются в значениях, определенных в Инструкции Центрального банка Российской Федерации от 16.08.2017 № 1</w:t>
      </w:r>
      <w:r>
        <w:rPr>
          <w:rFonts w:eastAsia="Calibri"/>
          <w:bCs/>
          <w:sz w:val="16"/>
          <w:szCs w:val="16"/>
          <w:lang w:eastAsia="en-US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eastAsia="Calibri"/>
          <w:sz w:val="16"/>
          <w:szCs w:val="16"/>
          <w:lang w:eastAsia="en-US"/>
        </w:rPr>
        <w:t xml:space="preserve">–</w:t>
      </w:r>
      <w:r>
        <w:rPr>
          <w:rFonts w:eastAsia="Calibri"/>
          <w:bCs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  <w:t xml:space="preserve">Инструкция Банка России № 181-И)</w:t>
      </w:r>
      <w:r>
        <w:rPr>
          <w:rFonts w:eastAsia="Calibri"/>
          <w:bCs/>
          <w:sz w:val="16"/>
          <w:szCs w:val="16"/>
          <w:lang w:eastAsia="en-US"/>
        </w:rPr>
        <w:t xml:space="preserve">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* </w:t>
      </w:r>
      <w:r>
        <w:rPr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-2"/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sz w:val="16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** В случае перевода (зачисления) денежных средств общей суммой: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контрактам (договорам</w:t>
      </w:r>
      <w:r>
        <w:rPr>
          <w:rFonts w:eastAsia="Calibri"/>
          <w:bCs/>
          <w:sz w:val="16"/>
          <w:szCs w:val="16"/>
          <w:lang w:eastAsia="en-US"/>
        </w:rPr>
        <w:t xml:space="preserve">) расчет комиссии производится по каждому контракту (договору);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Комиссионное вознаграждение взимается: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bCs/>
          <w:sz w:val="16"/>
          <w:szCs w:val="16"/>
          <w:lang w:eastAsia="en-US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eastAsia="Calibri"/>
          <w:bCs/>
          <w:sz w:val="16"/>
          <w:szCs w:val="16"/>
          <w:lang w:eastAsia="en-US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firstLine="567"/>
        <w:jc w:val="both"/>
        <w:spacing w:before="120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eastAsia="Calibri"/>
          <w:sz w:val="16"/>
          <w:szCs w:val="16"/>
          <w:lang w:eastAsia="en-US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 Днем оказания услуги по валютному контролю является: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numPr>
          <w:ilvl w:val="0"/>
          <w:numId w:val="28"/>
        </w:numPr>
        <w:contextualSpacing/>
        <w:ind w:left="0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По операциям резидентов, в том числе</w:t>
      </w:r>
      <w:r>
        <w:rPr>
          <w:rFonts w:eastAsia="Calibri"/>
          <w:bCs/>
          <w:sz w:val="16"/>
          <w:szCs w:val="16"/>
          <w:lang w:eastAsia="en-US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-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b/>
          <w:sz w:val="16"/>
          <w:szCs w:val="16"/>
          <w:lang w:eastAsia="en-US"/>
        </w:rPr>
        <w:t xml:space="preserve">день списания денежных средств с расчетного счета клиента-резидента;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документов, связанных с проведением валютной операции;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contextualSpacing/>
        <w:ind w:right="-2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принятия Банком сведений уполномоченного банка о проведенной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numPr>
          <w:ilvl w:val="0"/>
          <w:numId w:val="28"/>
        </w:numPr>
        <w:ind w:left="0" w:right="-2" w:firstLine="567"/>
        <w:jc w:val="both"/>
        <w:spacing w:after="200" w:line="276" w:lineRule="auto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резиденту информации о коде вида операции.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3.</w:t>
      </w:r>
      <w:r>
        <w:rPr>
          <w:rFonts w:eastAsia="Calibri"/>
          <w:sz w:val="16"/>
          <w:szCs w:val="16"/>
          <w:lang w:eastAsia="en-US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присвоения Банком экспортному контракту уникального номера.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4.</w:t>
      </w:r>
      <w:r>
        <w:rPr>
          <w:rFonts w:eastAsia="Calibri"/>
          <w:bCs/>
          <w:sz w:val="16"/>
          <w:szCs w:val="16"/>
          <w:lang w:eastAsia="en-US"/>
        </w:rPr>
        <w:tab/>
        <w:t xml:space="preserve">При проверке СПД:</w:t>
      </w:r>
      <w:r>
        <w:rPr>
          <w:rFonts w:eastAsia="Calibri"/>
          <w:bCs/>
          <w:sz w:val="16"/>
          <w:szCs w:val="16"/>
          <w:lang w:eastAsia="en-US"/>
        </w:rPr>
      </w:r>
      <w:r>
        <w:rPr>
          <w:rFonts w:eastAsia="Calibri"/>
          <w:bCs/>
          <w:sz w:val="16"/>
          <w:szCs w:val="16"/>
          <w:lang w:eastAsia="en-US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- день принятия Банком СПД.</w:t>
      </w:r>
      <w:r>
        <w:rPr>
          <w:rFonts w:eastAsia="Calibri"/>
          <w:b/>
          <w:bCs/>
          <w:sz w:val="16"/>
          <w:szCs w:val="16"/>
          <w:lang w:eastAsia="en-US"/>
        </w:rPr>
      </w:r>
      <w:r>
        <w:rPr>
          <w:rFonts w:eastAsia="Calibri"/>
          <w:b/>
          <w:bCs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5.</w:t>
      </w:r>
      <w:r>
        <w:rPr>
          <w:rFonts w:eastAsia="Calibri"/>
          <w:sz w:val="16"/>
          <w:szCs w:val="16"/>
          <w:lang w:eastAsia="en-US"/>
        </w:rPr>
        <w:tab/>
        <w:t xml:space="preserve">При оформлении Банком СПД за клиента: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оформления Банком СПД.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6.</w:t>
      </w:r>
      <w:r>
        <w:rPr>
          <w:rFonts w:eastAsia="Calibri"/>
          <w:sz w:val="16"/>
          <w:szCs w:val="16"/>
          <w:lang w:eastAsia="en-US"/>
        </w:rPr>
        <w:tab/>
        <w:t xml:space="preserve">При снятии контракта (кредитного договора) с учета: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снятия Банком контракта (кредитного договора) с учета.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7.</w:t>
      </w:r>
      <w:r>
        <w:rPr>
          <w:rFonts w:eastAsia="Calibri"/>
          <w:sz w:val="16"/>
          <w:szCs w:val="16"/>
          <w:lang w:eastAsia="en-US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списания денежных средств с расчетного счета клиента-нерезидента.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tabs>
          <w:tab w:val="left" w:pos="851" w:leader="none"/>
        </w:tabs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8.</w:t>
      </w:r>
      <w:r>
        <w:rPr>
          <w:rFonts w:eastAsia="Calibri"/>
          <w:sz w:val="16"/>
          <w:szCs w:val="16"/>
          <w:lang w:eastAsia="en-US"/>
        </w:rPr>
        <w:tab/>
        <w:t xml:space="preserve">При представлении клиенту копий документов из досье валютного контроля:</w:t>
      </w:r>
      <w:r>
        <w:rPr>
          <w:rFonts w:eastAsia="Calibri"/>
          <w:b/>
          <w:sz w:val="16"/>
          <w:szCs w:val="16"/>
          <w:lang w:eastAsia="en-US"/>
        </w:rPr>
      </w:r>
      <w:r>
        <w:rPr>
          <w:rFonts w:eastAsia="Calibri"/>
          <w:b/>
          <w:sz w:val="16"/>
          <w:szCs w:val="16"/>
          <w:lang w:eastAsia="en-US"/>
        </w:rPr>
      </w:r>
    </w:p>
    <w:p>
      <w:pPr>
        <w:ind w:right="-2" w:firstLine="567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b/>
          <w:sz w:val="16"/>
          <w:szCs w:val="16"/>
          <w:lang w:eastAsia="en-US"/>
        </w:rPr>
        <w:t xml:space="preserve">- день направления клиенту копий документов.</w:t>
      </w:r>
      <w:r>
        <w:rPr>
          <w:rFonts w:eastAsia="Calibri"/>
          <w:sz w:val="16"/>
          <w:szCs w:val="16"/>
          <w:lang w:eastAsia="en-US"/>
        </w:rPr>
        <w:t xml:space="preserve"> 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  <w:spacing w:before="12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**** В случае перевода </w:t>
      </w:r>
      <w:r>
        <w:rPr>
          <w:rFonts w:eastAsia="Calibri"/>
          <w:bCs/>
          <w:sz w:val="16"/>
          <w:szCs w:val="16"/>
          <w:lang w:eastAsia="en-US"/>
        </w:rPr>
        <w:t xml:space="preserve">контракта (кредитного договора) на учет </w:t>
      </w:r>
      <w:r>
        <w:rPr>
          <w:rFonts w:eastAsia="Calibri"/>
          <w:sz w:val="16"/>
          <w:szCs w:val="16"/>
          <w:lang w:eastAsia="en-US"/>
        </w:rPr>
        <w:t xml:space="preserve">в другой уполномоченный банк либо при закрытии резидентом все</w:t>
      </w:r>
      <w:r>
        <w:rPr>
          <w:rFonts w:eastAsia="Calibri"/>
          <w:sz w:val="16"/>
          <w:szCs w:val="16"/>
          <w:lang w:eastAsia="en-US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eastAsia="Calibri"/>
          <w:sz w:val="16"/>
          <w:szCs w:val="16"/>
          <w:lang w:eastAsia="en-US"/>
        </w:rPr>
      </w:r>
      <w:r>
        <w:rPr>
          <w:rFonts w:eastAsia="Calibri"/>
          <w:sz w:val="16"/>
          <w:szCs w:val="16"/>
          <w:lang w:eastAsia="en-US"/>
        </w:rPr>
      </w:r>
    </w:p>
    <w:p>
      <w:pPr>
        <w:jc w:val="both"/>
      </w:pPr>
      <w:r/>
      <w:r/>
    </w:p>
    <w:p>
      <w:pPr>
        <w:pStyle w:val="1103"/>
        <w:jc w:val="center"/>
        <w:rPr>
          <w:sz w:val="24"/>
          <w:szCs w:val="24"/>
        </w:rPr>
      </w:pPr>
      <w:r/>
      <w:bookmarkStart w:id="6" w:name="_Toc490219972"/>
      <w:r>
        <w:rPr>
          <w:sz w:val="24"/>
          <w:szCs w:val="24"/>
        </w:rPr>
        <w:t xml:space="preserve">4. Операции с ценными бумагами</w:t>
      </w:r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9"/>
        <w:gridCol w:w="1986"/>
        <w:gridCol w:w="3543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 </w:t>
            </w:r>
            <w:r>
              <w:rPr>
                <w:sz w:val="20"/>
                <w:szCs w:val="20"/>
              </w:rPr>
              <w:t xml:space="preserve">АО «Ро</w:t>
            </w:r>
            <w:r>
              <w:rPr>
                <w:sz w:val="20"/>
                <w:szCs w:val="20"/>
              </w:rPr>
              <w:t xml:space="preserve">ссельхозбанк» в головном офисе 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векселя серии «К»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в региональных филиалах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срочные векселя со сроком обращения мен</w:t>
            </w:r>
            <w:r>
              <w:rPr>
                <w:sz w:val="20"/>
                <w:szCs w:val="20"/>
              </w:rPr>
              <w:t xml:space="preserve">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«по предъявлении, но не ранее» и срочн</w:t>
            </w:r>
            <w:r>
              <w:rPr>
                <w:sz w:val="20"/>
                <w:szCs w:val="20"/>
              </w:rPr>
              <w:t xml:space="preserve">ые векселя со сроком обращения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залоговых операций с векселем  </w:t>
            </w:r>
            <w:r>
              <w:rPr>
                <w:sz w:val="20"/>
                <w:szCs w:val="20"/>
              </w:rPr>
              <w:t xml:space="preserve">АО 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</w:t>
            </w:r>
            <w:r>
              <w:rPr>
                <w:sz w:val="20"/>
                <w:szCs w:val="20"/>
              </w:rPr>
              <w:t xml:space="preserve"> АО </w:t>
            </w:r>
            <w:r>
              <w:rPr>
                <w:sz w:val="20"/>
                <w:szCs w:val="20"/>
              </w:rPr>
              <w:t xml:space="preserve">«Россельхозбанк» серии «К» головным офисом и региональным филиалом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лист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</w:t>
            </w:r>
            <w:r>
              <w:rPr>
                <w:sz w:val="20"/>
                <w:szCs w:val="20"/>
              </w:rPr>
              <w:t xml:space="preserve">че векселя  </w:t>
            </w:r>
            <w:r>
              <w:rPr>
                <w:sz w:val="20"/>
                <w:szCs w:val="20"/>
              </w:rPr>
              <w:t xml:space="preserve">АО «Россельхозбанк»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</w:t>
            </w: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03</w:t>
            </w:r>
            <w:r>
              <w:rPr>
                <w:sz w:val="20"/>
                <w:szCs w:val="20"/>
              </w:rPr>
              <w:t xml:space="preserve">.20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 xml:space="preserve">714</w:t>
            </w:r>
            <w:r>
              <w:rPr>
                <w:sz w:val="20"/>
                <w:szCs w:val="20"/>
              </w:rPr>
              <w:t xml:space="preserve">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</w:t>
            </w:r>
            <w:r>
              <w:rPr>
                <w:sz w:val="20"/>
                <w:szCs w:val="20"/>
              </w:rPr>
              <w:t xml:space="preserve">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</w:t>
            </w:r>
            <w:r>
              <w:rPr>
                <w:sz w:val="20"/>
                <w:szCs w:val="20"/>
              </w:rPr>
              <w:t xml:space="preserve">соответствии с законодательством), представлены на сайте Банка сети Интернет»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7" w:name="_Toc490219973"/>
      <w:r>
        <w:rPr>
          <w:sz w:val="24"/>
          <w:szCs w:val="24"/>
        </w:rPr>
        <w:t xml:space="preserve">5. Документарные операции</w:t>
      </w:r>
      <w:bookmarkEnd w:id="7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4811005751</w:t>
            </w:r>
            <w:r>
              <w:rPr>
                <w:bCs/>
                <w:color w:val="000000"/>
                <w:sz w:val="22"/>
                <w:szCs w:val="22"/>
              </w:rPr>
              <w:t xml:space="preserve">редитива;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ранее авизованного аккредитива, связанного с увеличением его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открытия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</w:t>
            </w:r>
            <w:r>
              <w:rPr>
                <w:bCs/>
                <w:color w:val="000000"/>
                <w:sz w:val="22"/>
                <w:szCs w:val="22"/>
              </w:rPr>
              <w:t xml:space="preserve">рублях 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5 000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50 000 руб.,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</w:rPr>
              <w:t xml:space="preserve">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аккредитива, открытого другим банком</w:t>
            </w:r>
            <w:r>
              <w:rPr>
                <w:bCs/>
                <w:color w:val="000000"/>
                <w:sz w:val="22"/>
                <w:szCs w:val="22"/>
              </w:rPr>
              <w:t xml:space="preserve">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</w:t>
            </w:r>
            <w:r>
              <w:rPr>
                <w:bCs/>
                <w:sz w:val="22"/>
                <w:szCs w:val="22"/>
              </w:rPr>
              <w:t xml:space="preserve">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</w:t>
            </w:r>
            <w:r>
              <w:rPr>
                <w:iCs/>
                <w:sz w:val="22"/>
                <w:szCs w:val="22"/>
              </w:rPr>
              <w:t xml:space="preserve">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5.1.3.2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</w:t>
            </w:r>
            <w:r>
              <w:rPr>
                <w:sz w:val="22"/>
                <w:szCs w:val="22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5.1.6.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</w:t>
            </w:r>
            <w:r>
              <w:rPr>
                <w:iCs/>
                <w:sz w:val="22"/>
                <w:szCs w:val="22"/>
              </w:rPr>
              <w:t xml:space="preserve">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в рублях </w:t>
            </w:r>
            <w:r>
              <w:rPr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5.2.1.2.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</w:t>
            </w:r>
            <w:r>
              <w:rPr>
                <w:bCs/>
                <w:color w:val="000000"/>
                <w:sz w:val="22"/>
                <w:szCs w:val="22"/>
              </w:rPr>
              <w:t xml:space="preserve">изменений, не связанных с увеличением суммы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5.2.6.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минимум10 000 руб., максимум 75 000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5.3.3.1.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5.3.3.2.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аккредитиву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3 500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5.3.5.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350 000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взимается за обработку/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из суммы, запрошенной к оплате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в рамках аккредитива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5.3.6.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bCs/>
                <w:color w:val="000000"/>
                <w:sz w:val="22"/>
                <w:szCs w:val="22"/>
              </w:rPr>
              <w:t xml:space="preserve">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100</w:t>
            </w:r>
            <w:r>
              <w:rPr>
                <w:sz w:val="22"/>
                <w:szCs w:val="22"/>
              </w:rPr>
              <w:t xml:space="preserve"> 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5.3.7.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9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ind w:left="184"/>
              <w:jc w:val="both"/>
              <w:spacing w:before="40" w:after="200"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5.4.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spacing w:before="120" w:after="12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Документарное инкассо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Прием, проверка, подготовка документов для отправки на инкассо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условий инкассового поручения или аннуляция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мин. </w:t>
            </w: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макс. 35 000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Возврат неоплаченных/неакцептованных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  <w:t xml:space="preserve"> за каждый комплект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5.4.5.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по инкассо по распоряжению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Style w:val="1103"/>
        <w:jc w:val="center"/>
        <w:rPr>
          <w:sz w:val="24"/>
          <w:szCs w:val="24"/>
        </w:rPr>
      </w:pPr>
      <w:r/>
      <w:bookmarkStart w:id="8" w:name="_Toc490219974"/>
      <w:r>
        <w:rPr>
          <w:sz w:val="24"/>
          <w:szCs w:val="24"/>
        </w:rPr>
        <w:t xml:space="preserve">6. Гарантийные операции</w:t>
      </w:r>
      <w:bookmarkEnd w:id="8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5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77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приказу АО «Россельхозбанк» от 01.08.2013 № 386-ОД), а также полномочий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584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51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</w:t>
            </w:r>
            <w:r>
              <w:rPr>
                <w:sz w:val="22"/>
                <w:szCs w:val="22"/>
              </w:rPr>
              <w:t xml:space="preserve">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6.2.2.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</w:t>
            </w:r>
            <w:r>
              <w:rPr>
                <w:sz w:val="20"/>
                <w:szCs w:val="20"/>
              </w:rPr>
              <w:t xml:space="preserve">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не указанных в п. 6.2.1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[Данная информация не включается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6.7.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779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Комиссия включает НДС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/>
      <w:bookmarkStart w:id="9" w:name="_Toc490219975"/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Дистанционное банковское обслуживание (ДБО)</w:t>
      </w:r>
      <w:bookmarkEnd w:id="9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3884"/>
        <w:gridCol w:w="1985"/>
        <w:gridCol w:w="3543"/>
      </w:tblGrid>
      <w:tr>
        <w:tblPrEx/>
        <w:trPr/>
        <w:tc>
          <w:tcPr>
            <w:tcW w:w="93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</w:t>
            </w:r>
            <w:r>
              <w:rPr>
                <w:bCs/>
                <w:sz w:val="20"/>
                <w:szCs w:val="20"/>
              </w:rPr>
              <w:t xml:space="preserve">Липецку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</w:t>
            </w:r>
            <w:r>
              <w:rPr>
                <w:bCs/>
                <w:sz w:val="20"/>
                <w:szCs w:val="20"/>
              </w:rPr>
              <w:t xml:space="preserve">»/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</w:t>
            </w:r>
            <w:r>
              <w:rPr>
                <w:bCs/>
                <w:sz w:val="20"/>
                <w:szCs w:val="20"/>
              </w:rPr>
              <w:t xml:space="preserve">Липецкой</w:t>
            </w:r>
            <w:r>
              <w:rPr>
                <w:bCs/>
                <w:sz w:val="20"/>
                <w:szCs w:val="20"/>
              </w:rPr>
              <w:t xml:space="preserve">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«Банк-Клиент»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000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/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</w:t>
            </w:r>
            <w:r>
              <w:rPr>
                <w:sz w:val="20"/>
                <w:szCs w:val="20"/>
              </w:rPr>
              <w:br/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</w:t>
            </w:r>
            <w:r>
              <w:rPr>
                <w:sz w:val="20"/>
                <w:szCs w:val="20"/>
              </w:rPr>
              <w:t xml:space="preserve">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«Интернет-Клиент»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</w:t>
            </w:r>
            <w:r>
              <w:rPr>
                <w:bCs/>
                <w:sz w:val="22"/>
                <w:szCs w:val="22"/>
              </w:rPr>
              <w:t xml:space="preserve">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«Мобильный банк»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«Свой Бизнес»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«Банк-Клиент»/ «Интернет-Клиент»/ «Мобильный банк»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для клиентов «Интернет-Клиент»</w:t>
            </w:r>
            <w:r>
              <w:rPr>
                <w:bCs/>
                <w:sz w:val="22"/>
                <w:szCs w:val="22"/>
              </w:rPr>
              <w:t xml:space="preserve">/ «Свой Бизнес»</w:t>
            </w:r>
            <w:r>
              <w:rPr>
                <w:bCs/>
                <w:sz w:val="22"/>
                <w:szCs w:val="22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bCs/>
                <w:sz w:val="22"/>
                <w:szCs w:val="22"/>
              </w:rPr>
              <w:t xml:space="preserve">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bCs/>
                <w:sz w:val="22"/>
                <w:szCs w:val="22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для клиентов, имеющих обязательства перед </w:t>
            </w:r>
            <w:r>
              <w:rPr>
                <w:sz w:val="22"/>
                <w:szCs w:val="22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900 руб. в месяц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2000</w:t>
            </w:r>
            <w:r>
              <w:rPr>
                <w:bCs/>
                <w:sz w:val="22"/>
                <w:szCs w:val="22"/>
              </w:rPr>
              <w:t xml:space="preserve">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 не более </w:t>
            </w:r>
            <w:r>
              <w:rPr>
                <w:bCs/>
                <w:sz w:val="22"/>
                <w:szCs w:val="22"/>
              </w:rPr>
              <w:t xml:space="preserve">5000</w:t>
            </w:r>
            <w:r>
              <w:rPr>
                <w:bCs/>
                <w:sz w:val="22"/>
                <w:szCs w:val="22"/>
              </w:rPr>
              <w:t xml:space="preserve"> руб. с одного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1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84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Формирование одного временного сертификата ключа проверки электронной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подписи на ключевом носителе Банка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</w:t>
            </w:r>
            <w:r>
              <w:rPr>
                <w:sz w:val="20"/>
                <w:szCs w:val="20"/>
              </w:rPr>
              <w:t xml:space="preserve">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0"/>
                <w:szCs w:val="20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2 000 руб.»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взымается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</w:t>
            </w:r>
            <w:r>
              <w:rPr>
                <w:sz w:val="20"/>
                <w:szCs w:val="20"/>
              </w:rPr>
              <w:t xml:space="preserve">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</w:t>
            </w:r>
            <w:r>
              <w:rPr>
                <w:sz w:val="20"/>
                <w:szCs w:val="20"/>
              </w:rPr>
              <w:t xml:space="preserve"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</w:t>
            </w:r>
            <w:r>
              <w:rPr>
                <w:bCs/>
                <w:sz w:val="20"/>
                <w:szCs w:val="20"/>
              </w:rPr>
              <w:t xml:space="preserve">я клиентом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55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</w:t>
            </w:r>
            <w:r>
              <w:rPr>
                <w:bCs/>
                <w:sz w:val="20"/>
                <w:szCs w:val="20"/>
              </w:rPr>
              <w:t xml:space="preserve">530</w:t>
            </w:r>
            <w:r>
              <w:rPr>
                <w:bCs/>
                <w:sz w:val="20"/>
                <w:szCs w:val="20"/>
              </w:rPr>
              <w:t xml:space="preserve">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</w:t>
            </w:r>
            <w:r>
              <w:rPr>
                <w:bCs/>
                <w:sz w:val="20"/>
                <w:szCs w:val="20"/>
              </w:rPr>
              <w:t xml:space="preserve">«от даты заключения Удостоверяющего центра АО «Россельхозбанк»»/ заключения экспертной группы».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1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 0</w:t>
            </w:r>
            <w:r>
              <w:rPr>
                <w:bCs/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</w:t>
            </w:r>
            <w:r>
              <w:rPr>
                <w:bCs/>
                <w:sz w:val="20"/>
                <w:szCs w:val="20"/>
              </w:rPr>
              <w:t xml:space="preserve">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</w:t>
            </w:r>
            <w:r>
              <w:rPr>
                <w:bCs/>
                <w:sz w:val="20"/>
                <w:szCs w:val="20"/>
              </w:rPr>
              <w:t xml:space="preserve">/ 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84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/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/>
              <w:t xml:space="preserve">к Сервису, </w:t>
            </w:r>
            <w:r>
              <w:rPr>
                <w:sz w:val="20"/>
                <w:szCs w:val="20"/>
              </w:rPr>
              <w:br/>
              <w:t xml:space="preserve">и за каждый телефонный номер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</w:t>
            </w:r>
            <w:r>
              <w:rPr>
                <w:bCs/>
                <w:sz w:val="20"/>
                <w:szCs w:val="20"/>
              </w:rPr>
              <w:t xml:space="preserve">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системах «Интернет-Клиент», «Мобильный банк</w:t>
            </w:r>
            <w:r>
              <w:rPr>
                <w:sz w:val="20"/>
                <w:szCs w:val="20"/>
              </w:rPr>
              <w:t xml:space="preserve">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«Без взимания комиссии в Банке обслуживаются: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головного исполнителя;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отдельные счета исполнителя государственного оборонного заказа;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организациями средств компенсационного фонда возмещения вреда;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публичные депозитные счета.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Применяется при предоставлении услуг, указанных в разделе 7 «Дистанционное банковское обслуживание (ДБО)» настоящих тарифов».».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«2. Дистанционное банковское обслуживание бюджетных учреждени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разделе 7 «Дистанционное банковское обслуживание (ДБО)» настоящих тарифов.».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rPr>
          <w:bCs/>
          <w:iCs/>
          <w:sz w:val="16"/>
          <w:szCs w:val="16"/>
          <w:u w:val="single"/>
        </w:rPr>
      </w:pPr>
      <w:r>
        <w:rPr>
          <w:i/>
          <w:sz w:val="16"/>
          <w:szCs w:val="16"/>
        </w:rPr>
        <w:t xml:space="preserve">     </w:t>
      </w:r>
      <w:r>
        <w:rPr>
          <w:bCs/>
          <w:iCs/>
          <w:sz w:val="16"/>
          <w:szCs w:val="16"/>
          <w:u w:val="single"/>
        </w:rPr>
        <w:t xml:space="preserve">Примечание: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rPr>
          <w:bCs/>
          <w:iCs/>
          <w:sz w:val="16"/>
          <w:szCs w:val="16"/>
          <w:u w:val="single"/>
        </w:rPr>
      </w:pPr>
      <w:r>
        <w:rPr>
          <w:bCs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Cs/>
          <w:sz w:val="16"/>
          <w:szCs w:val="16"/>
          <w:u w:val="single"/>
        </w:rPr>
      </w:r>
      <w:r>
        <w:rPr>
          <w:bCs/>
          <w:iCs/>
          <w:sz w:val="16"/>
          <w:szCs w:val="16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1.</w:t>
      </w:r>
      <w:r>
        <w:rPr>
          <w:bCs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2.</w:t>
      </w:r>
      <w:r>
        <w:rPr>
          <w:bCs/>
          <w:iCs/>
          <w:sz w:val="16"/>
          <w:szCs w:val="16"/>
        </w:rPr>
        <w:tab/>
        <w:t xml:space="preserve">Дистанционное банковское о</w:t>
      </w:r>
      <w:r>
        <w:rPr>
          <w:bCs/>
          <w:iCs/>
          <w:color w:val="000000"/>
          <w:sz w:val="16"/>
          <w:szCs w:val="16"/>
        </w:rPr>
        <w:t xml:space="preserve">бслуживание бюджетных (некоммерческих) учреждений осуществляется бесплатно. 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3.</w:t>
      </w:r>
      <w:r>
        <w:rPr>
          <w:bCs/>
          <w:iCs/>
          <w:sz w:val="16"/>
          <w:szCs w:val="16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4.</w:t>
      </w:r>
      <w:r>
        <w:rPr>
          <w:bCs/>
          <w:iCs/>
          <w:sz w:val="16"/>
          <w:szCs w:val="16"/>
        </w:rPr>
        <w:tab/>
      </w:r>
      <w:r>
        <w:rPr>
          <w:sz w:val="16"/>
          <w:szCs w:val="16"/>
        </w:rPr>
        <w:t xml:space="preserve">По операциям, совершаемым через систему ДБО «Мобильный банк»</w:t>
      </w:r>
      <w:r>
        <w:rPr>
          <w:sz w:val="16"/>
          <w:szCs w:val="16"/>
        </w:rPr>
        <w:t xml:space="preserve">/ Мобильное приложение «Свой Бизнес Мобайл»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, установлены следующие лимиты:</w:t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p>
      <w:pPr>
        <w:ind w:left="1440" w:right="198" w:hanging="720"/>
        <w:jc w:val="center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06"/>
        <w:tabs>
          <w:tab w:val="left" w:pos="4678" w:leader="none"/>
        </w:tabs>
      </w:pPr>
      <w:r/>
      <w:r/>
    </w:p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10" w:name="_Toc490219976"/>
      <w:r>
        <w:rPr>
          <w:sz w:val="24"/>
          <w:szCs w:val="24"/>
        </w:rPr>
        <w:t xml:space="preserve">8. Хранение ценностей клиентов в хранилище ценностей Банка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0"/>
        </w:rPr>
      </w:pPr>
      <w:r>
        <w:rPr>
          <w:b/>
          <w:sz w:val="20"/>
        </w:rPr>
        <w:t xml:space="preserve">(с учетом НДС)</w:t>
      </w:r>
      <w:r>
        <w:rPr>
          <w:b/>
          <w:sz w:val="20"/>
        </w:rPr>
      </w:r>
      <w:r>
        <w:rPr>
          <w:b/>
          <w:sz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$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До  10 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11 мест до 20 мест 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21 места до 30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1</w:t>
            </w:r>
            <w:r>
              <w:rPr>
                <w:bCs/>
                <w:sz w:val="20"/>
              </w:rPr>
              <w:t xml:space="preserve">55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От 31 места до 40 мест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</w:rPr>
              <w:t xml:space="preserve">205</w:t>
            </w:r>
            <w:r>
              <w:rPr>
                <w:bCs/>
                <w:sz w:val="20"/>
              </w:rPr>
              <w:t xml:space="preserve"> долл. США</w:t>
            </w:r>
            <w:r>
              <w:rPr>
                <w:bCs/>
                <w:sz w:val="20"/>
              </w:rPr>
              <w:t xml:space="preserve">»</w:t>
            </w:r>
            <w:r>
              <w:rPr>
                <w:bCs/>
                <w:sz w:val="20"/>
                <w:lang w:val="en-US"/>
              </w:rPr>
            </w:r>
            <w:r>
              <w:rPr>
                <w:bCs/>
                <w:sz w:val="20"/>
                <w:lang w:val="en-US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1" w:name="_Toc490219977"/>
      <w:r>
        <w:rPr>
          <w:sz w:val="24"/>
          <w:szCs w:val="24"/>
        </w:rPr>
        <w:t xml:space="preserve">9. Аренда клиентами индивидуальных сейфовых ячеек</w:t>
      </w:r>
      <w:bookmarkEnd w:id="1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Тариф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Примечание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2" w:name="_Toc490219978"/>
      <w:r>
        <w:rPr>
          <w:sz w:val="24"/>
          <w:szCs w:val="24"/>
        </w:rPr>
        <w:t xml:space="preserve">10. Услуги инкассации</w:t>
      </w:r>
      <w:bookmarkEnd w:id="12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2"/>
        <w:gridCol w:w="3546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наличности, проинкассированной службой инкассации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10.3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103"/>
        <w:rPr>
          <w:sz w:val="24"/>
          <w:szCs w:val="24"/>
        </w:rPr>
      </w:pPr>
      <w:r>
        <w:tab/>
      </w:r>
      <w:bookmarkStart w:id="13" w:name="_Toc490219979"/>
      <w:r>
        <w:rPr>
          <w:sz w:val="24"/>
          <w:szCs w:val="24"/>
        </w:rPr>
        <w:t xml:space="preserve">11. Операции по покупке-продаже иностранной валюты</w:t>
      </w:r>
      <w:bookmarkEnd w:id="13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70"/>
        <w:gridCol w:w="1985"/>
        <w:gridCol w:w="1842"/>
        <w:gridCol w:w="1695"/>
      </w:tblGrid>
      <w:tr>
        <w:tblPrEx/>
        <w:trPr>
          <w:trHeight w:val="227"/>
          <w:tblHeader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Наименование услуги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Курс исполнения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353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Комиссия (в % от суммы операции)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97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Сумма операции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Ставка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</w:t>
            </w:r>
            <w:r>
              <w:rPr>
                <w:sz w:val="20"/>
              </w:rPr>
              <w:t xml:space="preserve">клиентом распоряжения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</w:t>
            </w:r>
            <w:r>
              <w:rPr>
                <w:sz w:val="20"/>
              </w:rPr>
              <w:t xml:space="preserve">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</w:t>
            </w:r>
            <w:r>
              <w:rPr>
                <w:sz w:val="20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0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11.1.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1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11.2.</w:t>
            </w:r>
            <w:r>
              <w:rPr>
                <w:sz w:val="20"/>
                <w:lang w:val="en-US"/>
              </w:rPr>
              <w:t xml:space="preserve">2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Курс Банка² ³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695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взимается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W w:w="9492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5"/>
        <w:jc w:val="both"/>
        <w:tabs>
          <w:tab w:val="center" w:pos="126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При совершении Банком операций, указанных в п.п. 11.1.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, 11.1.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11.2.</w:t>
      </w:r>
      <w:r>
        <w:rPr>
          <w:i/>
          <w:sz w:val="16"/>
          <w:szCs w:val="16"/>
        </w:rPr>
        <w:t xml:space="preserve">1</w:t>
      </w:r>
      <w:r>
        <w:rPr>
          <w:i/>
          <w:sz w:val="16"/>
          <w:szCs w:val="16"/>
        </w:rPr>
        <w:t xml:space="preserve"> и 11.2.</w:t>
      </w:r>
      <w:r>
        <w:rPr>
          <w:i/>
          <w:sz w:val="16"/>
          <w:szCs w:val="16"/>
        </w:rPr>
        <w:t xml:space="preserve">2</w:t>
      </w:r>
      <w:r>
        <w:rPr>
          <w:i/>
          <w:sz w:val="16"/>
          <w:szCs w:val="16"/>
        </w:rPr>
        <w:t xml:space="preserve">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03"/>
        <w:jc w:val="center"/>
        <w:rPr>
          <w:sz w:val="24"/>
          <w:szCs w:val="24"/>
        </w:rPr>
      </w:pPr>
      <w:r/>
      <w:bookmarkStart w:id="14" w:name="_Toc490219980"/>
      <w:r>
        <w:rPr>
          <w:sz w:val="24"/>
          <w:szCs w:val="24"/>
        </w:rPr>
        <w:t xml:space="preserve">12. Кредитные операции</w:t>
      </w:r>
      <w:bookmarkEnd w:id="14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</w:t>
            </w:r>
            <w:r>
              <w:rPr>
                <w:sz w:val="20"/>
                <w:szCs w:val="20"/>
              </w:rPr>
              <w:t xml:space="preserve">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12.2.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</w:t>
            </w:r>
            <w:r>
              <w:rPr>
                <w:bCs/>
                <w:sz w:val="20"/>
                <w:szCs w:val="20"/>
              </w:rPr>
              <w:t xml:space="preserve"> «О</w:t>
            </w:r>
            <w:r>
              <w:rPr>
                <w:bCs/>
                <w:sz w:val="20"/>
                <w:szCs w:val="20"/>
              </w:rPr>
              <w:t xml:space="preserve">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36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6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9"/>
              <w:numPr>
                <w:ilvl w:val="0"/>
                <w:numId w:val="36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</w:t>
            </w:r>
            <w:r>
              <w:rPr>
                <w:bCs/>
                <w:sz w:val="20"/>
                <w:szCs w:val="20"/>
              </w:rPr>
              <w:t xml:space="preserve">с Перечнем 2 раздела 12 «Кредитные операции» настоящих Тарифов</w:t>
            </w:r>
            <w:r>
              <w:rPr>
                <w:rStyle w:val="1136"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</w:pPr>
            <w:r>
              <w:t xml:space="preserve">Не более </w:t>
            </w:r>
            <w:r/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t xml:space="preserve">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t xml:space="preserve">12.4.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</w:pPr>
            <w:r>
              <w:rPr>
                <w:bCs/>
              </w:rPr>
              <w:t xml:space="preserve">12.</w:t>
            </w:r>
            <w:r>
              <w:rPr>
                <w:bCs/>
                <w:lang w:val="en-US"/>
              </w:rPr>
              <w:t xml:space="preserve">5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</w:rPr>
            </w:pPr>
            <w:r>
              <w:rPr>
                <w:bCs/>
              </w:rPr>
              <w:t xml:space="preserve">12.6.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/>
              <w:t xml:space="preserve">с графиком погашения (возврата) кредита (основного долга)/ </w:t>
            </w:r>
            <w:r>
              <w:rPr>
                <w:sz w:val="20"/>
                <w:szCs w:val="20"/>
              </w:rPr>
              <w:t xml:space="preserve">окончательной даты возврата кредита </w:t>
            </w:r>
            <w:r>
              <w:rPr>
                <w:sz w:val="20"/>
                <w:szCs w:val="20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</w:t>
            </w:r>
            <w:r>
              <w:rPr>
                <w:sz w:val="20"/>
                <w:szCs w:val="20"/>
              </w:rPr>
              <w:t xml:space="preserve">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/>
              <w:t xml:space="preserve">при установлении срока транша </w:t>
            </w:r>
            <w:r>
              <w:rPr>
                <w:bCs/>
                <w:sz w:val="20"/>
                <w:szCs w:val="20"/>
              </w:rPr>
              <w:t xml:space="preserve">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решения Министерства промышленности и торговли Российской Федерации о порядке предоставления субсидии № 23-60109-</w:t>
            </w:r>
            <w:r>
              <w:rPr>
                <w:bCs/>
                <w:sz w:val="20"/>
                <w:szCs w:val="20"/>
              </w:rPr>
              <w:t xml:space="preserve">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</w:t>
            </w:r>
            <w:r>
              <w:rPr>
                <w:bCs/>
                <w:sz w:val="20"/>
                <w:szCs w:val="20"/>
              </w:rPr>
              <w:t xml:space="preserve">до плановой даты погашения и уплачивается в дату досрочного возврата кредита либо его части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</w:rPr>
            </w:pPr>
            <w:r>
              <w:rPr>
                <w:bCs/>
              </w:rPr>
              <w:t xml:space="preserve">12.8.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  <w:sz w:val="20"/>
                <w:szCs w:val="20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</w:t>
      </w:r>
      <w:r>
        <w:rPr>
          <w:b/>
          <w:bCs/>
          <w:iCs/>
          <w:sz w:val="20"/>
          <w:szCs w:val="20"/>
          <w:u w:val="single"/>
        </w:rPr>
        <w:t xml:space="preserve">ьготны</w:t>
      </w:r>
      <w:r>
        <w:rPr>
          <w:b/>
          <w:bCs/>
          <w:iCs/>
          <w:sz w:val="20"/>
          <w:szCs w:val="20"/>
          <w:u w:val="single"/>
        </w:rPr>
        <w:t xml:space="preserve">е</w:t>
      </w:r>
      <w:r>
        <w:rPr>
          <w:b/>
          <w:bCs/>
          <w:iCs/>
          <w:sz w:val="20"/>
          <w:szCs w:val="20"/>
          <w:u w:val="single"/>
        </w:rPr>
        <w:t xml:space="preserve"> программ</w:t>
      </w:r>
      <w:r>
        <w:rPr>
          <w:b/>
          <w:bCs/>
          <w:iCs/>
          <w:sz w:val="20"/>
          <w:szCs w:val="20"/>
          <w:u w:val="single"/>
        </w:rPr>
        <w:t xml:space="preserve">ы</w:t>
      </w:r>
      <w:r>
        <w:rPr>
          <w:b/>
          <w:bCs/>
          <w:iCs/>
          <w:sz w:val="20"/>
          <w:szCs w:val="20"/>
          <w:u w:val="single"/>
        </w:rPr>
        <w:t xml:space="preserve">, комиссии по которым не взимаются</w:t>
      </w:r>
      <w:r>
        <w:rPr>
          <w:b/>
          <w:bCs/>
          <w:iCs/>
          <w:sz w:val="20"/>
          <w:szCs w:val="20"/>
          <w:u w:val="single"/>
        </w:rPr>
        <w:t xml:space="preserve"> в соответствии с Перечнями 1-2</w:t>
      </w:r>
      <w:r>
        <w:rPr>
          <w:b/>
          <w:bCs/>
          <w:iCs/>
          <w:sz w:val="20"/>
          <w:szCs w:val="20"/>
          <w:u w:val="single"/>
        </w:rPr>
        <w:t xml:space="preserve">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 инвесторам для реализации инвестиционны</w:t>
      </w:r>
      <w:r>
        <w:rPr>
          <w:bCs/>
          <w:iCs/>
          <w:sz w:val="20"/>
          <w:szCs w:val="20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bCs/>
          <w:iCs/>
          <w:sz w:val="20"/>
          <w:szCs w:val="20"/>
        </w:rPr>
        <w:t xml:space="preserve"> (далее – ППРФ </w:t>
      </w:r>
      <w:r>
        <w:rPr>
          <w:bCs/>
          <w:iCs/>
          <w:sz w:val="20"/>
          <w:szCs w:val="20"/>
        </w:rPr>
        <w:t xml:space="preserve">от 09.02.2021 № 141</w:t>
      </w:r>
      <w:r>
        <w:rPr>
          <w:bCs/>
          <w:iCs/>
          <w:sz w:val="20"/>
          <w:szCs w:val="20"/>
        </w:rPr>
        <w:t xml:space="preserve">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от 05.12.2019 № 1598)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05.12.2019 № 1598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Cs/>
          <w:sz w:val="20"/>
          <w:szCs w:val="20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bCs/>
          <w:iCs/>
          <w:sz w:val="20"/>
          <w:szCs w:val="20"/>
        </w:rPr>
        <w:t xml:space="preserve">(далее – ППРФ </w:t>
      </w:r>
      <w:r>
        <w:rPr>
          <w:bCs/>
          <w:iCs/>
          <w:sz w:val="20"/>
          <w:szCs w:val="20"/>
        </w:rPr>
        <w:t xml:space="preserve">от 30.12.2017 № 1706</w:t>
      </w:r>
      <w:r>
        <w:rPr>
          <w:bCs/>
          <w:iCs/>
          <w:sz w:val="20"/>
          <w:szCs w:val="20"/>
        </w:rPr>
        <w:t xml:space="preserve">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1528)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</w:t>
      </w:r>
      <w:r>
        <w:rPr>
          <w:bCs/>
          <w:iCs/>
          <w:sz w:val="20"/>
          <w:szCs w:val="20"/>
        </w:rPr>
        <w:t xml:space="preserve">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/>
      </w:r>
      <w:r>
        <w:rPr>
          <w:bCs/>
          <w:iCs/>
          <w:sz w:val="20"/>
          <w:szCs w:val="20"/>
        </w:rPr>
        <w:t xml:space="preserve">№ 1764)</w:t>
      </w:r>
      <w:r>
        <w:rPr>
          <w:bCs/>
          <w:iCs/>
          <w:sz w:val="20"/>
          <w:szCs w:val="20"/>
        </w:rPr>
        <w:t xml:space="preserve">;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</w:t>
      </w:r>
      <w:r>
        <w:rPr>
          <w:bCs/>
          <w:iCs/>
          <w:sz w:val="20"/>
          <w:szCs w:val="20"/>
        </w:rPr>
        <w:t xml:space="preserve">пр</w:t>
      </w:r>
      <w:r>
        <w:rPr>
          <w:bCs/>
          <w:iCs/>
          <w:sz w:val="20"/>
          <w:szCs w:val="20"/>
        </w:rPr>
        <w:t xml:space="preserve">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</w:t>
      </w:r>
      <w:r>
        <w:rPr>
          <w:bCs/>
          <w:iCs/>
          <w:sz w:val="20"/>
          <w:szCs w:val="20"/>
        </w:rPr>
        <w:t xml:space="preserve">)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№258-Р)</w:t>
      </w:r>
      <w:r>
        <w:rPr>
          <w:sz w:val="20"/>
          <w:szCs w:val="20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sz w:val="20"/>
          <w:szCs w:val="20"/>
        </w:rPr>
        <w:t xml:space="preserve">(далее – Решение №358-Р)</w:t>
      </w:r>
      <w:r>
        <w:rPr>
          <w:sz w:val="20"/>
          <w:szCs w:val="20"/>
        </w:rPr>
        <w:t xml:space="preserve">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</w:t>
      </w:r>
      <w:r>
        <w:rPr>
          <w:sz w:val="20"/>
          <w:szCs w:val="20"/>
        </w:rPr>
        <w:t xml:space="preserve">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(далее – Решение №1201-Р)</w:t>
      </w:r>
      <w:r>
        <w:rPr>
          <w:sz w:val="20"/>
          <w:szCs w:val="20"/>
        </w:rPr>
        <w:t xml:space="preserve">, принятого в соответствии с ППРФ от 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-при кредитовании в рамках решения Министерства сельского хозяйства Российской Федерации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порядке</w:t>
      </w:r>
      <w:r>
        <w:rPr>
          <w:sz w:val="20"/>
          <w:szCs w:val="20"/>
        </w:rPr>
        <w:t xml:space="preserve"> п</w:t>
      </w:r>
      <w:r>
        <w:rPr>
          <w:sz w:val="20"/>
          <w:szCs w:val="20"/>
        </w:rPr>
        <w:t xml:space="preserve">редоставления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субсидии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</w:t>
      </w:r>
      <w:r>
        <w:rPr>
          <w:sz w:val="20"/>
          <w:szCs w:val="20"/>
        </w:rPr>
        <w:t xml:space="preserve">Сельскохозяйственный банк» в целях компенса</w:t>
      </w:r>
      <w:r>
        <w:rPr>
          <w:sz w:val="20"/>
          <w:szCs w:val="20"/>
        </w:rPr>
        <w:t xml:space="preserve">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25.10.2023 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 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t xml:space="preserve">№ 1780.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25-66428-01969-Р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1969-Р), принятого в соответствии с ППРФ от 25.10.2023 № 1780;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25-68850-01698-Р «Возмещение недополученных российскими кредитными организациями, международ</w:t>
      </w:r>
      <w:r>
        <w:rPr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1698-Р), принятого в соответствии с ППРФ от 25.10.2023 № 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left" w:pos="1276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ind w:firstLine="709"/>
        <w:jc w:val="both"/>
        <w:spacing w:before="120"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</w:t>
      </w:r>
      <w:r>
        <w:rPr>
          <w:bCs/>
          <w:iCs/>
          <w:sz w:val="20"/>
          <w:szCs w:val="20"/>
        </w:rPr>
        <w:t xml:space="preserve">Льготные программы кредитования в рамках </w:t>
      </w:r>
      <w:r>
        <w:rPr>
          <w:bCs/>
          <w:iCs/>
          <w:sz w:val="20"/>
          <w:szCs w:val="20"/>
        </w:rPr>
        <w:t xml:space="preserve">решений о порядке предоставления субсидии, разработанных в соответствии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iCs/>
          <w:sz w:val="20"/>
          <w:szCs w:val="20"/>
        </w:rPr>
        <w:t xml:space="preserve">».».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spacing w:before="120" w:after="40"/>
        <w:tabs>
          <w:tab w:val="left" w:pos="1134" w:leader="none"/>
        </w:tabs>
      </w:pPr>
      <w:r/>
      <w:r/>
    </w:p>
    <w:p>
      <w:pPr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r/>
      <w:r/>
    </w:p>
    <w:p>
      <w:pPr>
        <w:pStyle w:val="1103"/>
        <w:jc w:val="center"/>
        <w:rPr>
          <w:sz w:val="24"/>
          <w:szCs w:val="24"/>
        </w:rPr>
      </w:pPr>
      <w:r/>
      <w:bookmarkStart w:id="15" w:name="_Toc490219981"/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03"/>
        <w:jc w:val="center"/>
      </w:pPr>
      <w:r>
        <w:rPr>
          <w:sz w:val="24"/>
          <w:szCs w:val="24"/>
        </w:rPr>
        <w:t xml:space="preserve">13. </w:t>
      </w:r>
      <w:bookmarkEnd w:id="15"/>
      <w:r>
        <w:rPr>
          <w:sz w:val="24"/>
          <w:szCs w:val="24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</w:t>
      </w:r>
      <w:r>
        <w:rPr>
          <w:sz w:val="24"/>
          <w:szCs w:val="24"/>
        </w:rPr>
        <w:t xml:space="preserve"> платежной системы Банка России</w:t>
      </w:r>
      <w:r>
        <w:rPr>
          <w:sz w:val="24"/>
          <w:szCs w:val="24"/>
        </w:rPr>
        <w:t xml:space="preserve">.</w:t>
      </w:r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3940"/>
        <w:gridCol w:w="3289"/>
        <w:gridCol w:w="223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13.1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2"/>
                <w:szCs w:val="22"/>
              </w:rPr>
            </w:pPr>
            <w: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2"/>
                <w:szCs w:val="22"/>
              </w:rPr>
            </w:r>
            <w:r>
              <w:rPr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  <w:t xml:space="preserve">Приложению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Тарифам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keepLines/>
              <w:keepNext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 «Россельхозбанк» (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</w:t>
            </w:r>
            <w:r>
              <w:rPr>
                <w:sz w:val="20"/>
                <w:szCs w:val="20"/>
              </w:rPr>
              <w:t xml:space="preserve">дпринимателей и самозанятых.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1 500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</w:t>
            </w:r>
            <w:r>
              <w:rPr>
                <w:sz w:val="20"/>
                <w:szCs w:val="20"/>
              </w:rPr>
              <w:t xml:space="preserve">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</w:t>
            </w:r>
            <w:r>
              <w:rPr>
                <w:sz w:val="20"/>
                <w:szCs w:val="20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0,1 руб. за операцию в сумме до 125,00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0,24 руб. за операцию в сумме от 125,01 руб. до 250,00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0,60 руб. за операцию в сумме от 250,01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1,60 руб. за операцию в сумме от 1 000,01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3 000,00 руб.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4,00 руб. за операцию в сумме от 3 000,01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6 000,00 рублей (включительно);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6,00 руб. за операцию в сумме от 6 000,01 руб. до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999 999,99 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3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after="60"/>
        <w:tabs>
          <w:tab w:val="left" w:pos="1134" w:leader="none"/>
        </w:tabs>
        <w:rPr>
          <w:sz w:val="20"/>
          <w:szCs w:val="20"/>
        </w:rPr>
      </w:pPr>
      <w:r>
        <w:rPr>
          <w:i/>
          <w:sz w:val="16"/>
        </w:rPr>
        <w:t xml:space="preserve">Примечание: </w:t>
      </w:r>
      <w:bookmarkStart w:id="16" w:name="_Toc490219982"/>
      <w:r>
        <w:rPr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</w:t>
      </w:r>
      <w:r>
        <w:rPr>
          <w:sz w:val="20"/>
          <w:szCs w:val="20"/>
        </w:rPr>
        <w:t xml:space="preserve">я комиссионного вознаграждения.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14. Депозитарные услуги</w:t>
      </w:r>
      <w:r>
        <w:rPr>
          <w:sz w:val="24"/>
          <w:szCs w:val="24"/>
        </w:rPr>
        <w:footnoteReference w:customMarkFollows="1" w:id="6"/>
      </w:r>
      <w:r>
        <w:rPr>
          <w:rFonts w:ascii="Symbol" w:hAnsi="Symbol" w:eastAsia="Symbol" w:cs="Symbol"/>
          <w:sz w:val="24"/>
          <w:szCs w:val="24"/>
        </w:rPr>
        <w:t xml:space="preserve">*</w:t>
      </w:r>
      <w:bookmarkEnd w:id="1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594"/>
        <w:gridCol w:w="283"/>
        <w:gridCol w:w="992"/>
        <w:gridCol w:w="993"/>
        <w:gridCol w:w="3543"/>
      </w:tblGrid>
      <w:tr>
        <w:tblPrEx/>
        <w:trPr>
          <w:trHeight w:val="273"/>
        </w:trPr>
        <w:tc>
          <w:tcPr>
            <w:gridSpan w:val="6"/>
            <w:tcW w:w="1031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7" w:name="_Toc95617936"/>
            <w:r>
              <w:rPr>
                <w:b/>
                <w:sz w:val="20"/>
                <w:szCs w:val="20"/>
              </w:rPr>
              <w:t xml:space="preserve">Тариф</w:t>
            </w:r>
            <w:bookmarkEnd w:id="17"/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92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818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18" w:name="_Toc95617938"/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.2. </w:t>
            </w:r>
            <w:bookmarkEnd w:id="18"/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«14.2.1.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</w:t>
            </w:r>
            <w:r>
              <w:rPr>
                <w:bCs/>
                <w:sz w:val="20"/>
                <w:szCs w:val="20"/>
              </w:rPr>
              <w:t xml:space="preserve">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2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.2.3.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449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14.2.3.</w:t>
            </w:r>
            <w:r>
              <w:rPr>
                <w:bCs/>
                <w:sz w:val="20"/>
                <w:szCs w:val="20"/>
              </w:rPr>
              <w:t xml:space="preserve">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15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0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</w:t>
            </w:r>
            <w:r>
              <w:rPr>
                <w:bCs/>
                <w:iCs/>
                <w:sz w:val="20"/>
                <w:szCs w:val="20"/>
              </w:rPr>
              <w:t xml:space="preserve">принятых </w:t>
            </w:r>
            <w:r>
              <w:rPr>
                <w:bCs/>
                <w:iCs/>
                <w:sz w:val="20"/>
                <w:szCs w:val="20"/>
              </w:rPr>
              <w:br/>
              <w:t xml:space="preserve">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36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облигаций,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7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и  </w:t>
            </w:r>
            <w:r>
              <w:rPr>
                <w:bCs/>
                <w:sz w:val="20"/>
                <w:szCs w:val="20"/>
              </w:rPr>
              <w:t xml:space="preserve">российских депозитарных расписок</w:t>
            </w:r>
            <w:r>
              <w:rPr>
                <w:bCs/>
                <w:sz w:val="20"/>
                <w:szCs w:val="20"/>
              </w:rPr>
              <w:t xml:space="preserve">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6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94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за исключением 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паев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инвестиционных фондов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837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  <w:lang w:val="en-US"/>
              </w:rPr>
              <w:t xml:space="preserve">.2.7.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94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both"/>
              <w:spacing w:before="40" w:after="40"/>
              <w:rPr>
                <w:rFonts w:eastAsia="Times New Roman"/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rFonts w:eastAsia="Times New Roman"/>
                <w:bCs/>
                <w:color w:val="auto"/>
              </w:rPr>
            </w:r>
            <w:r>
              <w:rPr>
                <w:rFonts w:eastAsia="Times New Roman"/>
                <w:bCs/>
                <w:color w:val="auto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.3. Прием / выдача  сертификатов ценных  бумаг</w:t>
            </w:r>
            <w:r>
              <w:rPr>
                <w:sz w:val="20"/>
                <w:szCs w:val="20"/>
              </w:rPr>
              <w:t xml:space="preserve">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 сертификатов эмисcионных  ценных 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2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4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5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.4. Переводы ценных бумаг и иностранных  финансовых 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ffffff"/>
            <w:tcW w:w="3877" w:type="dxa"/>
            <w:textDirection w:val="lrTb"/>
            <w:noWrap w:val="false"/>
          </w:tcPr>
          <w:p>
            <w:pPr>
              <w:pStyle w:val="1150"/>
              <w:spacing w:after="4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sz w:val="20"/>
                <w:szCs w:val="20"/>
              </w:rPr>
            </w:r>
            <w:r>
              <w:rPr>
                <w:rFonts w:eastAsia="Times New Roman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600 руб.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50"/>
              <w:spacing w:before="40" w:after="4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  <w:r>
              <w:rPr>
                <w:rFonts w:eastAsia="Times New Roman"/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</w:t>
            </w:r>
            <w:r>
              <w:rPr>
                <w:sz w:val="20"/>
                <w:szCs w:val="20"/>
              </w:rPr>
              <w:t xml:space="preserve">азделам счета депо (по счетам   </w:t>
            </w:r>
            <w:r>
              <w:rPr>
                <w:sz w:val="20"/>
                <w:szCs w:val="20"/>
              </w:rPr>
              <w:t xml:space="preserve">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 / продажи ценных бумаг, совершен</w:t>
            </w:r>
            <w:r>
              <w:rPr>
                <w:sz w:val="20"/>
                <w:szCs w:val="20"/>
              </w:rPr>
              <w:t xml:space="preserve">ным через брокера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 поставка ценных  бумаг без  платежа  с контролем  поступления денежных  средств на  счет 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 от суммы сделки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Borders>
              <w:bottom w:val="single" w:color="auto" w:sz="4" w:space="0"/>
            </w:tcBorders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 Операции  по 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</w:tcBorders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 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100" w:after="1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«14.6.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Корпоративные действия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</w:t>
            </w:r>
            <w:r>
              <w:rPr>
                <w:bCs/>
                <w:sz w:val="20"/>
                <w:szCs w:val="20"/>
              </w:rPr>
              <w:t xml:space="preserve">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</w:t>
            </w:r>
            <w:r>
              <w:rPr>
                <w:bCs/>
                <w:sz w:val="20"/>
                <w:szCs w:val="20"/>
              </w:rPr>
              <w:t xml:space="preserve">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4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5"/>
        </w:trPr>
        <w:tc>
          <w:tcPr>
            <w:gridSpan w:val="6"/>
            <w:tcW w:w="103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взимается».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до 1 года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от 1 года до 3-х лет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 период более 3-х лет до даты получения запроса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00</w:t>
            </w:r>
            <w:r>
              <w:rPr>
                <w:sz w:val="22"/>
                <w:szCs w:val="22"/>
                <w:lang w:val="en-US"/>
              </w:rPr>
              <w:t xml:space="preserve">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0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14.8.6.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8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1103"/>
        <w:jc w:val="center"/>
        <w:rPr>
          <w:sz w:val="24"/>
          <w:szCs w:val="24"/>
        </w:rPr>
      </w:pPr>
      <w:r/>
      <w:bookmarkStart w:id="19" w:name="_Toc490219983"/>
      <w:r>
        <w:rPr>
          <w:sz w:val="24"/>
          <w:szCs w:val="24"/>
        </w:rPr>
        <w:t xml:space="preserve">15. Операции с монетами из драгоценных металлов.</w:t>
      </w:r>
      <w:bookmarkEnd w:id="19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877"/>
        <w:gridCol w:w="1985"/>
        <w:gridCol w:w="3543"/>
      </w:tblGrid>
      <w:tr>
        <w:tblPrEx/>
        <w:trPr>
          <w:trHeight w:val="309"/>
        </w:trPr>
        <w:tc>
          <w:tcPr>
            <w:tcW w:w="9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773"/>
        </w:trPr>
        <w:tc>
          <w:tcPr>
            <w:tcW w:w="909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87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</w:t>
            </w:r>
            <w:r>
              <w:rPr>
                <w:sz w:val="20"/>
                <w:szCs w:val="20"/>
              </w:rPr>
              <w:t xml:space="preserve">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</w:t>
            </w:r>
            <w:r>
              <w:rPr>
                <w:sz w:val="20"/>
                <w:szCs w:val="20"/>
              </w:rPr>
              <w:t xml:space="preserve">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85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включает НДС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r/>
      <w:r/>
    </w:p>
    <w:p>
      <w:pPr>
        <w:jc w:val="center"/>
        <w:spacing w:before="120" w:after="120"/>
        <w:tabs>
          <w:tab w:val="left" w:pos="284" w:leader="none"/>
          <w:tab w:val="left" w:pos="993" w:leader="none"/>
        </w:tabs>
        <w:rPr>
          <w:b/>
        </w:rPr>
      </w:pPr>
      <w:r>
        <w:rPr>
          <w:b/>
        </w:rPr>
        <w:t xml:space="preserve">16. Операции с драгоценными металлами</w:t>
      </w:r>
      <w:r>
        <w:rPr>
          <w:b/>
        </w:rPr>
      </w:r>
      <w:r>
        <w:rPr>
          <w:b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78"/>
        <w:gridCol w:w="3147"/>
        <w:gridCol w:w="2240"/>
      </w:tblGrid>
      <w:tr>
        <w:tblPrEx/>
        <w:trPr/>
        <w:tc>
          <w:tcPr>
            <w:shd w:val="clear" w:color="auto" w:fill="auto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5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Ежемесячное обслуживание </w:t>
            </w:r>
            <w:r>
              <w:rPr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16.1.5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справки по </w:t>
            </w:r>
            <w:r>
              <w:rPr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sz w:val="22"/>
                <w:szCs w:val="22"/>
              </w:rPr>
              <w:t xml:space="preserve"> по запросу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за лист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16.2.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896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b/>
                <w:sz w:val="22"/>
                <w:szCs w:val="22"/>
                <w:vertAlign w:val="superscript"/>
              </w:rPr>
              <w:footnoteReference w:id="8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16.2.1.2.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Золото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</w:t>
            </w:r>
            <w:r>
              <w:rPr>
                <w:sz w:val="22"/>
                <w:szCs w:val="22"/>
              </w:rPr>
              <w:t xml:space="preserve">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9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16.2.2.1.2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7 000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Серебро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стандартных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</w:t>
            </w:r>
            <w:r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sz w:val="22"/>
                <w:szCs w:val="22"/>
                <w:vertAlign w:val="superscript"/>
              </w:rPr>
              <w:footnoteReference w:id="10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16.2.2.2.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мерных слитках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14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1 100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41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500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p>
      <w:pPr>
        <w:jc w:val="center"/>
        <w:keepNext/>
        <w:spacing w:after="40"/>
        <w:rPr>
          <w:b/>
          <w:bCs/>
        </w:rPr>
        <w:outlineLvl w:val="1"/>
      </w:pPr>
      <w:r>
        <w:rPr>
          <w:b/>
          <w:bCs/>
        </w:rPr>
        <w:t xml:space="preserve">17. Обслуживание с использованием Торговой системы</w:t>
      </w:r>
      <w:r>
        <w:rPr>
          <w:b/>
          <w:bCs/>
        </w:rPr>
        <w:t xml:space="preserve"> </w:t>
      </w:r>
      <w:r>
        <w:rPr>
          <w:b/>
          <w:bCs/>
        </w:rPr>
        <w:t xml:space="preserve">РСХБ-Дилинг АО «Россельхозбанк», Торговой системы РСХБ-Дилинг 2.0</w:t>
      </w:r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</w:t>
            </w:r>
            <w:r>
              <w:rPr>
                <w:bCs/>
                <w:sz w:val="20"/>
                <w:szCs w:val="20"/>
              </w:rPr>
              <w:t xml:space="preserve">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36"/>
                <w:bCs/>
                <w:sz w:val="20"/>
                <w:szCs w:val="20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rStyle w:val="1136"/>
                <w:bCs/>
                <w:sz w:val="20"/>
                <w:szCs w:val="20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                   </w:t>
      </w:r>
      <w:r>
        <w:rPr>
          <w:b/>
        </w:rPr>
        <w:t xml:space="preserve">18</w:t>
      </w:r>
      <w:r>
        <w:rPr>
          <w:b/>
        </w:rPr>
        <w:t xml:space="preserve">.</w:t>
      </w:r>
      <w:r>
        <w:rPr>
          <w:b/>
        </w:rPr>
        <w:t xml:space="preserve"> Операции с использованием цифрового рубля</w:t>
      </w:r>
      <w:r>
        <w:rPr>
          <w:b/>
        </w:rPr>
      </w:r>
      <w:r>
        <w:rPr>
          <w:b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rPr>
          <w:sz w:val="20"/>
          <w:szCs w:val="20"/>
        </w:rPr>
        <w:t xml:space="preserve">* Срок действия – до 31.12.202</w:t>
      </w:r>
      <w:r>
        <w:rPr>
          <w:sz w:val="20"/>
          <w:szCs w:val="20"/>
        </w:rPr>
        <w:t xml:space="preserve">5</w:t>
      </w:r>
      <w:r>
        <w:rPr>
          <w:sz w:val="20"/>
          <w:szCs w:val="20"/>
        </w:rPr>
        <w:t xml:space="preserve"> (включительно).</w:t>
      </w:r>
      <w:r/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42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Wingdings">
    <w:panose1 w:val="05000000000000000000"/>
  </w:font>
  <w:font w:name="Courier New">
    <w:panose1 w:val="02070409020205020404"/>
  </w:font>
  <w:font w:name="Tahoma">
    <w:panose1 w:val="020B0604030504040204"/>
  </w:font>
  <w:font w:name="Calibri">
    <w:panose1 w:val="020F0502020204030204"/>
  </w:font>
  <w:font w:name="TimesET">
    <w:panose1 w:val="02000603000000000000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39"/>
      </w:pPr>
      <w:r>
        <w:rPr>
          <w:rStyle w:val="1136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3">
    <w:p>
      <w:pPr>
        <w:pStyle w:val="1139"/>
      </w:pPr>
      <w:r>
        <w:rPr>
          <w:rStyle w:val="1136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39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39"/>
      </w:pPr>
      <w:r/>
      <w:r/>
    </w:p>
  </w:footnote>
  <w:footnote w:id="4">
    <w:p>
      <w:pPr>
        <w:pStyle w:val="1139"/>
        <w:jc w:val="both"/>
      </w:pPr>
      <w:r>
        <w:rPr>
          <w:rStyle w:val="1136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139"/>
      </w:pPr>
      <w:r>
        <w:rPr>
          <w:rStyle w:val="1136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39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pStyle w:val="1139"/>
      </w:pPr>
      <w:r>
        <w:rPr>
          <w:rStyle w:val="1136"/>
          <w:rFonts w:ascii="Symbol" w:hAnsi="Symbol" w:eastAsia="Symbol" w:cs="Symbol"/>
        </w:rPr>
        <w:t xml:space="preserve">*</w:t>
      </w:r>
      <w: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t xml:space="preserve"> </w:t>
      </w:r>
      <w:r>
        <w:t xml:space="preserve">Так как  депозитарные услуги облагаются налогом на добавленную стоимость, НДС взимается дополнительно.</w:t>
      </w:r>
      <w:r/>
    </w:p>
  </w:footnote>
  <w:footnote w:id="7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36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39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9">
    <w:p>
      <w:pPr>
        <w:pStyle w:val="1139"/>
        <w:jc w:val="both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">
    <w:p>
      <w:pPr>
        <w:pStyle w:val="1139"/>
        <w:jc w:val="both"/>
        <w:rPr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1">
    <w:p>
      <w:pPr>
        <w:jc w:val="both"/>
        <w:rPr>
          <w:bCs/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39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РСХБ-Дилинг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36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>
        <w:rPr>
          <w:bCs/>
          <w:sz w:val="18"/>
          <w:szCs w:val="18"/>
        </w:rPr>
        <w:t xml:space="preserve">]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pStyle w:val="1139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–Дилинг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7">
    <w:multiLevelType w:val="hybridMultilevel"/>
    <w:lvl w:ilvl="0">
      <w:start w:val="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32"/>
  </w:num>
  <w:num w:numId="3">
    <w:abstractNumId w:val="31"/>
  </w:num>
  <w:num w:numId="4">
    <w:abstractNumId w:val="16"/>
  </w:num>
  <w:num w:numId="5">
    <w:abstractNumId w:val="34"/>
  </w:num>
  <w:num w:numId="6">
    <w:abstractNumId w:val="29"/>
  </w:num>
  <w:num w:numId="7">
    <w:abstractNumId w:val="20"/>
  </w:num>
  <w:num w:numId="8">
    <w:abstractNumId w:val="13"/>
  </w:num>
  <w:num w:numId="9">
    <w:abstractNumId w:val="19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4"/>
  </w:num>
  <w:num w:numId="23">
    <w:abstractNumId w:val="15"/>
  </w:num>
  <w:num w:numId="24">
    <w:abstractNumId w:val="17"/>
  </w:num>
  <w:num w:numId="25">
    <w:abstractNumId w:val="18"/>
  </w:num>
  <w:num w:numId="26">
    <w:abstractNumId w:val="35"/>
  </w:num>
  <w:num w:numId="27">
    <w:abstractNumId w:val="23"/>
  </w:num>
  <w:num w:numId="28">
    <w:abstractNumId w:val="22"/>
  </w:num>
  <w:num w:numId="29">
    <w:abstractNumId w:val="28"/>
  </w:num>
  <w:num w:numId="30">
    <w:abstractNumId w:val="10"/>
  </w:num>
  <w:num w:numId="31">
    <w:abstractNumId w:val="3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7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2">
    <w:name w:val="Heading 1 Char"/>
    <w:basedOn w:val="1112"/>
    <w:link w:val="1103"/>
    <w:uiPriority w:val="9"/>
    <w:rPr>
      <w:rFonts w:ascii="Arial" w:hAnsi="Arial" w:eastAsia="Arial" w:cs="Arial"/>
      <w:sz w:val="40"/>
      <w:szCs w:val="40"/>
    </w:rPr>
  </w:style>
  <w:style w:type="character" w:styleId="943">
    <w:name w:val="Heading 2 Char"/>
    <w:basedOn w:val="1112"/>
    <w:link w:val="1104"/>
    <w:uiPriority w:val="9"/>
    <w:rPr>
      <w:rFonts w:ascii="Arial" w:hAnsi="Arial" w:eastAsia="Arial" w:cs="Arial"/>
      <w:sz w:val="34"/>
    </w:rPr>
  </w:style>
  <w:style w:type="character" w:styleId="944">
    <w:name w:val="Heading 3 Char"/>
    <w:basedOn w:val="1112"/>
    <w:link w:val="1105"/>
    <w:uiPriority w:val="9"/>
    <w:rPr>
      <w:rFonts w:ascii="Arial" w:hAnsi="Arial" w:eastAsia="Arial" w:cs="Arial"/>
      <w:sz w:val="30"/>
      <w:szCs w:val="30"/>
    </w:rPr>
  </w:style>
  <w:style w:type="character" w:styleId="945">
    <w:name w:val="Heading 4 Char"/>
    <w:basedOn w:val="1112"/>
    <w:link w:val="1106"/>
    <w:uiPriority w:val="9"/>
    <w:rPr>
      <w:rFonts w:ascii="Arial" w:hAnsi="Arial" w:eastAsia="Arial" w:cs="Arial"/>
      <w:b/>
      <w:bCs/>
      <w:sz w:val="26"/>
      <w:szCs w:val="26"/>
    </w:rPr>
  </w:style>
  <w:style w:type="character" w:styleId="946">
    <w:name w:val="Heading 5 Char"/>
    <w:basedOn w:val="1112"/>
    <w:link w:val="1107"/>
    <w:uiPriority w:val="9"/>
    <w:rPr>
      <w:rFonts w:ascii="Arial" w:hAnsi="Arial" w:eastAsia="Arial" w:cs="Arial"/>
      <w:b/>
      <w:bCs/>
      <w:sz w:val="24"/>
      <w:szCs w:val="24"/>
    </w:rPr>
  </w:style>
  <w:style w:type="character" w:styleId="947">
    <w:name w:val="Heading 6 Char"/>
    <w:basedOn w:val="1112"/>
    <w:link w:val="1108"/>
    <w:uiPriority w:val="9"/>
    <w:rPr>
      <w:rFonts w:ascii="Arial" w:hAnsi="Arial" w:eastAsia="Arial" w:cs="Arial"/>
      <w:b/>
      <w:bCs/>
      <w:sz w:val="22"/>
      <w:szCs w:val="22"/>
    </w:rPr>
  </w:style>
  <w:style w:type="character" w:styleId="948">
    <w:name w:val="Heading 7 Char"/>
    <w:basedOn w:val="1112"/>
    <w:link w:val="11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9">
    <w:name w:val="Heading 8 Char"/>
    <w:basedOn w:val="1112"/>
    <w:link w:val="1110"/>
    <w:uiPriority w:val="9"/>
    <w:rPr>
      <w:rFonts w:ascii="Arial" w:hAnsi="Arial" w:eastAsia="Arial" w:cs="Arial"/>
      <w:i/>
      <w:iCs/>
      <w:sz w:val="22"/>
      <w:szCs w:val="22"/>
    </w:rPr>
  </w:style>
  <w:style w:type="character" w:styleId="950">
    <w:name w:val="Heading 9 Char"/>
    <w:basedOn w:val="1112"/>
    <w:link w:val="1111"/>
    <w:uiPriority w:val="9"/>
    <w:rPr>
      <w:rFonts w:ascii="Arial" w:hAnsi="Arial" w:eastAsia="Arial" w:cs="Arial"/>
      <w:i/>
      <w:iCs/>
      <w:sz w:val="21"/>
      <w:szCs w:val="21"/>
    </w:rPr>
  </w:style>
  <w:style w:type="character" w:styleId="951">
    <w:name w:val="Title Char"/>
    <w:basedOn w:val="1112"/>
    <w:link w:val="1152"/>
    <w:uiPriority w:val="10"/>
    <w:rPr>
      <w:sz w:val="48"/>
      <w:szCs w:val="48"/>
    </w:rPr>
  </w:style>
  <w:style w:type="paragraph" w:styleId="952">
    <w:name w:val="Subtitle"/>
    <w:basedOn w:val="1102"/>
    <w:next w:val="1102"/>
    <w:link w:val="953"/>
    <w:uiPriority w:val="11"/>
    <w:qFormat/>
    <w:pPr>
      <w:spacing w:before="200" w:after="200"/>
    </w:pPr>
    <w:rPr>
      <w:sz w:val="24"/>
      <w:szCs w:val="24"/>
    </w:rPr>
  </w:style>
  <w:style w:type="character" w:styleId="953">
    <w:name w:val="Subtitle Char"/>
    <w:basedOn w:val="1112"/>
    <w:link w:val="952"/>
    <w:uiPriority w:val="11"/>
    <w:rPr>
      <w:sz w:val="24"/>
      <w:szCs w:val="24"/>
    </w:rPr>
  </w:style>
  <w:style w:type="paragraph" w:styleId="954">
    <w:name w:val="Quote"/>
    <w:basedOn w:val="1102"/>
    <w:next w:val="1102"/>
    <w:link w:val="955"/>
    <w:uiPriority w:val="29"/>
    <w:qFormat/>
    <w:pPr>
      <w:ind w:left="720" w:right="720"/>
    </w:pPr>
    <w:rPr>
      <w:i/>
    </w:rPr>
  </w:style>
  <w:style w:type="character" w:styleId="955">
    <w:name w:val="Quote Char"/>
    <w:link w:val="954"/>
    <w:uiPriority w:val="29"/>
    <w:rPr>
      <w:i/>
    </w:rPr>
  </w:style>
  <w:style w:type="paragraph" w:styleId="956">
    <w:name w:val="Intense Quote"/>
    <w:basedOn w:val="1102"/>
    <w:next w:val="1102"/>
    <w:link w:val="9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7">
    <w:name w:val="Intense Quote Char"/>
    <w:link w:val="956"/>
    <w:uiPriority w:val="30"/>
    <w:rPr>
      <w:i/>
    </w:rPr>
  </w:style>
  <w:style w:type="character" w:styleId="958">
    <w:name w:val="Header Char"/>
    <w:basedOn w:val="1112"/>
    <w:link w:val="1145"/>
    <w:uiPriority w:val="99"/>
  </w:style>
  <w:style w:type="character" w:styleId="959">
    <w:name w:val="Footer Char"/>
    <w:basedOn w:val="1112"/>
    <w:link w:val="1135"/>
    <w:uiPriority w:val="99"/>
  </w:style>
  <w:style w:type="paragraph" w:styleId="960">
    <w:name w:val="Caption"/>
    <w:basedOn w:val="1102"/>
    <w:next w:val="11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1">
    <w:name w:val="Caption Char"/>
    <w:basedOn w:val="960"/>
    <w:link w:val="1135"/>
    <w:uiPriority w:val="99"/>
  </w:style>
  <w:style w:type="table" w:styleId="962">
    <w:name w:val="Table Grid"/>
    <w:basedOn w:val="11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3">
    <w:name w:val="Table Grid Light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4">
    <w:name w:val="Plain Table 1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5">
    <w:name w:val="Plain Table 2"/>
    <w:basedOn w:val="11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6">
    <w:name w:val="Plain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7">
    <w:name w:val="Plain Table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Plain Table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9">
    <w:name w:val="Grid Table 1 Light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1 Light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>
    <w:name w:val="Grid Table 1 Light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Grid Table 1 Light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Grid Table 1 Light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Grid Table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2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2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2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2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3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3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3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3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4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1">
    <w:name w:val="Grid Table 4 - Accent 1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92">
    <w:name w:val="Grid Table 4 - Accent 2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93">
    <w:name w:val="Grid Table 4 - Accent 3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4">
    <w:name w:val="Grid Table 4 - Accent 4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5">
    <w:name w:val="Grid Table 4 - Accent 5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6">
    <w:name w:val="Grid Table 4 - Accent 6"/>
    <w:basedOn w:val="11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7">
    <w:name w:val="Grid Table 5 Dark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8">
    <w:name w:val="Grid Table 5 Dark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00">
    <w:name w:val="Grid Table 5 Dark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01">
    <w:name w:val="Grid Table 5 Dark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02">
    <w:name w:val="Grid Table 5 Dark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03">
    <w:name w:val="Grid Table 5 Dark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04">
    <w:name w:val="Grid Table 6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5">
    <w:name w:val="Grid Table 6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6">
    <w:name w:val="Grid Table 6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7">
    <w:name w:val="Grid Table 6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8">
    <w:name w:val="Grid Table 6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9">
    <w:name w:val="Grid Table 6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0">
    <w:name w:val="Grid Table 6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1">
    <w:name w:val="Grid Table 7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7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7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7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7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1 Light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1 Light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List Table 1 Light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List Table 1 Light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List Table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6">
    <w:name w:val="List Table 2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7">
    <w:name w:val="List Table 2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8">
    <w:name w:val="List Table 2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9">
    <w:name w:val="List Table 2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0">
    <w:name w:val="List Table 2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1">
    <w:name w:val="List Table 2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32">
    <w:name w:val="List Table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3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3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3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3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4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4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4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4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5 Dark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5 Dark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0">
    <w:name w:val="List Table 5 Dark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1">
    <w:name w:val="List Table 5 Dark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2">
    <w:name w:val="List Table 5 Dark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3">
    <w:name w:val="List Table 6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4">
    <w:name w:val="List Table 6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5">
    <w:name w:val="List Table 6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6">
    <w:name w:val="List Table 6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7">
    <w:name w:val="List Table 6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8">
    <w:name w:val="List Table 6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9">
    <w:name w:val="List Table 6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0">
    <w:name w:val="List Table 7 Colorful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1">
    <w:name w:val="List Table 7 Colorful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62">
    <w:name w:val="List Table 7 Colorful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63">
    <w:name w:val="List Table 7 Colorful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4">
    <w:name w:val="List Table 7 Colorful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5">
    <w:name w:val="List Table 7 Colorful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66">
    <w:name w:val="List Table 7 Colorful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7">
    <w:name w:val="Lined - Accent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8">
    <w:name w:val="Lined - Accent 1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9">
    <w:name w:val="Lined - Accent 2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0">
    <w:name w:val="Lined - Accent 3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1">
    <w:name w:val="Lined - Accent 4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2">
    <w:name w:val="Lined - Accent 5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3">
    <w:name w:val="Lined - Accent 6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4">
    <w:name w:val="Bordered &amp; Lined - Accent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5">
    <w:name w:val="Bordered &amp; Lined - Accent 1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6">
    <w:name w:val="Bordered &amp; Lined - Accent 2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7">
    <w:name w:val="Bordered &amp; Lined - Accent 3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8">
    <w:name w:val="Bordered &amp; Lined - Accent 4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9">
    <w:name w:val="Bordered &amp; Lined - Accent 5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80">
    <w:name w:val="Bordered &amp; Lined - Accent 6"/>
    <w:basedOn w:val="11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1">
    <w:name w:val="Bordered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82">
    <w:name w:val="Bordered - Accent 1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83">
    <w:name w:val="Bordered - Accent 2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4">
    <w:name w:val="Bordered - Accent 3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5">
    <w:name w:val="Bordered - Accent 4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6">
    <w:name w:val="Bordered - Accent 5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7">
    <w:name w:val="Bordered - Accent 6"/>
    <w:basedOn w:val="11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8">
    <w:name w:val="Footnote Text Char"/>
    <w:link w:val="1139"/>
    <w:uiPriority w:val="99"/>
    <w:rPr>
      <w:sz w:val="18"/>
    </w:rPr>
  </w:style>
  <w:style w:type="paragraph" w:styleId="1089">
    <w:name w:val="endnote text"/>
    <w:basedOn w:val="1102"/>
    <w:link w:val="1090"/>
    <w:uiPriority w:val="99"/>
    <w:semiHidden/>
    <w:unhideWhenUsed/>
    <w:pPr>
      <w:spacing w:after="0" w:line="240" w:lineRule="auto"/>
    </w:pPr>
    <w:rPr>
      <w:sz w:val="20"/>
    </w:rPr>
  </w:style>
  <w:style w:type="character" w:styleId="1090">
    <w:name w:val="Endnote Text Char"/>
    <w:link w:val="1089"/>
    <w:uiPriority w:val="99"/>
    <w:rPr>
      <w:sz w:val="20"/>
    </w:rPr>
  </w:style>
  <w:style w:type="character" w:styleId="1091">
    <w:name w:val="endnote reference"/>
    <w:basedOn w:val="1112"/>
    <w:uiPriority w:val="99"/>
    <w:semiHidden/>
    <w:unhideWhenUsed/>
    <w:rPr>
      <w:vertAlign w:val="superscript"/>
    </w:rPr>
  </w:style>
  <w:style w:type="paragraph" w:styleId="1092">
    <w:name w:val="toc 2"/>
    <w:basedOn w:val="1102"/>
    <w:next w:val="1102"/>
    <w:uiPriority w:val="39"/>
    <w:unhideWhenUsed/>
    <w:pPr>
      <w:ind w:left="283" w:right="0" w:firstLine="0"/>
      <w:spacing w:after="57"/>
    </w:pPr>
  </w:style>
  <w:style w:type="paragraph" w:styleId="1093">
    <w:name w:val="toc 3"/>
    <w:basedOn w:val="1102"/>
    <w:next w:val="1102"/>
    <w:uiPriority w:val="39"/>
    <w:unhideWhenUsed/>
    <w:pPr>
      <w:ind w:left="567" w:right="0" w:firstLine="0"/>
      <w:spacing w:after="57"/>
    </w:pPr>
  </w:style>
  <w:style w:type="paragraph" w:styleId="1094">
    <w:name w:val="toc 4"/>
    <w:basedOn w:val="1102"/>
    <w:next w:val="1102"/>
    <w:uiPriority w:val="39"/>
    <w:unhideWhenUsed/>
    <w:pPr>
      <w:ind w:left="850" w:right="0" w:firstLine="0"/>
      <w:spacing w:after="57"/>
    </w:pPr>
  </w:style>
  <w:style w:type="paragraph" w:styleId="1095">
    <w:name w:val="toc 5"/>
    <w:basedOn w:val="1102"/>
    <w:next w:val="1102"/>
    <w:uiPriority w:val="39"/>
    <w:unhideWhenUsed/>
    <w:pPr>
      <w:ind w:left="1134" w:right="0" w:firstLine="0"/>
      <w:spacing w:after="57"/>
    </w:pPr>
  </w:style>
  <w:style w:type="paragraph" w:styleId="1096">
    <w:name w:val="toc 6"/>
    <w:basedOn w:val="1102"/>
    <w:next w:val="1102"/>
    <w:uiPriority w:val="39"/>
    <w:unhideWhenUsed/>
    <w:pPr>
      <w:ind w:left="1417" w:right="0" w:firstLine="0"/>
      <w:spacing w:after="57"/>
    </w:pPr>
  </w:style>
  <w:style w:type="paragraph" w:styleId="1097">
    <w:name w:val="toc 7"/>
    <w:basedOn w:val="1102"/>
    <w:next w:val="1102"/>
    <w:uiPriority w:val="39"/>
    <w:unhideWhenUsed/>
    <w:pPr>
      <w:ind w:left="1701" w:right="0" w:firstLine="0"/>
      <w:spacing w:after="57"/>
    </w:pPr>
  </w:style>
  <w:style w:type="paragraph" w:styleId="1098">
    <w:name w:val="toc 8"/>
    <w:basedOn w:val="1102"/>
    <w:next w:val="1102"/>
    <w:uiPriority w:val="39"/>
    <w:unhideWhenUsed/>
    <w:pPr>
      <w:ind w:left="1984" w:right="0" w:firstLine="0"/>
      <w:spacing w:after="57"/>
    </w:pPr>
  </w:style>
  <w:style w:type="paragraph" w:styleId="1099">
    <w:name w:val="toc 9"/>
    <w:basedOn w:val="1102"/>
    <w:next w:val="1102"/>
    <w:uiPriority w:val="39"/>
    <w:unhideWhenUsed/>
    <w:pPr>
      <w:ind w:left="2268" w:right="0" w:firstLine="0"/>
      <w:spacing w:after="57"/>
    </w:pPr>
  </w:style>
  <w:style w:type="paragraph" w:styleId="1100">
    <w:name w:val="TOC Heading"/>
    <w:uiPriority w:val="39"/>
    <w:unhideWhenUsed/>
  </w:style>
  <w:style w:type="paragraph" w:styleId="1101">
    <w:name w:val="table of figures"/>
    <w:basedOn w:val="1102"/>
    <w:next w:val="1102"/>
    <w:uiPriority w:val="99"/>
    <w:unhideWhenUsed/>
    <w:pPr>
      <w:spacing w:after="0" w:afterAutospacing="0"/>
    </w:pPr>
  </w:style>
  <w:style w:type="paragraph" w:styleId="11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03">
    <w:name w:val="Heading 1"/>
    <w:basedOn w:val="1102"/>
    <w:next w:val="1102"/>
    <w:link w:val="111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04">
    <w:name w:val="Heading 2"/>
    <w:basedOn w:val="1102"/>
    <w:next w:val="1102"/>
    <w:link w:val="111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05">
    <w:name w:val="Heading 3"/>
    <w:basedOn w:val="1102"/>
    <w:next w:val="1102"/>
    <w:link w:val="111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06">
    <w:name w:val="Heading 4"/>
    <w:basedOn w:val="1102"/>
    <w:next w:val="1102"/>
    <w:link w:val="1118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1107">
    <w:name w:val="Heading 5"/>
    <w:basedOn w:val="1102"/>
    <w:next w:val="1102"/>
    <w:link w:val="1119"/>
    <w:qFormat/>
    <w:pPr>
      <w:keepNext/>
      <w:outlineLvl w:val="4"/>
    </w:pPr>
    <w:rPr>
      <w:b/>
      <w:bCs/>
      <w:sz w:val="28"/>
      <w:szCs w:val="28"/>
    </w:rPr>
  </w:style>
  <w:style w:type="paragraph" w:styleId="1108">
    <w:name w:val="Heading 6"/>
    <w:basedOn w:val="1102"/>
    <w:next w:val="1102"/>
    <w:link w:val="1120"/>
    <w:qFormat/>
    <w:pPr>
      <w:jc w:val="center"/>
      <w:keepNext/>
      <w:outlineLvl w:val="5"/>
    </w:pPr>
    <w:rPr>
      <w:b/>
      <w:bCs/>
    </w:rPr>
  </w:style>
  <w:style w:type="paragraph" w:styleId="1109">
    <w:name w:val="Heading 7"/>
    <w:basedOn w:val="1102"/>
    <w:next w:val="1102"/>
    <w:link w:val="112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10">
    <w:name w:val="Heading 8"/>
    <w:basedOn w:val="1102"/>
    <w:next w:val="1102"/>
    <w:link w:val="1122"/>
    <w:qFormat/>
    <w:pPr>
      <w:keepNext/>
      <w:outlineLvl w:val="7"/>
    </w:pPr>
    <w:rPr>
      <w:b/>
      <w:bCs/>
    </w:rPr>
  </w:style>
  <w:style w:type="paragraph" w:styleId="1111">
    <w:name w:val="Heading 9"/>
    <w:basedOn w:val="1102"/>
    <w:next w:val="1102"/>
    <w:link w:val="1123"/>
    <w:qFormat/>
    <w:pPr>
      <w:keepNext/>
      <w:outlineLvl w:val="8"/>
    </w:pPr>
    <w:rPr>
      <w:b/>
      <w:bCs/>
      <w:sz w:val="20"/>
      <w:szCs w:val="20"/>
    </w:rPr>
  </w:style>
  <w:style w:type="character" w:styleId="1112" w:default="1">
    <w:name w:val="Default Paragraph Font"/>
    <w:uiPriority w:val="1"/>
    <w:semiHidden/>
    <w:unhideWhenUsed/>
  </w:style>
  <w:style w:type="table" w:styleId="11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4" w:default="1">
    <w:name w:val="No List"/>
    <w:uiPriority w:val="99"/>
    <w:semiHidden/>
    <w:unhideWhenUsed/>
  </w:style>
  <w:style w:type="character" w:styleId="1115" w:customStyle="1">
    <w:name w:val="Заголовок 1 Знак"/>
    <w:basedOn w:val="1112"/>
    <w:link w:val="1103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16" w:customStyle="1">
    <w:name w:val="Заголовок 2 Знак"/>
    <w:basedOn w:val="1112"/>
    <w:link w:val="1104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1117" w:customStyle="1">
    <w:name w:val="Заголовок 3 Знак"/>
    <w:basedOn w:val="1112"/>
    <w:link w:val="110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18" w:customStyle="1">
    <w:name w:val="Заголовок 4 Знак"/>
    <w:basedOn w:val="1112"/>
    <w:link w:val="1106"/>
    <w:rPr>
      <w:rFonts w:ascii="Times New Roman" w:hAnsi="Times New Roman" w:eastAsia="Times New Roman" w:cs="Times New Roman"/>
      <w:b/>
      <w:bCs/>
      <w:lang w:eastAsia="ru-RU"/>
    </w:rPr>
  </w:style>
  <w:style w:type="character" w:styleId="1119" w:customStyle="1">
    <w:name w:val="Заголовок 5 Знак"/>
    <w:basedOn w:val="1112"/>
    <w:link w:val="110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20" w:customStyle="1">
    <w:name w:val="Заголовок 6 Знак"/>
    <w:basedOn w:val="1112"/>
    <w:link w:val="110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21" w:customStyle="1">
    <w:name w:val="Заголовок 7 Знак"/>
    <w:basedOn w:val="1112"/>
    <w:link w:val="110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22" w:customStyle="1">
    <w:name w:val="Заголовок 8 Знак"/>
    <w:basedOn w:val="1112"/>
    <w:link w:val="111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23" w:customStyle="1">
    <w:name w:val="Заголовок 9 Знак"/>
    <w:basedOn w:val="1112"/>
    <w:link w:val="111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124">
    <w:name w:val="Body Text 2"/>
    <w:basedOn w:val="1102"/>
    <w:link w:val="1125"/>
    <w:semiHidden/>
    <w:rPr>
      <w:sz w:val="22"/>
      <w:szCs w:val="22"/>
    </w:rPr>
  </w:style>
  <w:style w:type="character" w:styleId="1125" w:customStyle="1">
    <w:name w:val="Основной текст 2 Знак"/>
    <w:basedOn w:val="1112"/>
    <w:link w:val="1124"/>
    <w:semiHidden/>
    <w:rPr>
      <w:rFonts w:ascii="Times New Roman" w:hAnsi="Times New Roman" w:eastAsia="Times New Roman" w:cs="Times New Roman"/>
      <w:lang w:eastAsia="ru-RU"/>
    </w:rPr>
  </w:style>
  <w:style w:type="paragraph" w:styleId="1126">
    <w:name w:val="Body Text"/>
    <w:basedOn w:val="1102"/>
    <w:link w:val="1127"/>
    <w:semiHidden/>
    <w:rPr>
      <w:b/>
      <w:bCs/>
    </w:rPr>
  </w:style>
  <w:style w:type="character" w:styleId="1127" w:customStyle="1">
    <w:name w:val="Основной текст Знак"/>
    <w:basedOn w:val="1112"/>
    <w:link w:val="1126"/>
    <w:semiHidden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28">
    <w:name w:val="Body Text Indent 2"/>
    <w:basedOn w:val="1102"/>
    <w:link w:val="1129"/>
    <w:pPr>
      <w:ind w:firstLine="708"/>
      <w:jc w:val="both"/>
    </w:pPr>
    <w:rPr>
      <w:sz w:val="22"/>
      <w:szCs w:val="22"/>
    </w:rPr>
  </w:style>
  <w:style w:type="character" w:styleId="1129" w:customStyle="1">
    <w:name w:val="Основной текст с отступом 2 Знак"/>
    <w:basedOn w:val="1112"/>
    <w:link w:val="1128"/>
    <w:rPr>
      <w:rFonts w:ascii="Times New Roman" w:hAnsi="Times New Roman" w:eastAsia="Times New Roman" w:cs="Times New Roman"/>
      <w:lang w:eastAsia="ru-RU"/>
    </w:rPr>
  </w:style>
  <w:style w:type="character" w:styleId="1130" w:customStyle="1">
    <w:name w:val="Основной текст с отступом 3 Знак"/>
    <w:basedOn w:val="1112"/>
    <w:link w:val="1131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1">
    <w:name w:val="Body Text Indent 3"/>
    <w:basedOn w:val="1102"/>
    <w:link w:val="1130"/>
    <w:semiHidden/>
    <w:pPr>
      <w:ind w:firstLine="708"/>
      <w:jc w:val="both"/>
    </w:pPr>
  </w:style>
  <w:style w:type="character" w:styleId="1132" w:customStyle="1">
    <w:name w:val="Основной текст 3 Знак"/>
    <w:basedOn w:val="1112"/>
    <w:link w:val="1133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3">
    <w:name w:val="Body Text 3"/>
    <w:basedOn w:val="1102"/>
    <w:link w:val="1132"/>
    <w:semiHidden/>
    <w:pPr>
      <w:jc w:val="both"/>
    </w:pPr>
  </w:style>
  <w:style w:type="character" w:styleId="1134" w:customStyle="1">
    <w:name w:val="Нижний колонтитул Знак"/>
    <w:basedOn w:val="1112"/>
    <w:link w:val="1135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5">
    <w:name w:val="Footer"/>
    <w:basedOn w:val="1102"/>
    <w:link w:val="1134"/>
    <w:semiHidden/>
    <w:pPr>
      <w:tabs>
        <w:tab w:val="center" w:pos="4677" w:leader="none"/>
        <w:tab w:val="right" w:pos="9355" w:leader="none"/>
      </w:tabs>
    </w:pPr>
  </w:style>
  <w:style w:type="character" w:styleId="1136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character" w:styleId="1137" w:customStyle="1">
    <w:name w:val="Основной текст с отступом Знак"/>
    <w:basedOn w:val="1112"/>
    <w:link w:val="1138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8">
    <w:name w:val="Body Text Indent"/>
    <w:basedOn w:val="1102"/>
    <w:link w:val="1137"/>
    <w:semiHidden/>
    <w:pPr>
      <w:ind w:left="283"/>
      <w:spacing w:after="120"/>
    </w:pPr>
  </w:style>
  <w:style w:type="paragraph" w:styleId="1139">
    <w:name w:val="footnote text"/>
    <w:basedOn w:val="1102"/>
    <w:link w:val="1140"/>
    <w:uiPriority w:val="99"/>
    <w:qFormat/>
    <w:rPr>
      <w:sz w:val="20"/>
      <w:szCs w:val="20"/>
    </w:rPr>
  </w:style>
  <w:style w:type="character" w:styleId="1140" w:customStyle="1">
    <w:name w:val="Текст сноски Знак"/>
    <w:basedOn w:val="1112"/>
    <w:link w:val="113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41" w:customStyle="1">
    <w:name w:val="Нормальный"/>
    <w:pPr>
      <w:spacing w:after="0" w:line="240" w:lineRule="auto"/>
    </w:pPr>
    <w:rPr>
      <w:rFonts w:ascii="TimesET" w:hAnsi="TimesET" w:eastAsia="Times New Roman" w:cs="TimesET"/>
      <w:sz w:val="24"/>
      <w:szCs w:val="24"/>
      <w:lang w:eastAsia="ru-RU"/>
    </w:rPr>
  </w:style>
  <w:style w:type="paragraph" w:styleId="1142">
    <w:name w:val="No Spacing"/>
    <w:qFormat/>
    <w:pPr>
      <w:spacing w:after="0" w:line="240" w:lineRule="auto"/>
    </w:pPr>
    <w:rPr>
      <w:rFonts w:ascii="Calibri" w:hAnsi="Calibri" w:eastAsia="Times New Roman" w:cs="Calibri"/>
    </w:rPr>
  </w:style>
  <w:style w:type="character" w:styleId="1143">
    <w:name w:val="Hyperlink"/>
    <w:uiPriority w:val="99"/>
    <w:rPr>
      <w:color w:val="0000ff"/>
      <w:u w:val="single"/>
    </w:rPr>
  </w:style>
  <w:style w:type="paragraph" w:styleId="1144">
    <w:name w:val="toc 1"/>
    <w:basedOn w:val="1102"/>
    <w:next w:val="1102"/>
    <w:uiPriority w:val="39"/>
    <w:pPr>
      <w:spacing w:line="360" w:lineRule="auto"/>
      <w:tabs>
        <w:tab w:val="right" w:pos="10065" w:leader="dot"/>
      </w:tabs>
    </w:pPr>
    <w:rPr>
      <w:sz w:val="22"/>
    </w:rPr>
  </w:style>
  <w:style w:type="paragraph" w:styleId="1145">
    <w:name w:val="Header"/>
    <w:basedOn w:val="1102"/>
    <w:link w:val="1146"/>
    <w:pPr>
      <w:tabs>
        <w:tab w:val="center" w:pos="4677" w:leader="none"/>
        <w:tab w:val="right" w:pos="9355" w:leader="none"/>
      </w:tabs>
    </w:pPr>
  </w:style>
  <w:style w:type="character" w:styleId="1146" w:customStyle="1">
    <w:name w:val="Верхний колонтитул Знак"/>
    <w:basedOn w:val="1112"/>
    <w:link w:val="11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7" w:customStyle="1">
    <w:name w:val="Текст выноски Знак"/>
    <w:basedOn w:val="1112"/>
    <w:link w:val="11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48">
    <w:name w:val="Balloon Text"/>
    <w:basedOn w:val="1102"/>
    <w:link w:val="1147"/>
    <w:uiPriority w:val="99"/>
    <w:semiHidden/>
    <w:unhideWhenUsed/>
    <w:rPr>
      <w:rFonts w:ascii="Tahoma" w:hAnsi="Tahoma" w:cs="Tahoma"/>
      <w:sz w:val="16"/>
      <w:szCs w:val="16"/>
    </w:rPr>
  </w:style>
  <w:style w:type="paragraph" w:styleId="1149">
    <w:name w:val="List Paragraph"/>
    <w:basedOn w:val="1102"/>
    <w:uiPriority w:val="34"/>
    <w:qFormat/>
    <w:pPr>
      <w:ind w:left="708"/>
    </w:pPr>
  </w:style>
  <w:style w:type="paragraph" w:styleId="115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151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52">
    <w:name w:val="Title"/>
    <w:basedOn w:val="1102"/>
    <w:next w:val="1102"/>
    <w:link w:val="1153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153" w:customStyle="1">
    <w:name w:val="Заголовок Знак"/>
    <w:basedOn w:val="1112"/>
    <w:link w:val="1152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Благочевская Юлия Анатольевна</dc:creator>
  <cp:keywords/>
  <dc:description/>
  <cp:revision>12</cp:revision>
  <dcterms:created xsi:type="dcterms:W3CDTF">2025-01-27T13:45:00Z</dcterms:created>
  <dcterms:modified xsi:type="dcterms:W3CDTF">2025-07-02T07:25:36Z</dcterms:modified>
</cp:coreProperties>
</file>