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9"/>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79"/>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6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63"/>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79"/>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79"/>
                    <w:jc w:val="center"/>
                  </w:pPr>
                  <w:r/>
                  <w:r/>
                </w:p>
              </w:tc>
            </w:tr>
            <w:tr>
              <w:tblPrEx/>
              <w:trPr>
                <w:trHeight w:val="360"/>
              </w:trPr>
              <w:tc>
                <w:tcPr>
                  <w:tcBorders>
                    <w:top w:val="single" w:color="008444" w:sz="12" w:space="0"/>
                  </w:tcBorders>
                  <w:tcW w:w="5000" w:type="pct"/>
                  <w:vAlign w:val="center"/>
                  <w:textDirection w:val="lrTb"/>
                  <w:noWrap w:val="false"/>
                </w:tcPr>
                <w:p>
                  <w:pPr>
                    <w:pStyle w:val="1179"/>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9"/>
                    <w:jc w:val="center"/>
                    <w:rPr>
                      <w:bCs/>
                      <w:sz w:val="32"/>
                      <w:szCs w:val="32"/>
                    </w:rPr>
                  </w:pPr>
                  <w:r>
                    <w:rPr>
                      <w:bCs/>
                      <w:sz w:val="32"/>
                      <w:szCs w:val="32"/>
                    </w:rPr>
                    <w:t xml:space="preserve">действуют с </w:t>
                  </w:r>
                  <w:r>
                    <w:rPr>
                      <w:bCs/>
                      <w:sz w:val="32"/>
                      <w:szCs w:val="32"/>
                    </w:rPr>
                    <w:t xml:space="preserve">01</w:t>
                  </w:r>
                  <w:r>
                    <w:rPr>
                      <w:bCs/>
                      <w:sz w:val="32"/>
                      <w:szCs w:val="32"/>
                    </w:rPr>
                    <w:t xml:space="preserve">.01</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bCs/>
                      <w:sz w:val="32"/>
                      <w:szCs w:val="32"/>
                    </w:rPr>
                  </w:r>
                </w:p>
              </w:tc>
            </w:tr>
          </w:tbl>
          <w:p>
            <w:pPr>
              <w:pStyle w:val="1179"/>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79"/>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63"/>
      </w:pPr>
      <w:r/>
      <w:r/>
    </w:p>
    <w:p>
      <w:pPr>
        <w:pStyle w:val="1163"/>
      </w:pPr>
      <w:r/>
      <w:r/>
    </w:p>
    <w:p>
      <w:pPr>
        <w:pStyle w:val="1163"/>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63"/>
        <w:rPr>
          <w:b/>
          <w:caps/>
        </w:rPr>
      </w:pPr>
      <w:r>
        <w:rPr>
          <w:i/>
        </w:rPr>
        <w:br w:type="page" w:clear="all"/>
      </w:r>
      <w:r>
        <w:rPr>
          <w:b/>
          <w:caps/>
        </w:rPr>
        <w:t xml:space="preserve">Содержание</w:t>
      </w:r>
      <w:r>
        <w:rPr>
          <w:b/>
          <w:caps/>
        </w:rPr>
        <w:t xml:space="preserve">:</w:t>
      </w:r>
      <w:r>
        <w:rPr>
          <w:b/>
          <w:caps/>
        </w:rPr>
      </w:r>
      <w:r>
        <w:rPr>
          <w:b/>
          <w:caps/>
        </w:rPr>
      </w:r>
    </w:p>
    <w:p>
      <w:pPr>
        <w:pStyle w:val="1163"/>
        <w:rPr>
          <w:caps/>
        </w:rPr>
      </w:pPr>
      <w:r>
        <w:rPr>
          <w:caps/>
        </w:rPr>
      </w:r>
      <w:r>
        <w:rPr>
          <w:caps/>
        </w:rPr>
      </w:r>
      <w:r>
        <w:rPr>
          <w:caps/>
        </w:rPr>
      </w:r>
    </w:p>
    <w:p>
      <w:pPr>
        <w:pStyle w:val="1183"/>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81"/>
        </w:rPr>
        <w:fldChar w:fldCharType="begin"/>
      </w:r>
      <w:r>
        <w:rPr>
          <w:rStyle w:val="1181"/>
        </w:rPr>
        <w:instrText xml:space="preserve"> </w:instrText>
      </w:r>
      <w:r>
        <w:instrText xml:space="preserve">HYPERLINK \l "_Toc170984446"</w:instrText>
      </w:r>
      <w:r>
        <w:rPr>
          <w:rStyle w:val="1181"/>
        </w:rPr>
        <w:instrText xml:space="preserve"> </w:instrText>
      </w:r>
      <w:r>
        <w:rPr>
          <w:rStyle w:val="1181"/>
        </w:rPr>
        <w:fldChar w:fldCharType="separate"/>
      </w:r>
      <w:r>
        <w:rPr>
          <w:rStyle w:val="1181"/>
        </w:rPr>
        <w:t xml:space="preserve">1.</w:t>
      </w:r>
      <w:r>
        <w:rPr>
          <w:rFonts w:ascii="Calibri" w:hAnsi="Calibri"/>
          <w:bCs w:val="0"/>
          <w:caps w:val="0"/>
          <w:szCs w:val="22"/>
        </w:rPr>
        <w:tab/>
      </w:r>
      <w:r>
        <w:rPr>
          <w:rStyle w:val="1181"/>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"_Toc170984447"</w:instrText>
      </w:r>
      <w:r>
        <w:rPr>
          <w:rStyle w:val="1181"/>
        </w:rPr>
        <w:instrText xml:space="preserve"> </w:instrText>
      </w:r>
      <w:r>
        <w:rPr>
          <w:rStyle w:val="1181"/>
        </w:rPr>
        <w:fldChar w:fldCharType="separate"/>
      </w:r>
      <w:r>
        <w:rPr>
          <w:rStyle w:val="1181"/>
        </w:rPr>
        <w:t xml:space="preserve">2.</w:t>
      </w:r>
      <w:r>
        <w:rPr>
          <w:rFonts w:ascii="Calibri" w:hAnsi="Calibri"/>
          <w:bCs w:val="0"/>
          <w:caps w:val="0"/>
          <w:szCs w:val="22"/>
        </w:rPr>
        <w:tab/>
      </w:r>
      <w:r>
        <w:rPr>
          <w:rStyle w:val="1181"/>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"_Toc170984448"</w:instrText>
      </w:r>
      <w:r>
        <w:rPr>
          <w:rStyle w:val="1181"/>
        </w:rPr>
        <w:instrText xml:space="preserve"> </w:instrText>
      </w:r>
      <w:r>
        <w:rPr>
          <w:rStyle w:val="1181"/>
        </w:rPr>
        <w:fldChar w:fldCharType="separate"/>
      </w:r>
      <w:r>
        <w:rPr>
          <w:rStyle w:val="1181"/>
        </w:rPr>
        <w:t xml:space="preserve">3.</w:t>
      </w:r>
      <w:r>
        <w:rPr>
          <w:rFonts w:ascii="Calibri" w:hAnsi="Calibri"/>
          <w:bCs w:val="0"/>
          <w:caps w:val="0"/>
          <w:szCs w:val="22"/>
        </w:rPr>
        <w:tab/>
      </w:r>
      <w:r>
        <w:rPr>
          <w:rStyle w:val="1181"/>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"_Toc170984449"</w:instrText>
      </w:r>
      <w:r>
        <w:rPr>
          <w:rStyle w:val="1181"/>
        </w:rPr>
        <w:instrText xml:space="preserve"> </w:instrText>
      </w:r>
      <w:r>
        <w:rPr>
          <w:rStyle w:val="1181"/>
        </w:rPr>
        <w:fldChar w:fldCharType="separate"/>
      </w:r>
      <w:r>
        <w:rPr>
          <w:rStyle w:val="1181"/>
        </w:rPr>
        <w:t xml:space="preserve">4.</w:t>
      </w:r>
      <w:r>
        <w:rPr>
          <w:rFonts w:ascii="Calibri" w:hAnsi="Calibri"/>
          <w:bCs w:val="0"/>
          <w:caps w:val="0"/>
          <w:szCs w:val="22"/>
        </w:rPr>
        <w:tab/>
      </w:r>
      <w:r>
        <w:rPr>
          <w:rStyle w:val="1181"/>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"_Toc170984450"</w:instrText>
      </w:r>
      <w:r>
        <w:rPr>
          <w:rStyle w:val="1181"/>
        </w:rPr>
        <w:instrText xml:space="preserve"> </w:instrText>
      </w:r>
      <w:r>
        <w:rPr>
          <w:rStyle w:val="1181"/>
        </w:rPr>
        <w:fldChar w:fldCharType="separate"/>
      </w:r>
      <w:r>
        <w:rPr>
          <w:rStyle w:val="1181"/>
        </w:rPr>
        <w:t xml:space="preserve">5.</w:t>
      </w:r>
      <w:r>
        <w:rPr>
          <w:rFonts w:ascii="Calibri" w:hAnsi="Calibri"/>
          <w:bCs w:val="0"/>
          <w:caps w:val="0"/>
          <w:szCs w:val="22"/>
        </w:rPr>
        <w:tab/>
      </w:r>
      <w:r>
        <w:rPr>
          <w:rStyle w:val="1181"/>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"_Toc170984451"</w:instrText>
      </w:r>
      <w:r>
        <w:rPr>
          <w:rStyle w:val="1181"/>
        </w:rPr>
        <w:instrText xml:space="preserve"> </w:instrText>
      </w:r>
      <w:r>
        <w:rPr>
          <w:rStyle w:val="1181"/>
        </w:rPr>
        <w:fldChar w:fldCharType="separate"/>
      </w:r>
      <w:r>
        <w:rPr>
          <w:rStyle w:val="1181"/>
        </w:rPr>
        <w:t xml:space="preserve">6.</w:t>
      </w:r>
      <w:r>
        <w:rPr>
          <w:rFonts w:ascii="Calibri" w:hAnsi="Calibri"/>
          <w:bCs w:val="0"/>
          <w:caps w:val="0"/>
          <w:szCs w:val="22"/>
        </w:rPr>
        <w:tab/>
      </w:r>
      <w:r>
        <w:rPr>
          <w:rStyle w:val="1181"/>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"_Toc170984452"</w:instrText>
      </w:r>
      <w:r>
        <w:rPr>
          <w:rStyle w:val="1181"/>
        </w:rPr>
        <w:instrText xml:space="preserve"> </w:instrText>
      </w:r>
      <w:r>
        <w:rPr>
          <w:rStyle w:val="1181"/>
        </w:rPr>
        <w:fldChar w:fldCharType="separate"/>
      </w:r>
      <w:r>
        <w:rPr>
          <w:rStyle w:val="1181"/>
        </w:rPr>
        <w:t xml:space="preserve">7.</w:t>
      </w:r>
      <w:r>
        <w:rPr>
          <w:rFonts w:ascii="Calibri" w:hAnsi="Calibri"/>
          <w:bCs w:val="0"/>
          <w:caps w:val="0"/>
          <w:szCs w:val="22"/>
        </w:rPr>
        <w:tab/>
      </w:r>
      <w:r>
        <w:rPr>
          <w:rStyle w:val="1181"/>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"_Toc170984453"</w:instrText>
      </w:r>
      <w:r>
        <w:rPr>
          <w:rStyle w:val="1181"/>
        </w:rPr>
        <w:instrText xml:space="preserve"> </w:instrText>
      </w:r>
      <w:r>
        <w:rPr>
          <w:rStyle w:val="1181"/>
        </w:rPr>
        <w:fldChar w:fldCharType="separate"/>
      </w:r>
      <w:r>
        <w:rPr>
          <w:rStyle w:val="1181"/>
        </w:rPr>
        <w:t xml:space="preserve">8.</w:t>
      </w:r>
      <w:r>
        <w:rPr>
          <w:rFonts w:ascii="Calibri" w:hAnsi="Calibri"/>
          <w:bCs w:val="0"/>
          <w:caps w:val="0"/>
          <w:szCs w:val="22"/>
        </w:rPr>
        <w:tab/>
      </w:r>
      <w:r>
        <w:rPr>
          <w:rStyle w:val="1181"/>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"_Toc170984454"</w:instrText>
      </w:r>
      <w:r>
        <w:rPr>
          <w:rStyle w:val="1181"/>
        </w:rPr>
        <w:instrText xml:space="preserve"> </w:instrText>
      </w:r>
      <w:r>
        <w:rPr>
          <w:rStyle w:val="1181"/>
        </w:rPr>
        <w:fldChar w:fldCharType="separate"/>
      </w:r>
      <w:r>
        <w:rPr>
          <w:rStyle w:val="1181"/>
        </w:rPr>
        <w:t xml:space="preserve">9.</w:t>
      </w:r>
      <w:r>
        <w:rPr>
          <w:rFonts w:ascii="Calibri" w:hAnsi="Calibri"/>
          <w:bCs w:val="0"/>
          <w:caps w:val="0"/>
          <w:szCs w:val="22"/>
        </w:rPr>
        <w:tab/>
      </w:r>
      <w:r>
        <w:rPr>
          <w:rStyle w:val="1181"/>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"_Toc170984455"</w:instrText>
      </w:r>
      <w:r>
        <w:rPr>
          <w:rStyle w:val="1181"/>
        </w:rPr>
        <w:instrText xml:space="preserve"> </w:instrText>
      </w:r>
      <w:r>
        <w:rPr>
          <w:rStyle w:val="1181"/>
        </w:rPr>
        <w:fldChar w:fldCharType="separate"/>
      </w:r>
      <w:r>
        <w:rPr>
          <w:rStyle w:val="1181"/>
        </w:rPr>
        <w:t xml:space="preserve">10.</w:t>
      </w:r>
      <w:r>
        <w:rPr>
          <w:rFonts w:ascii="Calibri" w:hAnsi="Calibri"/>
          <w:bCs w:val="0"/>
          <w:caps w:val="0"/>
          <w:szCs w:val="22"/>
        </w:rPr>
        <w:tab/>
      </w:r>
      <w:r>
        <w:rPr>
          <w:rStyle w:val="1181"/>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"_Toc170984456"</w:instrText>
      </w:r>
      <w:r>
        <w:rPr>
          <w:rStyle w:val="1181"/>
        </w:rPr>
        <w:instrText xml:space="preserve"> </w:instrText>
      </w:r>
      <w:r>
        <w:rPr>
          <w:rStyle w:val="1181"/>
        </w:rPr>
        <w:fldChar w:fldCharType="separate"/>
      </w:r>
      <w:r>
        <w:rPr>
          <w:rStyle w:val="1181"/>
        </w:rPr>
        <w:t xml:space="preserve">11.</w:t>
      </w:r>
      <w:r>
        <w:rPr>
          <w:rFonts w:ascii="Calibri" w:hAnsi="Calibri"/>
          <w:bCs w:val="0"/>
          <w:caps w:val="0"/>
          <w:szCs w:val="22"/>
        </w:rPr>
        <w:tab/>
      </w:r>
      <w:r>
        <w:rPr>
          <w:rStyle w:val="1181"/>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"_Toc170984457"</w:instrText>
      </w:r>
      <w:r>
        <w:rPr>
          <w:rStyle w:val="1181"/>
        </w:rPr>
        <w:instrText xml:space="preserve"> </w:instrText>
      </w:r>
      <w:r>
        <w:rPr>
          <w:rStyle w:val="1181"/>
        </w:rPr>
        <w:fldChar w:fldCharType="separate"/>
      </w:r>
      <w:r>
        <w:rPr>
          <w:rStyle w:val="1181"/>
        </w:rPr>
        <w:t xml:space="preserve">12.</w:t>
      </w:r>
      <w:r>
        <w:rPr>
          <w:rFonts w:ascii="Calibri" w:hAnsi="Calibri"/>
          <w:bCs w:val="0"/>
          <w:caps w:val="0"/>
          <w:szCs w:val="22"/>
        </w:rPr>
        <w:tab/>
      </w:r>
      <w:r>
        <w:rPr>
          <w:rStyle w:val="1181"/>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720" w:leader="none"/>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"_Toc170984458"</w:instrText>
      </w:r>
      <w:r>
        <w:rPr>
          <w:rStyle w:val="1181"/>
        </w:rPr>
        <w:instrText xml:space="preserve"> </w:instrText>
      </w:r>
      <w:r>
        <w:rPr>
          <w:rStyle w:val="1181"/>
        </w:rPr>
        <w:fldChar w:fldCharType="separate"/>
      </w:r>
      <w:r>
        <w:rPr>
          <w:rStyle w:val="1181"/>
        </w:rPr>
        <w:t xml:space="preserve">13.</w:t>
      </w:r>
      <w:r>
        <w:rPr>
          <w:rFonts w:ascii="Calibri" w:hAnsi="Calibri"/>
          <w:bCs w:val="0"/>
          <w:caps w:val="0"/>
          <w:szCs w:val="22"/>
        </w:rPr>
        <w:tab/>
      </w:r>
      <w:r>
        <w:rPr>
          <w:rStyle w:val="1181"/>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"_Toc170984459"</w:instrText>
      </w:r>
      <w:r>
        <w:rPr>
          <w:rStyle w:val="1181"/>
        </w:rPr>
        <w:instrText xml:space="preserve"> </w:instrText>
      </w:r>
      <w:r>
        <w:rPr>
          <w:rStyle w:val="1181"/>
        </w:rPr>
        <w:fldChar w:fldCharType="separate"/>
      </w:r>
      <w:r>
        <w:rPr>
          <w:rStyle w:val="1181"/>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"_Toc170984460"</w:instrText>
      </w:r>
      <w:r>
        <w:rPr>
          <w:rStyle w:val="1181"/>
        </w:rPr>
        <w:instrText xml:space="preserve"> </w:instrText>
      </w:r>
      <w:r>
        <w:rPr>
          <w:rStyle w:val="1181"/>
        </w:rPr>
        <w:fldChar w:fldCharType="separate"/>
      </w:r>
      <w:r>
        <w:rPr>
          <w:rStyle w:val="1181"/>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"_Toc170984461"</w:instrText>
      </w:r>
      <w:r>
        <w:rPr>
          <w:rStyle w:val="1181"/>
        </w:rPr>
        <w:instrText xml:space="preserve"> </w:instrText>
      </w:r>
      <w:r>
        <w:rPr>
          <w:rStyle w:val="1181"/>
        </w:rPr>
        <w:fldChar w:fldCharType="separate"/>
      </w:r>
      <w:r>
        <w:rPr>
          <w:rStyle w:val="1181"/>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"_Toc170984462"</w:instrText>
      </w:r>
      <w:r>
        <w:rPr>
          <w:rStyle w:val="1181"/>
        </w:rPr>
        <w:instrText xml:space="preserve"> </w:instrText>
      </w:r>
      <w:r>
        <w:rPr>
          <w:rStyle w:val="1181"/>
        </w:rPr>
        <w:fldChar w:fldCharType="separate"/>
      </w:r>
      <w:r>
        <w:rPr>
          <w:rStyle w:val="1181"/>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right" w:pos="9889" w:leader="dot"/>
        </w:tabs>
        <w:rPr>
          <w:rFonts w:ascii="Calibri" w:hAnsi="Calibri"/>
          <w:bCs w:val="0"/>
          <w:caps w:val="0"/>
          <w:szCs w:val="22"/>
        </w:rPr>
      </w:pPr>
      <w:r>
        <w:rPr>
          <w:rStyle w:val="1181"/>
        </w:rPr>
        <w:fldChar w:fldCharType="begin"/>
      </w:r>
      <w:r>
        <w:rPr>
          <w:rStyle w:val="1181"/>
        </w:rPr>
        <w:instrText xml:space="preserve"> </w:instrText>
      </w:r>
      <w:r>
        <w:instrText xml:space="preserve">HYPERLINK \l "_Toc170984463"</w:instrText>
      </w:r>
      <w:r>
        <w:rPr>
          <w:rStyle w:val="1181"/>
        </w:rPr>
        <w:instrText xml:space="preserve"> </w:instrText>
      </w:r>
      <w:r>
        <w:rPr>
          <w:rStyle w:val="1181"/>
        </w:rPr>
        <w:fldChar w:fldCharType="separate"/>
      </w:r>
      <w:r>
        <w:rPr>
          <w:rStyle w:val="1181"/>
        </w:rPr>
        <w:t xml:space="preserve">18. Операци</w:t>
      </w:r>
      <w:bookmarkStart w:id="3" w:name="_Hlt170984464"/>
      <w:r>
        <w:rPr>
          <w:rStyle w:val="1181"/>
        </w:rPr>
        <w:t xml:space="preserve">и</w:t>
      </w:r>
      <w:bookmarkEnd w:id="3"/>
      <w:r>
        <w:rPr>
          <w:rStyle w:val="1181"/>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81"/>
        </w:rPr>
        <w:fldChar w:fldCharType="end"/>
      </w:r>
      <w:r>
        <w:rPr>
          <w:rFonts w:ascii="Calibri" w:hAnsi="Calibri"/>
          <w:bCs w:val="0"/>
          <w:caps w:val="0"/>
          <w:szCs w:val="22"/>
        </w:rPr>
      </w:r>
      <w:r>
        <w:rPr>
          <w:rFonts w:ascii="Calibri" w:hAnsi="Calibri"/>
          <w:bCs w:val="0"/>
          <w:caps w:val="0"/>
          <w:szCs w:val="22"/>
        </w:rPr>
      </w:r>
    </w:p>
    <w:p>
      <w:pPr>
        <w:pStyle w:val="1183"/>
        <w:tabs>
          <w:tab w:val="left" w:pos="480" w:leader="none"/>
          <w:tab w:val="right" w:pos="9889" w:leader="dot"/>
        </w:tabs>
        <w:rPr>
          <w:rStyle w:val="1181"/>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81"/>
        </w:rPr>
      </w:r>
      <w:r>
        <w:rPr>
          <w:rStyle w:val="1181"/>
        </w:rPr>
      </w:r>
    </w:p>
    <w:p>
      <w:pPr>
        <w:pStyle w:val="1183"/>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pPr>
      <w:r/>
      <w:r/>
    </w:p>
    <w:p>
      <w:pPr>
        <w:pStyle w:val="1163"/>
        <w:rPr>
          <w:lang w:val="en-US" w:eastAsia="en-US"/>
        </w:rPr>
      </w:pPr>
      <w:r>
        <w:rPr>
          <w:lang w:val="en-US" w:eastAsia="en-US"/>
        </w:rPr>
      </w:r>
      <w:r>
        <w:rPr>
          <w:lang w:val="en-US" w:eastAsia="en-US"/>
        </w:rPr>
      </w:r>
      <w:r>
        <w:rPr>
          <w:lang w:val="en-US" w:eastAsia="en-US"/>
        </w:rPr>
      </w:r>
    </w:p>
    <w:p>
      <w:pPr>
        <w:pStyle w:val="1167"/>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19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rPr>
                <w:b/>
                <w:sz w:val="20"/>
                <w:szCs w:val="20"/>
              </w:rPr>
            </w:pPr>
            <w:r>
              <w:rPr>
                <w:b/>
                <w:sz w:val="20"/>
                <w:szCs w:val="20"/>
              </w:rPr>
              <w:t xml:space="preserve">№</w:t>
            </w:r>
            <w:r>
              <w:rPr>
                <w:b/>
                <w:sz w:val="20"/>
                <w:szCs w:val="20"/>
              </w:rPr>
            </w:r>
            <w:r>
              <w:rPr>
                <w:b/>
                <w:sz w:val="20"/>
                <w:szCs w:val="20"/>
              </w:rPr>
            </w:r>
          </w:p>
          <w:p>
            <w:pPr>
              <w:pStyle w:val="116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center"/>
            <w:textDirection w:val="lrTb"/>
            <w:noWrap w:val="false"/>
          </w:tcPr>
          <w:p>
            <w:pPr>
              <w:pStyle w:val="1163"/>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2500 руб.</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63"/>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2 500 руб.</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6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11"/>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211"/>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63"/>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63"/>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63"/>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6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3000 руб. в месяц</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2000 руб. в месяц</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63"/>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1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1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1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3"/>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6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63"/>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63"/>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63"/>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sz w:val="20"/>
                <w:szCs w:val="20"/>
              </w:rPr>
            </w:pPr>
            <w:r>
              <w:rPr>
                <w:sz w:val="20"/>
                <w:szCs w:val="20"/>
              </w:rPr>
              <w:t xml:space="preserve">550 руб.</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ind w:left="34"/>
              <w:spacing w:after="40"/>
              <w:rPr>
                <w:sz w:val="20"/>
                <w:szCs w:val="20"/>
              </w:rPr>
            </w:pPr>
            <w:r>
              <w:rPr>
                <w:sz w:val="20"/>
                <w:szCs w:val="20"/>
              </w:rPr>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spacing w:after="40"/>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63"/>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63"/>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1.1.7.1.</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63"/>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jc w:val="center"/>
              <w:spacing w:after="120"/>
              <w:rPr>
                <w:sz w:val="20"/>
                <w:szCs w:val="20"/>
              </w:rPr>
            </w:pPr>
            <w:r>
              <w:rPr>
                <w:sz w:val="20"/>
                <w:szCs w:val="20"/>
              </w:rPr>
              <w:t xml:space="preserve">300 руб. </w:t>
            </w:r>
            <w:r>
              <w:rPr>
                <w:sz w:val="20"/>
                <w:szCs w:val="20"/>
              </w:rPr>
            </w:r>
            <w:r>
              <w:rPr>
                <w:sz w:val="20"/>
                <w:szCs w:val="20"/>
              </w:rPr>
            </w:r>
          </w:p>
          <w:p>
            <w:pPr>
              <w:pStyle w:val="1163"/>
              <w:jc w:val="center"/>
              <w:spacing w:after="120"/>
              <w:rPr>
                <w:sz w:val="20"/>
                <w:szCs w:val="20"/>
              </w:rPr>
            </w:pPr>
            <w:r>
              <w:rPr>
                <w:sz w:val="20"/>
                <w:szCs w:val="20"/>
              </w:rPr>
              <w:t xml:space="preserve">при ОБЩЕЙ СУММЕ </w:t>
            </w:r>
            <w:r>
              <w:rPr>
                <w:sz w:val="20"/>
                <w:szCs w:val="20"/>
              </w:rPr>
            </w:r>
            <w:r>
              <w:rPr>
                <w:sz w:val="20"/>
                <w:szCs w:val="20"/>
              </w:rPr>
            </w:r>
          </w:p>
          <w:p>
            <w:pPr>
              <w:pStyle w:val="1163"/>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63"/>
              <w:jc w:val="center"/>
              <w:spacing w:after="120"/>
              <w:rPr>
                <w:sz w:val="20"/>
                <w:szCs w:val="20"/>
              </w:rPr>
            </w:pPr>
            <w:r>
              <w:rPr>
                <w:sz w:val="20"/>
                <w:szCs w:val="20"/>
              </w:rPr>
              <w:t xml:space="preserve">1% от суммы </w:t>
            </w:r>
            <w:r>
              <w:rPr>
                <w:sz w:val="20"/>
                <w:szCs w:val="20"/>
              </w:rPr>
            </w:r>
            <w:r>
              <w:rPr>
                <w:sz w:val="20"/>
                <w:szCs w:val="20"/>
              </w:rPr>
            </w:r>
          </w:p>
          <w:p>
            <w:pPr>
              <w:pStyle w:val="1163"/>
              <w:jc w:val="center"/>
              <w:spacing w:after="120"/>
              <w:rPr>
                <w:sz w:val="20"/>
                <w:szCs w:val="20"/>
              </w:rPr>
            </w:pPr>
            <w:r>
              <w:rPr>
                <w:sz w:val="20"/>
                <w:szCs w:val="20"/>
              </w:rPr>
              <w:t xml:space="preserve">при ОБЩЕЙ СУММЕ</w:t>
            </w:r>
            <w:r>
              <w:rPr>
                <w:sz w:val="20"/>
                <w:szCs w:val="20"/>
              </w:rPr>
            </w:r>
            <w:r>
              <w:rPr>
                <w:sz w:val="20"/>
                <w:szCs w:val="20"/>
              </w:rPr>
            </w:r>
          </w:p>
          <w:p>
            <w:pPr>
              <w:pStyle w:val="1163"/>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63"/>
              <w:jc w:val="center"/>
              <w:spacing w:after="120"/>
              <w:rPr>
                <w:sz w:val="20"/>
                <w:szCs w:val="20"/>
              </w:rPr>
            </w:pPr>
            <w:r>
              <w:rPr>
                <w:sz w:val="20"/>
                <w:szCs w:val="20"/>
              </w:rPr>
              <w:t xml:space="preserve">1,7% от суммы </w:t>
            </w:r>
            <w:r>
              <w:rPr>
                <w:sz w:val="20"/>
                <w:szCs w:val="20"/>
              </w:rPr>
            </w:r>
            <w:r>
              <w:rPr>
                <w:sz w:val="20"/>
                <w:szCs w:val="20"/>
              </w:rPr>
            </w:r>
          </w:p>
          <w:p>
            <w:pPr>
              <w:pStyle w:val="1163"/>
              <w:jc w:val="center"/>
              <w:spacing w:after="120"/>
              <w:rPr>
                <w:sz w:val="20"/>
                <w:szCs w:val="20"/>
              </w:rPr>
            </w:pPr>
            <w:r>
              <w:rPr>
                <w:sz w:val="20"/>
                <w:szCs w:val="20"/>
              </w:rPr>
              <w:t xml:space="preserve">при ОБЩЕЙ СУММЕ</w:t>
            </w:r>
            <w:r>
              <w:rPr>
                <w:sz w:val="20"/>
                <w:szCs w:val="20"/>
              </w:rPr>
            </w:r>
            <w:r>
              <w:rPr>
                <w:sz w:val="20"/>
                <w:szCs w:val="20"/>
              </w:rPr>
            </w:r>
          </w:p>
          <w:p>
            <w:pPr>
              <w:pStyle w:val="1163"/>
              <w:jc w:val="center"/>
              <w:spacing w:after="120"/>
              <w:rPr>
                <w:sz w:val="20"/>
                <w:szCs w:val="20"/>
              </w:rPr>
            </w:pPr>
            <w:r>
              <w:rPr>
                <w:sz w:val="20"/>
                <w:szCs w:val="20"/>
              </w:rPr>
              <w:t xml:space="preserve">с 300 000,01 руб. </w:t>
            </w:r>
            <w:r>
              <w:rPr>
                <w:sz w:val="20"/>
                <w:szCs w:val="20"/>
              </w:rPr>
            </w:r>
            <w:r>
              <w:rPr>
                <w:sz w:val="20"/>
                <w:szCs w:val="20"/>
              </w:rPr>
            </w:r>
          </w:p>
          <w:p>
            <w:pPr>
              <w:pStyle w:val="1163"/>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63"/>
              <w:jc w:val="center"/>
              <w:spacing w:after="120"/>
              <w:rPr>
                <w:sz w:val="20"/>
                <w:szCs w:val="20"/>
              </w:rPr>
            </w:pPr>
            <w:r>
              <w:rPr>
                <w:sz w:val="20"/>
                <w:szCs w:val="20"/>
              </w:rPr>
              <w:t xml:space="preserve">3,7% от суммы </w:t>
            </w:r>
            <w:r>
              <w:rPr>
                <w:sz w:val="20"/>
                <w:szCs w:val="20"/>
              </w:rPr>
            </w:r>
            <w:r>
              <w:rPr>
                <w:sz w:val="20"/>
                <w:szCs w:val="20"/>
              </w:rPr>
            </w:r>
          </w:p>
          <w:p>
            <w:pPr>
              <w:pStyle w:val="1163"/>
              <w:jc w:val="center"/>
              <w:spacing w:after="120"/>
              <w:rPr>
                <w:sz w:val="20"/>
                <w:szCs w:val="20"/>
              </w:rPr>
            </w:pPr>
            <w:r>
              <w:rPr>
                <w:sz w:val="20"/>
                <w:szCs w:val="20"/>
              </w:rPr>
              <w:t xml:space="preserve">при ОБЩЕЙ СУММЕ</w:t>
            </w:r>
            <w:r>
              <w:rPr>
                <w:sz w:val="20"/>
                <w:szCs w:val="20"/>
              </w:rPr>
            </w:r>
            <w:r>
              <w:rPr>
                <w:sz w:val="20"/>
                <w:szCs w:val="20"/>
              </w:rPr>
            </w:r>
          </w:p>
          <w:p>
            <w:pPr>
              <w:pStyle w:val="1163"/>
              <w:jc w:val="center"/>
              <w:spacing w:after="120"/>
              <w:rPr>
                <w:sz w:val="20"/>
                <w:szCs w:val="20"/>
              </w:rPr>
            </w:pPr>
            <w:r>
              <w:rPr>
                <w:sz w:val="20"/>
                <w:szCs w:val="20"/>
              </w:rPr>
              <w:t xml:space="preserve">с 2 000 000,01 руб. </w:t>
            </w:r>
            <w:r>
              <w:rPr>
                <w:sz w:val="20"/>
                <w:szCs w:val="20"/>
              </w:rPr>
            </w:r>
            <w:r>
              <w:rPr>
                <w:sz w:val="20"/>
                <w:szCs w:val="20"/>
              </w:rPr>
            </w:r>
          </w:p>
          <w:p>
            <w:pPr>
              <w:pStyle w:val="1163"/>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63"/>
              <w:jc w:val="center"/>
              <w:spacing w:after="120"/>
              <w:rPr>
                <w:sz w:val="20"/>
                <w:szCs w:val="20"/>
              </w:rPr>
            </w:pPr>
            <w:r>
              <w:rPr>
                <w:sz w:val="20"/>
                <w:szCs w:val="20"/>
              </w:rPr>
              <w:t xml:space="preserve">6% от суммы</w:t>
            </w:r>
            <w:r>
              <w:rPr>
                <w:sz w:val="20"/>
                <w:szCs w:val="20"/>
              </w:rPr>
            </w:r>
            <w:r>
              <w:rPr>
                <w:sz w:val="20"/>
                <w:szCs w:val="20"/>
              </w:rPr>
            </w:r>
          </w:p>
          <w:p>
            <w:pPr>
              <w:pStyle w:val="1163"/>
              <w:jc w:val="center"/>
              <w:spacing w:after="120"/>
              <w:rPr>
                <w:sz w:val="20"/>
                <w:szCs w:val="20"/>
              </w:rPr>
            </w:pPr>
            <w:r>
              <w:rPr>
                <w:sz w:val="20"/>
                <w:szCs w:val="20"/>
              </w:rPr>
              <w:t xml:space="preserve">при ОБЩЕЙ СУММЕ</w:t>
            </w:r>
            <w:r>
              <w:rPr>
                <w:sz w:val="20"/>
                <w:szCs w:val="20"/>
              </w:rPr>
            </w:r>
            <w:r>
              <w:rPr>
                <w:sz w:val="20"/>
                <w:szCs w:val="20"/>
              </w:rPr>
            </w:r>
          </w:p>
          <w:p>
            <w:pPr>
              <w:pStyle w:val="1163"/>
              <w:jc w:val="center"/>
              <w:spacing w:after="120"/>
              <w:rPr>
                <w:sz w:val="20"/>
                <w:szCs w:val="20"/>
              </w:rPr>
            </w:pPr>
            <w:r>
              <w:rPr>
                <w:sz w:val="20"/>
                <w:szCs w:val="20"/>
              </w:rPr>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63"/>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63"/>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63"/>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63"/>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63"/>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63"/>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63"/>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63"/>
              <w:jc w:val="both"/>
              <w:rPr>
                <w:sz w:val="20"/>
                <w:szCs w:val="20"/>
              </w:rPr>
            </w:pPr>
            <w:r>
              <w:rPr>
                <w:sz w:val="20"/>
                <w:szCs w:val="20"/>
              </w:rPr>
              <w:t xml:space="preserve">- перечисление алиментов, пенсий,</w:t>
            </w:r>
            <w:r>
              <w:rPr>
                <w:sz w:val="20"/>
                <w:szCs w:val="20"/>
              </w:rPr>
            </w:r>
            <w:r>
              <w:rPr>
                <w:sz w:val="20"/>
                <w:szCs w:val="20"/>
              </w:rPr>
            </w:r>
          </w:p>
          <w:p>
            <w:pPr>
              <w:pStyle w:val="1163"/>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63"/>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63"/>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63"/>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63"/>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63"/>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63"/>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63"/>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63"/>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63"/>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3"/>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63"/>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63"/>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63"/>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63"/>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63"/>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2"/>
                <w:szCs w:val="22"/>
              </w:rPr>
            </w:pPr>
            <w:r>
              <w:rPr>
                <w:bCs/>
                <w:sz w:val="22"/>
                <w:szCs w:val="22"/>
              </w:rPr>
              <w:t xml:space="preserve">500 руб.</w:t>
            </w:r>
            <w:r>
              <w:rPr>
                <w:bCs/>
                <w:sz w:val="22"/>
                <w:szCs w:val="22"/>
              </w:rPr>
            </w:r>
            <w:r>
              <w:rPr>
                <w:bCs/>
                <w:sz w:val="22"/>
                <w:szCs w:val="22"/>
              </w:rPr>
            </w:r>
          </w:p>
          <w:p>
            <w:pPr>
              <w:pStyle w:val="1163"/>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3"/>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6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63"/>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p>
            <w:pPr>
              <w:pStyle w:val="1163"/>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63"/>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63"/>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63"/>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63"/>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ind w:left="-52" w:firstLine="52"/>
              <w:jc w:val="both"/>
              <w:spacing w:before="40"/>
              <w:rPr>
                <w:bCs/>
                <w:sz w:val="20"/>
                <w:szCs w:val="20"/>
              </w:rPr>
            </w:pPr>
            <w:r>
              <w:rPr>
                <w:bCs/>
                <w:sz w:val="20"/>
                <w:szCs w:val="20"/>
              </w:rPr>
            </w:r>
            <w:r>
              <w:rPr>
                <w:bCs/>
                <w:sz w:val="20"/>
                <w:szCs w:val="20"/>
              </w:rPr>
            </w:r>
            <w:r>
              <w:rPr>
                <w:bCs/>
                <w:sz w:val="20"/>
                <w:szCs w:val="20"/>
              </w:rPr>
            </w:r>
          </w:p>
          <w:p>
            <w:pPr>
              <w:pStyle w:val="1163"/>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6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w:t>
            </w:r>
            <w:r>
              <w:rPr>
                <w:sz w:val="20"/>
                <w:szCs w:val="20"/>
                <w:lang w:eastAsia="en-US"/>
              </w:rPr>
              <w:t xml:space="preserve">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6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r>
            <w:r>
              <w:rPr>
                <w:bCs/>
                <w:sz w:val="20"/>
                <w:szCs w:val="20"/>
              </w:rPr>
            </w:r>
            <w:r>
              <w:rPr>
                <w:bCs/>
                <w:sz w:val="20"/>
                <w:szCs w:val="20"/>
              </w:rPr>
            </w:r>
          </w:p>
          <w:p>
            <w:pPr>
              <w:pStyle w:val="1163"/>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63"/>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63"/>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63"/>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63"/>
              <w:jc w:val="both"/>
              <w:spacing w:before="40"/>
              <w:tabs>
                <w:tab w:val="left" w:pos="708" w:leader="none"/>
                <w:tab w:val="center" w:pos="4677" w:leader="none"/>
                <w:tab w:val="right" w:pos="9355" w:leader="none"/>
              </w:tabs>
              <w:rPr>
                <w:rFonts w:eastAsia="Calibri"/>
                <w:sz w:val="20"/>
                <w:szCs w:val="20"/>
              </w:rPr>
            </w:pPr>
            <w:r>
              <w:rPr>
                <w:rFonts w:eastAsia="Calibri"/>
                <w:sz w:val="22"/>
                <w:szCs w:val="22"/>
                <w:lang w:eastAsia="en-US"/>
              </w:rPr>
              <w:t xml:space="preserve">Н</w:t>
            </w:r>
            <w:r>
              <w:rPr>
                <w:rFonts w:eastAsia="Calibri"/>
                <w:sz w:val="20"/>
                <w:szCs w:val="20"/>
                <w:lang w:eastAsia="en-US"/>
              </w:rPr>
              <w:t xml:space="preserve">е признаются операциями по счету:</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причисление процентов к счету;</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взимание комиссий Банка; </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63"/>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rPr>
            </w:r>
            <w:r>
              <w:rPr>
                <w:rFonts w:eastAsia="Calibri"/>
                <w:sz w:val="20"/>
                <w:szCs w:val="20"/>
              </w:rPr>
            </w:r>
          </w:p>
          <w:p>
            <w:pPr>
              <w:pStyle w:val="1163"/>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sz w:val="20"/>
                <w:szCs w:val="20"/>
              </w:rPr>
            </w:pPr>
            <w:r>
              <w:rPr>
                <w:sz w:val="20"/>
                <w:szCs w:val="20"/>
              </w:rPr>
              <w:t xml:space="preserve">0,33%</w:t>
            </w:r>
            <w:r>
              <w:rPr>
                <w:sz w:val="20"/>
                <w:szCs w:val="20"/>
              </w:rPr>
            </w:r>
            <w:r>
              <w:rPr>
                <w:sz w:val="20"/>
                <w:szCs w:val="20"/>
              </w:rPr>
            </w:r>
          </w:p>
          <w:p>
            <w:pPr>
              <w:pStyle w:val="1163"/>
              <w:jc w:val="center"/>
              <w:rPr>
                <w:sz w:val="20"/>
                <w:szCs w:val="20"/>
              </w:rPr>
            </w:pPr>
            <w:r>
              <w:rPr>
                <w:sz w:val="20"/>
                <w:szCs w:val="20"/>
              </w:rPr>
              <w:t xml:space="preserve">минимум </w:t>
            </w:r>
            <w:r>
              <w:rPr>
                <w:sz w:val="20"/>
                <w:szCs w:val="20"/>
              </w:rPr>
            </w:r>
            <w:r>
              <w:rPr>
                <w:sz w:val="20"/>
                <w:szCs w:val="20"/>
              </w:rPr>
            </w:r>
          </w:p>
          <w:p>
            <w:pPr>
              <w:pStyle w:val="1163"/>
              <w:jc w:val="center"/>
              <w:rPr>
                <w:sz w:val="20"/>
                <w:szCs w:val="20"/>
              </w:rPr>
            </w:pPr>
            <w:r>
              <w:rPr>
                <w:sz w:val="20"/>
                <w:szCs w:val="20"/>
              </w:rPr>
              <w:t xml:space="preserve">25 долл. США,</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63"/>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63"/>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63"/>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63"/>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63"/>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63"/>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63"/>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63"/>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63"/>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63"/>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63"/>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63"/>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63"/>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63"/>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63"/>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63"/>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6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63"/>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63"/>
              <w:jc w:val="center"/>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6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63"/>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63"/>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63"/>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6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63"/>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63"/>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63"/>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63"/>
        <w:rPr>
          <w:lang w:eastAsia="en-US"/>
        </w:rPr>
      </w:pPr>
      <w:r>
        <w:rPr>
          <w:lang w:eastAsia="en-US"/>
        </w:rPr>
      </w:r>
      <w:r>
        <w:rPr>
          <w:lang w:eastAsia="en-US"/>
        </w:rPr>
      </w:r>
      <w:r>
        <w:rPr>
          <w:lang w:eastAsia="en-US"/>
        </w:rPr>
      </w:r>
    </w:p>
    <w:p>
      <w:pPr>
        <w:pStyle w:val="1163"/>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6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3"/>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63"/>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3"/>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6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67"/>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3"/>
              <w:jc w:val="center"/>
              <w:rPr>
                <w:b/>
                <w:bCs/>
                <w:sz w:val="20"/>
                <w:szCs w:val="20"/>
              </w:rPr>
            </w:pPr>
            <w:r>
              <w:rPr>
                <w:b/>
                <w:bCs/>
                <w:sz w:val="20"/>
                <w:szCs w:val="20"/>
              </w:rPr>
              <w:t xml:space="preserve">№</w:t>
            </w:r>
            <w:r>
              <w:rPr>
                <w:b/>
                <w:bCs/>
                <w:sz w:val="20"/>
                <w:szCs w:val="20"/>
              </w:rPr>
            </w:r>
            <w:r>
              <w:rPr>
                <w:b/>
                <w:bCs/>
                <w:sz w:val="20"/>
                <w:szCs w:val="20"/>
              </w:rPr>
            </w:r>
          </w:p>
          <w:p>
            <w:pPr>
              <w:pStyle w:val="116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6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6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63"/>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63"/>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63"/>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63"/>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63"/>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63"/>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63"/>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63"/>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63"/>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63"/>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63"/>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63"/>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6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6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63"/>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63"/>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63"/>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3"/>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3"/>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3"/>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63"/>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3"/>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3"/>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u w:val="single"/>
        </w:rPr>
      </w:pPr>
      <w:r>
        <w:rPr>
          <w:bCs/>
          <w:sz w:val="20"/>
          <w:szCs w:val="20"/>
          <w:u w:val="single"/>
        </w:rPr>
      </w:r>
      <w:r>
        <w:rPr>
          <w:bCs/>
          <w:sz w:val="20"/>
          <w:szCs w:val="20"/>
          <w:u w:val="single"/>
        </w:rPr>
      </w:r>
      <w:r>
        <w:rPr>
          <w:bCs/>
          <w:sz w:val="20"/>
          <w:szCs w:val="20"/>
          <w:u w:val="single"/>
        </w:rPr>
      </w:r>
    </w:p>
    <w:p>
      <w:pPr>
        <w:pStyle w:val="116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6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63"/>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63"/>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63"/>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6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63"/>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63"/>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63"/>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7"/>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63"/>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63"/>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63"/>
              <w:contextualSpacing/>
              <w:jc w:val="center"/>
              <w:spacing w:before="40"/>
              <w:rPr>
                <w:sz w:val="20"/>
                <w:szCs w:val="20"/>
              </w:rPr>
            </w:pPr>
            <w:r>
              <w:rPr>
                <w:sz w:val="20"/>
                <w:szCs w:val="20"/>
              </w:rPr>
              <w:t xml:space="preserve">0,15 % </w:t>
            </w:r>
            <w:r>
              <w:rPr>
                <w:sz w:val="20"/>
                <w:szCs w:val="20"/>
              </w:rPr>
            </w:r>
            <w:r>
              <w:rPr>
                <w:sz w:val="20"/>
                <w:szCs w:val="20"/>
              </w:rPr>
            </w:r>
          </w:p>
          <w:p>
            <w:pPr>
              <w:pStyle w:val="1163"/>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63"/>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3"/>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3"/>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3"/>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3"/>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3"/>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3"/>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3"/>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3"/>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3"/>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3"/>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63"/>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63"/>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63"/>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63"/>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63"/>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63"/>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63"/>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63"/>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63"/>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63"/>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63"/>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63"/>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63"/>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63"/>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63"/>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63"/>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63"/>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63"/>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63"/>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63"/>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6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63"/>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6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63"/>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63"/>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6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63"/>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6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63"/>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6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63"/>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63"/>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3"/>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3 000 руб.</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63"/>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3"/>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3"/>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3"/>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3"/>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0,15 % </w:t>
            </w:r>
            <w:r>
              <w:rPr>
                <w:sz w:val="20"/>
                <w:szCs w:val="20"/>
              </w:rPr>
            </w:r>
            <w:r>
              <w:rPr>
                <w:sz w:val="20"/>
                <w:szCs w:val="20"/>
              </w:rPr>
            </w:r>
          </w:p>
          <w:p>
            <w:pPr>
              <w:pStyle w:val="1163"/>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63"/>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3"/>
              <w:jc w:val="both"/>
              <w:rPr>
                <w:sz w:val="20"/>
                <w:szCs w:val="20"/>
              </w:rPr>
            </w:pPr>
            <w:r>
              <w:rPr>
                <w:sz w:val="20"/>
                <w:szCs w:val="20"/>
              </w:rPr>
              <w:t xml:space="preserve">Комиссия взимается:</w:t>
            </w:r>
            <w:r>
              <w:rPr>
                <w:sz w:val="20"/>
                <w:szCs w:val="20"/>
              </w:rPr>
            </w:r>
            <w:r>
              <w:rPr>
                <w:sz w:val="20"/>
                <w:szCs w:val="20"/>
              </w:rPr>
            </w:r>
          </w:p>
          <w:p>
            <w:pPr>
              <w:pStyle w:val="1163"/>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63"/>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63"/>
              <w:contextualSpacing/>
              <w:jc w:val="center"/>
              <w:rPr>
                <w:sz w:val="20"/>
                <w:szCs w:val="20"/>
              </w:rPr>
            </w:pPr>
            <w:r>
              <w:rPr>
                <w:sz w:val="20"/>
                <w:szCs w:val="20"/>
              </w:rPr>
              <w:t xml:space="preserve">0,12%</w:t>
            </w:r>
            <w:r>
              <w:rPr>
                <w:sz w:val="20"/>
                <w:szCs w:val="20"/>
              </w:rPr>
            </w:r>
            <w:r>
              <w:rPr>
                <w:sz w:val="20"/>
                <w:szCs w:val="20"/>
              </w:rPr>
            </w:r>
          </w:p>
          <w:p>
            <w:pPr>
              <w:pStyle w:val="1163"/>
              <w:contextualSpacing/>
              <w:jc w:val="center"/>
              <w:rPr>
                <w:sz w:val="20"/>
                <w:szCs w:val="20"/>
              </w:rPr>
            </w:pPr>
            <w:r>
              <w:rPr>
                <w:sz w:val="20"/>
                <w:szCs w:val="20"/>
              </w:rPr>
              <w:t xml:space="preserve">минимум 250 руб.,</w:t>
            </w:r>
            <w:r>
              <w:rPr>
                <w:sz w:val="20"/>
                <w:szCs w:val="20"/>
              </w:rPr>
            </w:r>
            <w:r>
              <w:rPr>
                <w:sz w:val="20"/>
                <w:szCs w:val="20"/>
              </w:rPr>
            </w:r>
          </w:p>
          <w:p>
            <w:pPr>
              <w:pStyle w:val="1163"/>
              <w:contextualSpacing/>
              <w:jc w:val="center"/>
              <w:rPr>
                <w:sz w:val="20"/>
                <w:szCs w:val="20"/>
              </w:rPr>
            </w:pPr>
            <w:r>
              <w:rPr>
                <w:sz w:val="20"/>
                <w:szCs w:val="20"/>
              </w:rPr>
              <w:t xml:space="preserve">максимум 10 000 руб.</w:t>
            </w:r>
            <w:r>
              <w:rPr>
                <w:sz w:val="20"/>
                <w:szCs w:val="20"/>
              </w:rPr>
            </w:r>
            <w:r>
              <w:rPr>
                <w:sz w:val="20"/>
                <w:szCs w:val="20"/>
              </w:rPr>
            </w:r>
          </w:p>
          <w:p>
            <w:pPr>
              <w:pStyle w:val="1163"/>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63"/>
              <w:contextualSpacing/>
              <w:jc w:val="center"/>
              <w:rPr>
                <w:sz w:val="20"/>
                <w:szCs w:val="20"/>
              </w:rPr>
            </w:pPr>
            <w:r>
              <w:rPr>
                <w:sz w:val="20"/>
                <w:szCs w:val="20"/>
              </w:rPr>
              <w:t xml:space="preserve">минимум 150 руб.,</w:t>
            </w:r>
            <w:r>
              <w:rPr>
                <w:sz w:val="20"/>
                <w:szCs w:val="20"/>
              </w:rPr>
            </w:r>
            <w:r>
              <w:rPr>
                <w:sz w:val="20"/>
                <w:szCs w:val="20"/>
              </w:rPr>
            </w:r>
          </w:p>
          <w:p>
            <w:pPr>
              <w:pStyle w:val="1163"/>
              <w:contextualSpacing/>
              <w:jc w:val="center"/>
              <w:rPr>
                <w:sz w:val="20"/>
                <w:szCs w:val="20"/>
              </w:rPr>
            </w:pPr>
            <w:r>
              <w:rPr>
                <w:sz w:val="20"/>
                <w:szCs w:val="20"/>
              </w:rPr>
              <w:t xml:space="preserve">максимум 5 000 руб.</w:t>
            </w:r>
            <w:r>
              <w:rPr>
                <w:sz w:val="20"/>
                <w:szCs w:val="20"/>
              </w:rPr>
            </w:r>
            <w:r>
              <w:rPr>
                <w:sz w:val="20"/>
                <w:szCs w:val="20"/>
              </w:rPr>
            </w:r>
          </w:p>
          <w:p>
            <w:pPr>
              <w:pStyle w:val="1163"/>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63"/>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3"/>
              <w:jc w:val="both"/>
              <w:rPr>
                <w:b/>
                <w:sz w:val="20"/>
                <w:szCs w:val="20"/>
              </w:rPr>
            </w:pPr>
            <w:r>
              <w:rPr>
                <w:b/>
                <w:sz w:val="20"/>
                <w:szCs w:val="20"/>
              </w:rPr>
              <w:t xml:space="preserve">Комиссия не взимается:</w:t>
            </w:r>
            <w:r>
              <w:rPr>
                <w:b/>
                <w:sz w:val="20"/>
                <w:szCs w:val="20"/>
              </w:rPr>
            </w:r>
            <w:r>
              <w:rPr>
                <w:b/>
                <w:sz w:val="20"/>
                <w:szCs w:val="20"/>
              </w:rPr>
            </w:r>
          </w:p>
          <w:p>
            <w:pPr>
              <w:pStyle w:val="1163"/>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3"/>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3"/>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3"/>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3"/>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63"/>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63"/>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63"/>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63"/>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63"/>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63"/>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63"/>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63"/>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63"/>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3"/>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spacing w:after="120"/>
              <w:rPr>
                <w:sz w:val="20"/>
                <w:szCs w:val="20"/>
              </w:rPr>
            </w:pPr>
            <w:r>
              <w:rPr>
                <w:sz w:val="20"/>
                <w:szCs w:val="20"/>
              </w:rPr>
            </w:r>
            <w:r>
              <w:rPr>
                <w:sz w:val="20"/>
                <w:szCs w:val="20"/>
              </w:rPr>
            </w:r>
            <w:r>
              <w:rPr>
                <w:sz w:val="20"/>
                <w:szCs w:val="20"/>
              </w:rPr>
            </w:r>
          </w:p>
        </w:tc>
      </w:tr>
    </w:tbl>
    <w:p>
      <w:pPr>
        <w:pStyle w:val="1163"/>
      </w:pPr>
      <w:r/>
      <w:r/>
    </w:p>
    <w:p>
      <w:pPr>
        <w:pStyle w:val="1163"/>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63"/>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63"/>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63"/>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63"/>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63"/>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63"/>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63"/>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63"/>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63"/>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63"/>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63"/>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63"/>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63"/>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63"/>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63"/>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63"/>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63"/>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63"/>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63"/>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63"/>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63"/>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63"/>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63"/>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63"/>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63"/>
        <w:rPr>
          <w:bCs/>
          <w:i/>
          <w:sz w:val="20"/>
          <w:szCs w:val="20"/>
        </w:rPr>
      </w:pPr>
      <w:r>
        <w:rPr>
          <w:bCs/>
          <w:i/>
          <w:sz w:val="20"/>
          <w:szCs w:val="20"/>
        </w:rPr>
        <w:t xml:space="preserve">4.     При проверке СПД:</w:t>
      </w:r>
      <w:r>
        <w:rPr>
          <w:bCs/>
          <w:i/>
          <w:sz w:val="20"/>
          <w:szCs w:val="20"/>
        </w:rPr>
      </w:r>
      <w:r>
        <w:rPr>
          <w:bCs/>
          <w:i/>
          <w:sz w:val="20"/>
          <w:szCs w:val="20"/>
        </w:rPr>
      </w:r>
    </w:p>
    <w:p>
      <w:pPr>
        <w:pStyle w:val="1163"/>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63"/>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63"/>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63"/>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63"/>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63"/>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63"/>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63"/>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63"/>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63"/>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63"/>
        <w:rPr>
          <w:i/>
          <w:sz w:val="20"/>
          <w:szCs w:val="20"/>
        </w:rPr>
      </w:pPr>
      <w:r>
        <w:rPr>
          <w:i/>
          <w:sz w:val="20"/>
          <w:szCs w:val="20"/>
        </w:rPr>
      </w:r>
      <w:r>
        <w:rPr>
          <w:i/>
          <w:sz w:val="20"/>
          <w:szCs w:val="20"/>
        </w:rPr>
      </w:r>
      <w:r>
        <w:rPr>
          <w:i/>
          <w:sz w:val="20"/>
          <w:szCs w:val="20"/>
        </w:rPr>
      </w:r>
    </w:p>
    <w:p>
      <w:pPr>
        <w:pStyle w:val="1163"/>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7"/>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63"/>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3"/>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63"/>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63"/>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63"/>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3"/>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63"/>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63"/>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63"/>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63"/>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6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63"/>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63"/>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3"/>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63"/>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63"/>
              <w:jc w:val="both"/>
              <w:spacing w:before="40"/>
              <w:rPr>
                <w:sz w:val="20"/>
                <w:szCs w:val="20"/>
              </w:rPr>
            </w:pPr>
            <w:r>
              <w:rPr>
                <w:sz w:val="20"/>
                <w:szCs w:val="20"/>
              </w:rPr>
              <w:t xml:space="preserve">Комиссия включает НДС.</w:t>
            </w:r>
            <w:r>
              <w:rPr>
                <w:sz w:val="20"/>
                <w:szCs w:val="20"/>
              </w:rPr>
            </w:r>
            <w:r>
              <w:rPr>
                <w:sz w:val="20"/>
                <w:szCs w:val="20"/>
              </w:rPr>
            </w:r>
          </w:p>
          <w:p>
            <w:pPr>
              <w:pStyle w:val="1163"/>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3"/>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63"/>
      </w:pPr>
      <w:r/>
      <w:bookmarkStart w:id="32" w:name="_Toc341179150"/>
      <w:r/>
      <w:bookmarkStart w:id="33" w:name="_Toc341179207"/>
      <w:r/>
      <w:r/>
    </w:p>
    <w:p>
      <w:pPr>
        <w:pStyle w:val="1167"/>
        <w:numPr>
          <w:ilvl w:val="0"/>
          <w:numId w:val="16"/>
        </w:numPr>
      </w:pPr>
      <w:r/>
      <w:bookmarkStart w:id="34" w:name="_Toc170984450"/>
      <w:r>
        <w:t xml:space="preserve">Документарные операции</w:t>
      </w:r>
      <w:bookmarkEnd w:id="32"/>
      <w:r/>
      <w:bookmarkEnd w:id="33"/>
      <w:r/>
      <w:bookmarkEnd w:id="34"/>
      <w:r/>
      <w:r/>
    </w:p>
    <w:p>
      <w:pPr>
        <w:pStyle w:val="1163"/>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
                <w:sz w:val="22"/>
                <w:szCs w:val="22"/>
              </w:rPr>
            </w:pPr>
            <w:r>
              <w:rPr>
                <w:b/>
                <w:sz w:val="22"/>
                <w:szCs w:val="22"/>
              </w:rPr>
              <w:t xml:space="preserve">№</w:t>
            </w:r>
            <w:r>
              <w:rPr>
                <w:b/>
                <w:sz w:val="22"/>
                <w:szCs w:val="22"/>
              </w:rPr>
            </w:r>
            <w:r>
              <w:rPr>
                <w:b/>
                <w:sz w:val="22"/>
                <w:szCs w:val="22"/>
              </w:rPr>
            </w:r>
          </w:p>
          <w:p>
            <w:pPr>
              <w:pStyle w:val="1163"/>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63"/>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3"/>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3"/>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63"/>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63"/>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63"/>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63"/>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63"/>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63"/>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63"/>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63"/>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63"/>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3"/>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63"/>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63"/>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63"/>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63"/>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63"/>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3"/>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6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63"/>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63"/>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3"/>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3"/>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6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63"/>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sz w:val="20"/>
                <w:szCs w:val="20"/>
              </w:rPr>
              <w:t xml:space="preserve">0,15% от суммы,</w:t>
            </w:r>
            <w:r>
              <w:rPr>
                <w:sz w:val="20"/>
                <w:szCs w:val="20"/>
              </w:rPr>
            </w:r>
            <w:r>
              <w:rPr>
                <w:sz w:val="20"/>
                <w:szCs w:val="20"/>
              </w:rPr>
            </w:r>
          </w:p>
          <w:p>
            <w:pPr>
              <w:pStyle w:val="116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sz w:val="20"/>
                <w:szCs w:val="20"/>
              </w:rPr>
              <w:t xml:space="preserve">0,15% от суммы,</w:t>
            </w:r>
            <w:r>
              <w:rPr>
                <w:sz w:val="20"/>
                <w:szCs w:val="20"/>
              </w:rPr>
            </w:r>
            <w:r>
              <w:rPr>
                <w:sz w:val="20"/>
                <w:szCs w:val="20"/>
              </w:rPr>
            </w:r>
          </w:p>
          <w:p>
            <w:pPr>
              <w:pStyle w:val="116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63"/>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63"/>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63"/>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63"/>
              <w:rPr>
                <w:sz w:val="20"/>
                <w:szCs w:val="20"/>
              </w:rPr>
            </w:pPr>
            <w:r>
              <w:rPr>
                <w:sz w:val="20"/>
                <w:szCs w:val="20"/>
              </w:rPr>
            </w:r>
            <w:r>
              <w:rPr>
                <w:sz w:val="20"/>
                <w:szCs w:val="20"/>
              </w:rPr>
            </w:r>
            <w:r>
              <w:rPr>
                <w:sz w:val="20"/>
                <w:szCs w:val="20"/>
              </w:rPr>
            </w:r>
          </w:p>
        </w:tc>
      </w:tr>
    </w:tbl>
    <w:p>
      <w:pPr>
        <w:pStyle w:val="1163"/>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63"/>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3"/>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63"/>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63"/>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63"/>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63"/>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63"/>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63"/>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63"/>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63"/>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63"/>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67"/>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6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6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6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3"/>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3"/>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3"/>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63"/>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3"/>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3"/>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3"/>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3"/>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3"/>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63"/>
              <w:jc w:val="center"/>
              <w:spacing w:before="40"/>
              <w:rPr>
                <w:sz w:val="20"/>
                <w:szCs w:val="20"/>
              </w:rPr>
            </w:pPr>
            <w:r>
              <w:rPr>
                <w:sz w:val="20"/>
                <w:szCs w:val="20"/>
              </w:rPr>
              <w:t xml:space="preserve">6.2.2.</w:t>
            </w:r>
            <w:r>
              <w:rPr>
                <w:sz w:val="20"/>
                <w:szCs w:val="20"/>
              </w:rPr>
            </w:r>
            <w:r>
              <w:rPr>
                <w:sz w:val="20"/>
                <w:szCs w:val="20"/>
              </w:rPr>
            </w:r>
          </w:p>
          <w:p>
            <w:pPr>
              <w:pStyle w:val="116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p>
            <w:pPr>
              <w:pStyle w:val="116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3"/>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3"/>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3"/>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3"/>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3"/>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63"/>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63"/>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6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3"/>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6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3"/>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63"/>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63"/>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63"/>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63"/>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63"/>
      </w:pPr>
      <w:r/>
      <w:r/>
    </w:p>
    <w:p>
      <w:pPr>
        <w:pStyle w:val="1167"/>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6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6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6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6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63"/>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63"/>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63"/>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63"/>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63"/>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63"/>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63"/>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63"/>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63"/>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63"/>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3"/>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63"/>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63"/>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63"/>
              <w:jc w:val="both"/>
              <w:spacing w:before="40"/>
              <w:rPr>
                <w:sz w:val="20"/>
                <w:szCs w:val="20"/>
              </w:rPr>
            </w:pPr>
            <w:r>
              <w:rPr>
                <w:sz w:val="20"/>
                <w:szCs w:val="20"/>
              </w:rPr>
            </w:r>
            <w:r>
              <w:rPr>
                <w:sz w:val="20"/>
                <w:szCs w:val="20"/>
              </w:rPr>
            </w:r>
            <w:r>
              <w:rPr>
                <w:sz w:val="20"/>
                <w:szCs w:val="20"/>
              </w:rPr>
            </w:r>
          </w:p>
          <w:p>
            <w:pPr>
              <w:pStyle w:val="1163"/>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63"/>
              <w:jc w:val="center"/>
              <w:rPr>
                <w:sz w:val="20"/>
                <w:szCs w:val="20"/>
              </w:rPr>
            </w:pPr>
            <w:r>
              <w:rPr>
                <w:sz w:val="20"/>
                <w:szCs w:val="20"/>
              </w:rPr>
              <w:t xml:space="preserve">5 000 руб. в месяц</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900 руб. в месяц</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900 руб. в месяц</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t xml:space="preserve">Не взимается</w:t>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p>
            <w:pPr>
              <w:pStyle w:val="116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63"/>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63"/>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63"/>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63"/>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63"/>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63"/>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63"/>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63"/>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63"/>
              <w:jc w:val="both"/>
              <w:spacing w:before="40"/>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63"/>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63"/>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63"/>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63"/>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63"/>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63"/>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63"/>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63"/>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63"/>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63"/>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3"/>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3"/>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3"/>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63"/>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r>
            <w:r>
              <w:rPr>
                <w:bCs/>
                <w:sz w:val="20"/>
                <w:szCs w:val="20"/>
              </w:rPr>
            </w:r>
            <w:r>
              <w:rPr>
                <w:bCs/>
                <w:sz w:val="20"/>
                <w:szCs w:val="20"/>
              </w:rPr>
            </w:r>
          </w:p>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63"/>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3"/>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63"/>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63"/>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63"/>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63"/>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63"/>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3"/>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3"/>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3"/>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3"/>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63"/>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63"/>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63"/>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63"/>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63"/>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3"/>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3"/>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63"/>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6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r>
            <w:r>
              <w:rPr>
                <w:bCs/>
                <w:sz w:val="20"/>
                <w:szCs w:val="20"/>
              </w:rPr>
            </w:r>
            <w:r>
              <w:rPr>
                <w:bCs/>
                <w:sz w:val="20"/>
                <w:szCs w:val="20"/>
              </w:rPr>
            </w:r>
          </w:p>
          <w:p>
            <w:pPr>
              <w:pStyle w:val="116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3"/>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63"/>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63"/>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63"/>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3"/>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3"/>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6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63"/>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3"/>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3"/>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6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63"/>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63"/>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63"/>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63"/>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63"/>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63"/>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63"/>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63"/>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6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63"/>
            </w:pPr>
            <w:r>
              <w:t xml:space="preserve">Сервис «SMS информирование»</w:t>
            </w:r>
            <w:r/>
          </w:p>
          <w:p>
            <w:pPr>
              <w:pStyle w:val="116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63"/>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63"/>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63"/>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63"/>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63"/>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63"/>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63"/>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63"/>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63"/>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63"/>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63"/>
        <w:jc w:val="both"/>
        <w:rPr>
          <w:bCs/>
          <w:iCs/>
          <w:sz w:val="20"/>
          <w:szCs w:val="20"/>
        </w:rPr>
      </w:pPr>
      <w:r>
        <w:rPr>
          <w:bCs/>
          <w:iCs/>
          <w:sz w:val="20"/>
          <w:szCs w:val="20"/>
        </w:rPr>
      </w:r>
      <w:r>
        <w:rPr>
          <w:bCs/>
          <w:iCs/>
          <w:sz w:val="20"/>
          <w:szCs w:val="20"/>
        </w:rPr>
      </w:r>
      <w:r>
        <w:rPr>
          <w:bCs/>
          <w:iCs/>
          <w:sz w:val="20"/>
          <w:szCs w:val="20"/>
        </w:rPr>
      </w:r>
    </w:p>
    <w:p>
      <w:pPr>
        <w:pStyle w:val="1163"/>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63"/>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63"/>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63"/>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63"/>
        <w:ind w:right="21"/>
        <w:jc w:val="both"/>
        <w:spacing w:before="40"/>
        <w:tabs>
          <w:tab w:val="left" w:pos="284" w:leader="none"/>
          <w:tab w:val="left" w:pos="1134" w:leader="none"/>
        </w:tabs>
        <w:rPr>
          <w:i/>
          <w:iCs/>
          <w:sz w:val="20"/>
          <w:szCs w:val="20"/>
          <w:highlight w:val="none"/>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rFonts w:eastAsia="Calibri"/>
          <w:color w:val="000000"/>
          <w:sz w:val="22"/>
          <w:szCs w:val="22"/>
          <w:highlight w:val="none"/>
          <w:lang w:eastAsia="en-US"/>
        </w:rPr>
        <w:t xml:space="preserve">5. </w:t>
      </w:r>
      <w:r>
        <w:rPr>
          <w:rFonts w:eastAsia="Calibri"/>
          <w:i/>
          <w:iCs/>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2"/>
          <w:szCs w:val="22"/>
          <w:highlight w:val="none"/>
        </w:rPr>
        <w:t xml:space="preserve"> Условиями </w:t>
      </w:r>
      <w:r>
        <w:rPr>
          <w:b w:val="0"/>
          <w:bCs w:val="0"/>
          <w:i/>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2"/>
          <w:szCs w:val="22"/>
          <w:highlight w:val="none"/>
        </w:rPr>
        <w:t xml:space="preserve">в рамках Единого сервисного договора</w:t>
      </w:r>
      <w:r>
        <w:rPr>
          <w:b w:val="0"/>
          <w:bCs w:val="0"/>
          <w:i/>
          <w:iCs/>
          <w:sz w:val="22"/>
          <w:szCs w:val="22"/>
          <w:highlight w:val="none"/>
        </w:rPr>
        <w:t xml:space="preserve"> (Приложение 2.2 к </w:t>
      </w:r>
      <w:r>
        <w:rPr>
          <w:b w:val="0"/>
          <w:bCs w:val="0"/>
          <w:i/>
          <w:iCs/>
          <w:color w:val="000000"/>
          <w:sz w:val="22"/>
          <w:szCs w:val="22"/>
          <w:highlight w:val="none"/>
        </w:rPr>
        <w:t xml:space="preserve">к Единому сер</w:t>
      </w:r>
      <w:r>
        <w:rPr>
          <w:b w:val="0"/>
          <w:bCs w:val="0"/>
          <w:i/>
          <w:iCs/>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2"/>
          <w:szCs w:val="22"/>
          <w:highlight w:val="none"/>
        </w:rPr>
        <w:t xml:space="preserve">ации частной практикой, в АО «Россельхозбанк»</w:t>
      </w:r>
      <w:r>
        <w:rPr>
          <w:b w:val="0"/>
          <w:bCs w:val="0"/>
          <w:i/>
          <w:iCs/>
          <w:sz w:val="22"/>
          <w:szCs w:val="22"/>
          <w:highlight w:val="none"/>
        </w:rPr>
        <w:t xml:space="preserve">).</w:t>
      </w:r>
      <w:r>
        <w:rPr>
          <w:rFonts w:ascii="Times New Roman" w:hAnsi="Times New Roman" w:eastAsia="Times New Roman"/>
          <w:bCs/>
          <w:i/>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20"/>
          <w:szCs w:val="20"/>
        </w:rPr>
      </w:r>
      <w:r>
        <w:rPr>
          <w:bCs/>
          <w:i/>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63"/>
        <w:ind w:right="21"/>
        <w:jc w:val="both"/>
        <w:spacing w:before="40"/>
        <w:tabs>
          <w:tab w:val="left" w:pos="284" w:leader="none"/>
          <w:tab w:val="left" w:pos="1134" w:leader="none"/>
        </w:tabs>
        <w:rPr>
          <w:i/>
          <w:iCs/>
          <w:sz w:val="20"/>
          <w:szCs w:val="20"/>
          <w:highlight w:val="none"/>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bCs/>
          <w:i/>
          <w:sz w:val="20"/>
          <w:szCs w:val="20"/>
        </w:rPr>
      </w:r>
      <w:r>
        <w:rPr>
          <w:bCs/>
          <w:i/>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rFonts w:eastAsia="Calibri"/>
          <w:color w:val="000000"/>
          <w:sz w:val="20"/>
          <w:szCs w:val="20"/>
          <w:highlight w:val="none"/>
          <w:lang w:eastAsia="en-US"/>
        </w:rPr>
        <w:t xml:space="preserve">** </w:t>
      </w:r>
      <w:r>
        <w:rPr>
          <w:rFonts w:ascii="Times New Roman" w:hAnsi="Times New Roman" w:eastAsia="Times New Roman"/>
          <w:bCs/>
          <w:i/>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20"/>
          <w:szCs w:val="20"/>
          <w:highlight w:val="none"/>
          <w:lang w:eastAsia="ru-RU"/>
        </w:rPr>
        <w:t xml:space="preserve">, осуществляющим контроль</w:t>
      </w:r>
      <w:r>
        <w:rPr>
          <w:rFonts w:ascii="Times New Roman" w:hAnsi="Times New Roman" w:eastAsia="Times New Roman"/>
          <w:bCs/>
          <w:i/>
          <w:iCs/>
          <w:sz w:val="20"/>
          <w:szCs w:val="20"/>
          <w:highlight w:val="none"/>
          <w:lang w:eastAsia="ru-RU"/>
        </w:rPr>
        <w:t xml:space="preserve"> </w:t>
      </w:r>
      <w:r>
        <w:rPr>
          <w:rFonts w:ascii="Times New Roman" w:hAnsi="Times New Roman" w:eastAsia="Times New Roman"/>
          <w:bCs/>
          <w:i/>
          <w:iCs/>
          <w:sz w:val="20"/>
          <w:szCs w:val="20"/>
          <w:highlight w:val="none"/>
          <w:lang w:eastAsia="ru-RU"/>
        </w:rPr>
        <w:t xml:space="preserve">за платежами </w:t>
      </w:r>
      <w:r>
        <w:rPr>
          <w:rFonts w:ascii="Times New Roman" w:hAnsi="Times New Roman" w:eastAsia="Times New Roman"/>
          <w:bCs/>
          <w:i/>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
          <w:iCs/>
          <w:sz w:val="20"/>
          <w:szCs w:val="20"/>
          <w:highlight w:val="none"/>
          <w:lang w:eastAsia="ru-RU"/>
        </w:rPr>
        <w:t xml:space="preserve">«Об инвестиционных фондах»</w:t>
      </w:r>
      <w:r>
        <w:rPr>
          <w:rFonts w:eastAsia="Calibri"/>
          <w:i/>
          <w:iCs/>
          <w:color w:val="000000"/>
          <w:sz w:val="20"/>
          <w:szCs w:val="20"/>
          <w:highlight w:val="none"/>
          <w:lang w:eastAsia="en-US"/>
        </w:rPr>
        <w:t xml:space="preserve"> или </w:t>
      </w:r>
      <w:r>
        <w:rPr>
          <w:rFonts w:eastAsia="Calibri"/>
          <w:i/>
          <w:iCs/>
          <w:color w:val="000000"/>
          <w:sz w:val="20"/>
          <w:szCs w:val="20"/>
          <w:lang w:eastAsia="en-US"/>
        </w:rPr>
        <w:t xml:space="preserve">Федеральным законом </w:t>
      </w:r>
      <w:r>
        <w:rPr>
          <w:i/>
          <w:iCs/>
          <w:sz w:val="20"/>
          <w:szCs w:val="20"/>
        </w:rPr>
        <w:t xml:space="preserve">от 07.05.1998 №</w:t>
      </w:r>
      <w:r>
        <w:rPr>
          <w:i/>
          <w:iCs/>
          <w:sz w:val="20"/>
          <w:szCs w:val="20"/>
        </w:rPr>
        <w:t xml:space="preserve"> </w:t>
      </w:r>
      <w:r>
        <w:rPr>
          <w:i/>
          <w:iCs/>
          <w:sz w:val="20"/>
          <w:szCs w:val="20"/>
        </w:rPr>
        <w:t xml:space="preserve">75-ФЗ «О негосударственных пенсионных фондах»,</w:t>
      </w:r>
      <w:r>
        <w:rPr>
          <w:rFonts w:eastAsia="Calibri"/>
          <w:i/>
          <w:iCs/>
          <w:color w:val="000000"/>
          <w:sz w:val="20"/>
          <w:szCs w:val="20"/>
          <w:highlight w:val="none"/>
          <w:lang w:eastAsia="en-US"/>
        </w:rPr>
        <w:t xml:space="preserve"> </w:t>
      </w:r>
      <w:r>
        <w:rPr>
          <w:rFonts w:eastAsia="Calibri"/>
          <w:i/>
          <w:iCs/>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20"/>
          <w:szCs w:val="20"/>
          <w:highlight w:val="none"/>
          <w:lang w:eastAsia="en-US"/>
        </w:rPr>
        <w:t xml:space="preserve">.</w:t>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6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63"/>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67"/>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6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63"/>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6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63"/>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6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63"/>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63"/>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63"/>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6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7"/>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63"/>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63"/>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63"/>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63"/>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63"/>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63"/>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63"/>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63"/>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63"/>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63"/>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63"/>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63"/>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p>
            <w:pPr>
              <w:pStyle w:val="1163"/>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3"/>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6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63"/>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63"/>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63"/>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63"/>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63"/>
        <w:rPr>
          <w:lang w:eastAsia="en-US"/>
        </w:rPr>
      </w:pPr>
      <w:r>
        <w:rPr>
          <w:lang w:eastAsia="en-US"/>
        </w:rPr>
      </w:r>
      <w:r>
        <w:rPr>
          <w:lang w:eastAsia="en-US"/>
        </w:rPr>
      </w:r>
      <w:r>
        <w:rPr>
          <w:lang w:eastAsia="en-US"/>
        </w:rPr>
      </w:r>
    </w:p>
    <w:p>
      <w:pPr>
        <w:pStyle w:val="1163"/>
        <w:rPr>
          <w:lang w:eastAsia="en-US"/>
        </w:rPr>
      </w:pPr>
      <w:r>
        <w:rPr>
          <w:lang w:eastAsia="en-US"/>
        </w:rPr>
      </w:r>
      <w:r>
        <w:rPr>
          <w:lang w:eastAsia="en-US"/>
        </w:rPr>
      </w:r>
      <w:r>
        <w:rPr>
          <w:lang w:eastAsia="en-US"/>
        </w:rPr>
      </w:r>
    </w:p>
    <w:p>
      <w:pPr>
        <w:pStyle w:val="1167"/>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63"/>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63"/>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3"/>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3"/>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63"/>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63"/>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63"/>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63"/>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63"/>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6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63"/>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63"/>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63"/>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63"/>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63"/>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63"/>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63"/>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63"/>
        <w:tabs>
          <w:tab w:val="left" w:pos="2985" w:leader="none"/>
        </w:tabs>
        <w:rPr>
          <w:sz w:val="20"/>
          <w:szCs w:val="20"/>
        </w:rPr>
      </w:pPr>
      <w:r>
        <w:rPr>
          <w:sz w:val="20"/>
          <w:szCs w:val="20"/>
        </w:rPr>
      </w:r>
      <w:r>
        <w:rPr>
          <w:sz w:val="20"/>
          <w:szCs w:val="20"/>
        </w:rPr>
      </w:r>
      <w:r>
        <w:rPr>
          <w:sz w:val="20"/>
          <w:szCs w:val="20"/>
        </w:rPr>
      </w:r>
    </w:p>
    <w:p>
      <w:pPr>
        <w:pStyle w:val="1167"/>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63"/>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63"/>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63"/>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63"/>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63"/>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6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63"/>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6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6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6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6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3"/>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63"/>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63"/>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63"/>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63"/>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6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63"/>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3"/>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63"/>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63"/>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30"/>
                <w:sz w:val="20"/>
                <w:szCs w:val="20"/>
              </w:rPr>
              <w:footnoteReference w:id="2"/>
            </w:r>
            <w:r>
              <w:rPr>
                <w:sz w:val="20"/>
                <w:szCs w:val="20"/>
              </w:rPr>
              <w:t xml:space="preserve"> со дня, следующего за: </w:t>
            </w:r>
            <w:r>
              <w:rPr>
                <w:sz w:val="20"/>
                <w:szCs w:val="20"/>
              </w:rPr>
            </w:r>
            <w:r>
              <w:rPr>
                <w:sz w:val="20"/>
                <w:szCs w:val="20"/>
              </w:rPr>
            </w:r>
          </w:p>
          <w:p>
            <w:pPr>
              <w:pStyle w:val="1163"/>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63"/>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63"/>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63"/>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63"/>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11"/>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63"/>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63"/>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30"/>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rPr>
                <w:sz w:val="20"/>
                <w:szCs w:val="20"/>
              </w:rPr>
            </w:pPr>
            <w:r>
              <w:rPr>
                <w:sz w:val="20"/>
                <w:szCs w:val="20"/>
              </w:rPr>
              <w:t xml:space="preserve">При изменении:</w:t>
            </w:r>
            <w:r>
              <w:rPr>
                <w:sz w:val="20"/>
                <w:szCs w:val="20"/>
              </w:rPr>
            </w:r>
            <w:r>
              <w:rPr>
                <w:sz w:val="20"/>
                <w:szCs w:val="20"/>
              </w:rPr>
            </w:r>
          </w:p>
          <w:p>
            <w:pPr>
              <w:pStyle w:val="1163"/>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3"/>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3"/>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63"/>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3"/>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3"/>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3"/>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3"/>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3"/>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3"/>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3"/>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3"/>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3"/>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3"/>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3"/>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3"/>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63"/>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3"/>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3"/>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3"/>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3"/>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3"/>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6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3"/>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63"/>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3"/>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p>
            <w:pPr>
              <w:pStyle w:val="1163"/>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63"/>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взимается</w:t>
            </w:r>
            <w:r>
              <w:rPr>
                <w:sz w:val="20"/>
                <w:szCs w:val="20"/>
              </w:rPr>
            </w:r>
            <w:r>
              <w:rPr>
                <w:sz w:val="20"/>
                <w:szCs w:val="20"/>
              </w:rPr>
            </w:r>
          </w:p>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3"/>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63"/>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jc w:val="center"/>
              <w:spacing w:before="40" w:after="40"/>
              <w:rPr>
                <w:sz w:val="20"/>
                <w:szCs w:val="20"/>
              </w:rPr>
            </w:pPr>
            <w:r>
              <w:rPr>
                <w:sz w:val="20"/>
                <w:szCs w:val="20"/>
              </w:rPr>
              <w:t xml:space="preserve">0,2% от суммы, </w:t>
            </w:r>
            <w:r>
              <w:rPr>
                <w:sz w:val="20"/>
                <w:szCs w:val="20"/>
              </w:rPr>
            </w:r>
            <w:r>
              <w:rPr>
                <w:sz w:val="20"/>
                <w:szCs w:val="20"/>
              </w:rPr>
            </w:r>
          </w:p>
          <w:p>
            <w:pPr>
              <w:pStyle w:val="1163"/>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63"/>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63"/>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63"/>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63"/>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63"/>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63"/>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63"/>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63"/>
              <w:jc w:val="both"/>
              <w:spacing w:before="40"/>
              <w:rPr>
                <w:sz w:val="20"/>
                <w:szCs w:val="20"/>
              </w:rPr>
            </w:pPr>
            <w:r>
              <w:rPr>
                <w:sz w:val="20"/>
                <w:szCs w:val="20"/>
              </w:rPr>
            </w:r>
            <w:r>
              <w:rPr>
                <w:sz w:val="20"/>
                <w:szCs w:val="20"/>
              </w:rPr>
            </w:r>
            <w:r>
              <w:rPr>
                <w:sz w:val="20"/>
                <w:szCs w:val="20"/>
              </w:rPr>
            </w:r>
          </w:p>
        </w:tc>
      </w:tr>
    </w:tbl>
    <w:p>
      <w:pPr>
        <w:pStyle w:val="1163"/>
        <w:ind w:left="284"/>
        <w:jc w:val="both"/>
        <w:rPr>
          <w:bCs/>
          <w:sz w:val="20"/>
          <w:szCs w:val="20"/>
        </w:rPr>
      </w:pPr>
      <w:r>
        <w:rPr>
          <w:bCs/>
          <w:sz w:val="20"/>
          <w:szCs w:val="20"/>
        </w:rPr>
      </w:r>
      <w:r>
        <w:rPr>
          <w:bCs/>
          <w:sz w:val="20"/>
          <w:szCs w:val="20"/>
        </w:rPr>
      </w:r>
      <w:r>
        <w:rPr>
          <w:bCs/>
          <w:sz w:val="20"/>
          <w:szCs w:val="20"/>
        </w:rPr>
      </w:r>
    </w:p>
    <w:p>
      <w:pPr>
        <w:pStyle w:val="116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63"/>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6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6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63"/>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63"/>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6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63"/>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6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6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63"/>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6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63"/>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63"/>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63"/>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63"/>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6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63"/>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63"/>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63"/>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63"/>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63"/>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63"/>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3"/>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63"/>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63"/>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63"/>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63"/>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63"/>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63"/>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63"/>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3"/>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63"/>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63"/>
        <w:ind w:firstLine="540"/>
        <w:jc w:val="both"/>
        <w:spacing w:before="40"/>
        <w:rPr>
          <w:b/>
          <w:bCs/>
          <w:sz w:val="2"/>
          <w:szCs w:val="2"/>
        </w:rPr>
      </w:pPr>
      <w:r>
        <w:rPr>
          <w:b/>
          <w:bCs/>
          <w:sz w:val="2"/>
          <w:szCs w:val="2"/>
        </w:rPr>
      </w:r>
      <w:r>
        <w:rPr>
          <w:b/>
          <w:bCs/>
          <w:sz w:val="2"/>
          <w:szCs w:val="2"/>
        </w:rPr>
      </w:r>
      <w:r>
        <w:rPr>
          <w:b/>
          <w:bCs/>
          <w:sz w:val="2"/>
          <w:szCs w:val="2"/>
        </w:rPr>
      </w:r>
    </w:p>
    <w:p>
      <w:pPr>
        <w:pStyle w:val="1163"/>
        <w:jc w:val="both"/>
        <w:rPr>
          <w:bCs/>
          <w:iCs/>
        </w:rPr>
      </w:pPr>
      <w:r>
        <w:rPr>
          <w:bCs/>
          <w:iCs/>
        </w:rPr>
      </w:r>
      <w:r>
        <w:rPr>
          <w:bCs/>
          <w:iCs/>
        </w:rPr>
      </w:r>
      <w:r>
        <w:rPr>
          <w:bCs/>
          <w:iCs/>
        </w:rPr>
      </w:r>
    </w:p>
    <w:p>
      <w:pPr>
        <w:pStyle w:val="1167"/>
        <w:contextualSpacing w:val="0"/>
        <w:ind w:left="1070"/>
        <w:jc w:val="left"/>
        <w:suppressLineNumbers w:val="0"/>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rPr>
          <w:vertAlign w:val="superscript"/>
        </w:rP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63"/>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8"/>
        </w:trPr>
        <w:tc>
          <w:tcPr>
            <w:tcW w:w="1130" w:type="dxa"/>
            <w:vAlign w:val="top"/>
            <w:textDirection w:val="lrTb"/>
            <w:noWrap w:val="false"/>
          </w:tcPr>
          <w:p>
            <w:pPr>
              <w:pStyle w:val="1163"/>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63"/>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Согласно </w:t>
            </w:r>
            <w:r>
              <w:rPr>
                <w:sz w:val="20"/>
                <w:szCs w:val="20"/>
              </w:rPr>
            </w:r>
            <w:r>
              <w:rPr>
                <w:sz w:val="20"/>
                <w:szCs w:val="20"/>
              </w:rPr>
            </w:r>
          </w:p>
          <w:p>
            <w:pPr>
              <w:pStyle w:val="1163"/>
              <w:jc w:val="center"/>
              <w:rPr>
                <w:sz w:val="20"/>
                <w:szCs w:val="20"/>
              </w:rPr>
            </w:pPr>
            <w:r>
              <w:rPr>
                <w:sz w:val="20"/>
                <w:szCs w:val="20"/>
              </w:rPr>
              <w:t xml:space="preserve">Приложению 1</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63"/>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jc w:val="center"/>
              <w:rPr>
                <w:color w:val="auto"/>
                <w:sz w:val="20"/>
                <w:szCs w:val="20"/>
              </w:rPr>
            </w:pPr>
            <w:r>
              <w:rPr>
                <w:color w:val="auto"/>
                <w:sz w:val="20"/>
                <w:szCs w:val="20"/>
              </w:rPr>
              <w:t xml:space="preserve">13.3.</w:t>
            </w:r>
            <w:r>
              <w:rPr>
                <w:color w:val="auto"/>
                <w:sz w:val="20"/>
                <w:szCs w:val="20"/>
              </w:rPr>
            </w:r>
            <w:r>
              <w:rPr>
                <w:color w:val="auto"/>
                <w:sz w:val="20"/>
                <w:szCs w:val="20"/>
              </w:rPr>
            </w:r>
          </w:p>
        </w:tc>
        <w:tc>
          <w:tcPr>
            <w:tcW w:w="3870" w:type="dxa"/>
            <w:vAlign w:val="center"/>
            <w:textDirection w:val="lrTb"/>
            <w:noWrap w:val="false"/>
          </w:tcPr>
          <w:p>
            <w:pPr>
              <w:pStyle w:val="1163"/>
              <w:ind w:left="72"/>
              <w:jc w:val="both"/>
              <w:spacing w:before="40" w:after="40" w:line="240" w:lineRule="auto"/>
              <w:rPr>
                <w:rFonts w:ascii="Times New Roman" w:hAnsi="Times New Roman" w:eastAsia="Times New Roman"/>
                <w:bCs/>
                <w:color w:val="auto"/>
                <w:highlight w:val="white"/>
              </w:rPr>
            </w:pPr>
            <w:r>
              <w:rPr>
                <w:rFonts w:ascii="Times New Roman" w:hAnsi="Times New Roman"/>
                <w:color w:val="auto"/>
                <w:sz w:val="20"/>
                <w:szCs w:val="20"/>
                <w:highlight w:val="white"/>
                <w:lang w:val="en-US"/>
              </w:rPr>
            </w:r>
            <w:r>
              <w:rPr>
                <w:rFonts w:ascii="Times New Roman" w:hAnsi="Times New Roman" w:eastAsia="Times New Roman"/>
                <w:bCs/>
                <w:color w:val="auto"/>
                <w:sz w:val="20"/>
                <w:szCs w:val="20"/>
                <w:highlight w:val="white"/>
                <w:lang w:eastAsia="ru-RU"/>
              </w:rPr>
              <w:t xml:space="preserve">Комиссия за совершение операции в сети Интернет </w:t>
            </w:r>
            <w:r>
              <w:rPr>
                <w:rFonts w:ascii="Times New Roman" w:hAnsi="Times New Roman" w:eastAsia="Times New Roman"/>
                <w:color w:val="auto"/>
                <w:sz w:val="20"/>
                <w:szCs w:val="20"/>
                <w:highlight w:val="white"/>
                <w:lang w:eastAsia="ru-RU"/>
              </w:rPr>
              <w:t xml:space="preserve">с использованием карты JCB International, UnionPay Int</w:t>
            </w:r>
            <w:r>
              <w:rPr>
                <w:rFonts w:ascii="Times New Roman" w:hAnsi="Times New Roman" w:eastAsia="Times New Roman"/>
                <w:color w:val="auto"/>
                <w:sz w:val="20"/>
                <w:szCs w:val="20"/>
                <w:highlight w:val="white"/>
                <w:lang w:eastAsia="ru-RU"/>
              </w:rPr>
              <w:t xml:space="preserve">e</w:t>
            </w:r>
            <w:r>
              <w:rPr>
                <w:rFonts w:ascii="Times New Roman" w:hAnsi="Times New Roman" w:eastAsia="Times New Roman"/>
                <w:color w:val="auto"/>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48"/>
                <w:rFonts w:ascii="Times New Roman" w:hAnsi="Times New Roman" w:eastAsia="Times New Roman"/>
                <w:color w:val="auto"/>
                <w:sz w:val="20"/>
                <w:szCs w:val="20"/>
                <w:highlight w:val="white"/>
                <w:lang w:eastAsia="ru-RU"/>
              </w:rPr>
              <w:footnoteReference w:id="7"/>
            </w:r>
            <w:r>
              <w:rPr>
                <w:rFonts w:ascii="Times New Roman" w:hAnsi="Times New Roman" w:eastAsia="Times New Roman"/>
                <w:bCs/>
                <w:color w:val="auto"/>
                <w:highlight w:val="white"/>
              </w:rPr>
            </w:r>
            <w:r>
              <w:rPr>
                <w:rFonts w:ascii="Times New Roman" w:hAnsi="Times New Roman" w:eastAsia="Times New Roman"/>
                <w:bCs/>
                <w:color w:val="auto"/>
                <w:highlight w:val="white"/>
              </w:rPr>
            </w:r>
          </w:p>
          <w:p>
            <w:pPr>
              <w:pStyle w:val="1163"/>
              <w:jc w:val="center"/>
              <w:rPr>
                <w:color w:val="auto"/>
                <w:sz w:val="20"/>
                <w:szCs w:val="20"/>
              </w:rPr>
            </w:pPr>
            <w:r>
              <w:rPr>
                <w:color w:val="auto"/>
                <w:sz w:val="20"/>
                <w:szCs w:val="20"/>
              </w:rPr>
            </w:r>
            <w:r>
              <w:rPr>
                <w:color w:val="auto"/>
                <w:sz w:val="20"/>
                <w:szCs w:val="20"/>
              </w:rPr>
            </w:r>
            <w:r>
              <w:rPr>
                <w:color w:val="auto"/>
                <w:sz w:val="20"/>
                <w:szCs w:val="20"/>
              </w:rPr>
            </w:r>
          </w:p>
        </w:tc>
        <w:tc>
          <w:tcPr>
            <w:tcW w:w="2088" w:type="dxa"/>
            <w:vAlign w:val="top"/>
            <w:textDirection w:val="lrTb"/>
            <w:noWrap w:val="false"/>
          </w:tcPr>
          <w:p>
            <w:pPr>
              <w:pStyle w:val="1163"/>
              <w:jc w:val="both"/>
              <w:spacing w:before="40" w:after="40" w:line="240" w:lineRule="auto"/>
              <w:rPr>
                <w:rFonts w:ascii="Times New Roman" w:hAnsi="Times New Roman" w:eastAsia="Times New Roman"/>
                <w:bCs/>
                <w:color w:val="auto"/>
                <w:highlight w:val="white"/>
              </w:rPr>
            </w:pPr>
            <w:r>
              <w:rPr>
                <w:rFonts w:ascii="Times New Roman" w:hAnsi="Times New Roman" w:eastAsia="Times New Roman"/>
                <w:bCs/>
                <w:color w:val="auto"/>
                <w:sz w:val="20"/>
                <w:szCs w:val="20"/>
                <w:highlight w:val="white"/>
                <w:lang w:eastAsia="ru-RU"/>
              </w:rPr>
            </w:r>
            <w:r>
              <w:rPr>
                <w:rFonts w:ascii="Times New Roman" w:hAnsi="Times New Roman"/>
                <w:color w:val="auto"/>
                <w:sz w:val="20"/>
                <w:szCs w:val="20"/>
                <w:highlight w:val="white"/>
              </w:rPr>
              <w:t xml:space="preserve">Согласно </w:t>
            </w:r>
            <w:r>
              <w:rPr>
                <w:rFonts w:ascii="Times New Roman" w:hAnsi="Times New Roman"/>
                <w:color w:val="auto"/>
                <w:sz w:val="20"/>
                <w:szCs w:val="20"/>
                <w:highlight w:val="white"/>
              </w:rPr>
              <w:t xml:space="preserve">Приложению 2</w:t>
            </w:r>
            <w:r>
              <w:rPr>
                <w:rFonts w:ascii="Times New Roman" w:hAnsi="Times New Roman"/>
                <w:color w:val="auto"/>
                <w:sz w:val="20"/>
                <w:szCs w:val="20"/>
                <w:highlight w:val="white"/>
              </w:rPr>
              <w:t xml:space="preserve"> к Тарифам</w:t>
            </w:r>
            <w:r>
              <w:rPr>
                <w:rFonts w:ascii="Times New Roman" w:hAnsi="Times New Roman" w:eastAsia="Times New Roman"/>
                <w:bCs/>
                <w:color w:val="auto"/>
                <w:highlight w:val="white"/>
              </w:rPr>
            </w:r>
            <w:r>
              <w:rPr>
                <w:rFonts w:ascii="Times New Roman" w:hAnsi="Times New Roman" w:eastAsia="Times New Roman"/>
                <w:bCs/>
                <w:color w:val="auto"/>
                <w:highlight w:val="white"/>
              </w:rPr>
            </w:r>
          </w:p>
          <w:p>
            <w:pPr>
              <w:pStyle w:val="1163"/>
              <w:jc w:val="center"/>
              <w:rPr>
                <w:color w:val="auto"/>
                <w:sz w:val="20"/>
                <w:szCs w:val="20"/>
              </w:rPr>
            </w:pPr>
            <w:r>
              <w:rPr>
                <w:color w:val="auto"/>
                <w:sz w:val="20"/>
                <w:szCs w:val="20"/>
              </w:rPr>
            </w:r>
            <w:r>
              <w:rPr>
                <w:color w:val="auto"/>
                <w:sz w:val="20"/>
                <w:szCs w:val="20"/>
              </w:rPr>
            </w:r>
            <w:r>
              <w:rPr>
                <w:color w:val="auto"/>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spacing w:before="40" w:beforeAutospacing="0" w:after="40" w:afterAutospacing="0" w:line="240" w:lineRule="auto"/>
              <w:rPr>
                <w:sz w:val="20"/>
                <w:szCs w:val="20"/>
                <w:highlight w:val="white"/>
              </w:rPr>
            </w:pP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Style w:val="1148"/>
                <w:rFonts w:ascii="Times New Roman" w:hAnsi="Times New Roman" w:eastAsia="Times New Roman"/>
                <w:bCs/>
                <w:sz w:val="20"/>
                <w:szCs w:val="20"/>
                <w:lang w:eastAsia="ru-RU"/>
              </w:rPr>
              <w:footnoteReference w:id="8"/>
            </w:r>
            <w:r>
              <w:rPr>
                <w:sz w:val="20"/>
                <w:szCs w:val="20"/>
                <w:highlight w:val="white"/>
              </w:rPr>
            </w:r>
            <w:r>
              <w:rPr>
                <w:sz w:val="20"/>
                <w:szCs w:val="20"/>
                <w:highlight w:val="white"/>
              </w:rPr>
            </w:r>
          </w:p>
        </w:tc>
        <w:tc>
          <w:tcPr>
            <w:tcW w:w="2088" w:type="dxa"/>
            <w:vAlign w:val="top"/>
            <w:textDirection w:val="lrTb"/>
            <w:noWrap w:val="false"/>
          </w:tcPr>
          <w:p>
            <w:pPr>
              <w:pStyle w:val="1163"/>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sz w:val="20"/>
                <w:szCs w:val="20"/>
                <w:highlight w:val="white"/>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63"/>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63"/>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63"/>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63"/>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63"/>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63"/>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63"/>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63"/>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63"/>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63"/>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63"/>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63"/>
              <w:rPr>
                <w:sz w:val="20"/>
                <w:szCs w:val="20"/>
              </w:rPr>
            </w:pPr>
            <w:r>
              <w:rPr>
                <w:sz w:val="20"/>
                <w:szCs w:val="20"/>
              </w:rPr>
            </w:r>
            <w:r>
              <w:rPr>
                <w:sz w:val="20"/>
                <w:szCs w:val="20"/>
              </w:rPr>
            </w:r>
            <w:r>
              <w:rPr>
                <w:sz w:val="20"/>
                <w:szCs w:val="20"/>
              </w:rPr>
            </w:r>
          </w:p>
        </w:tc>
      </w:tr>
    </w:tbl>
    <w:p>
      <w:pPr>
        <w:pStyle w:val="1163"/>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63"/>
      </w:pPr>
      <w:r/>
      <w:r/>
    </w:p>
    <w:p>
      <w:pPr>
        <w:pStyle w:val="1167"/>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63"/>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6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6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2 000 руб., </w:t>
            </w:r>
            <w:r>
              <w:rPr>
                <w:sz w:val="20"/>
                <w:szCs w:val="20"/>
              </w:rPr>
            </w:r>
            <w:r>
              <w:rPr>
                <w:sz w:val="20"/>
                <w:szCs w:val="20"/>
              </w:rPr>
            </w:r>
          </w:p>
          <w:p>
            <w:pPr>
              <w:pStyle w:val="1163"/>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63"/>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3"/>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63"/>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3"/>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6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3"/>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209"/>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209"/>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3"/>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209"/>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w:t>
            </w:r>
            <w:r>
              <w:rPr>
                <w:rStyle w:val="1148"/>
                <w:rFonts w:eastAsia="Times New Roman"/>
                <w:color w:val="000000"/>
                <w:sz w:val="20"/>
                <w:szCs w:val="20"/>
              </w:rPr>
              <w:footnoteReference w:id="9"/>
            </w:r>
            <w:r>
              <w:rPr>
                <w:rFonts w:eastAsia="Times New Roman"/>
                <w:color w:val="000000"/>
                <w:sz w:val="20"/>
                <w:szCs w:val="20"/>
              </w:rPr>
              <w:t xml:space="preserve">, принятых </w:t>
              <w:br/>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10"/>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209"/>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63"/>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63"/>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63"/>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3"/>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3"/>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63"/>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63"/>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63"/>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63"/>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63"/>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63"/>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63"/>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6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6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6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209"/>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209"/>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209"/>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209"/>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63"/>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63"/>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63"/>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63"/>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63"/>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63"/>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63"/>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500 руб.</w:t>
            </w:r>
            <w:r>
              <w:rPr>
                <w:sz w:val="20"/>
                <w:szCs w:val="20"/>
              </w:rPr>
            </w:r>
            <w:r>
              <w:rPr>
                <w:sz w:val="20"/>
                <w:szCs w:val="20"/>
              </w:rPr>
            </w:r>
          </w:p>
          <w:p>
            <w:pPr>
              <w:pStyle w:val="116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1 000 руб.</w:t>
            </w:r>
            <w:r>
              <w:rPr>
                <w:sz w:val="20"/>
                <w:szCs w:val="20"/>
              </w:rPr>
            </w:r>
            <w:r>
              <w:rPr>
                <w:sz w:val="20"/>
                <w:szCs w:val="20"/>
              </w:rPr>
            </w:r>
          </w:p>
          <w:p>
            <w:pPr>
              <w:pStyle w:val="116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63"/>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209"/>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209"/>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63"/>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209"/>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63"/>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63"/>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63"/>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63"/>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63"/>
              <w:jc w:val="both"/>
              <w:spacing w:before="40" w:after="40"/>
              <w:rPr>
                <w:sz w:val="20"/>
                <w:szCs w:val="20"/>
              </w:rPr>
            </w:pPr>
            <w:r>
              <w:rPr>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6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1163"/>
              <w:ind w:left="-2" w:right="-18"/>
              <w:jc w:val="both"/>
              <w:spacing w:before="40" w:after="40"/>
              <w:tabs>
                <w:tab w:val="left" w:pos="4464" w:leader="none"/>
                <w:tab w:val="left" w:pos="5760" w:leader="none"/>
              </w:tabs>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6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63"/>
              <w:jc w:val="both"/>
              <w:spacing w:before="40" w:after="40"/>
              <w:rPr>
                <w:sz w:val="20"/>
                <w:szCs w:val="20"/>
              </w:rPr>
            </w:pPr>
            <w:r>
              <w:rPr>
                <w:sz w:val="20"/>
                <w:szCs w:val="20"/>
              </w:rPr>
            </w: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6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63"/>
              <w:jc w:val="both"/>
              <w:spacing w:before="40" w:after="40"/>
              <w:rPr>
                <w:sz w:val="20"/>
                <w:szCs w:val="20"/>
              </w:rPr>
            </w:pPr>
            <w:r>
              <w:rPr>
                <w:sz w:val="20"/>
                <w:szCs w:val="20"/>
              </w:rPr>
            </w: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63"/>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63"/>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63"/>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6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63"/>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003"/>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1003"/>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p>
            <w:pPr>
              <w:pStyle w:val="1163"/>
              <w:jc w:val="both"/>
              <w:spacing w:before="40" w:after="40"/>
              <w:rPr>
                <w:sz w:val="20"/>
                <w:szCs w:val="20"/>
              </w:rPr>
            </w:pPr>
            <w:r>
              <w:rPr>
                <w:sz w:val="20"/>
                <w:szCs w:val="20"/>
              </w:rPr>
            </w:r>
            <w:r>
              <w:rPr>
                <w:sz w:val="20"/>
                <w:szCs w:val="20"/>
              </w:rPr>
            </w:r>
            <w:r>
              <w:rPr>
                <w:sz w:val="20"/>
                <w:szCs w:val="20"/>
              </w:rPr>
            </w:r>
          </w:p>
        </w:tc>
        <w:tc>
          <w:tcPr>
            <w:gridSpan w:val="2"/>
            <w:tcW w:w="1985" w:type="dxa"/>
            <w:vAlign w:val="top"/>
            <w:textDirection w:val="lrTb"/>
            <w:noWrap w:val="false"/>
          </w:tcPr>
          <w:p>
            <w:pPr>
              <w:pStyle w:val="1003"/>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163"/>
              <w:jc w:val="center"/>
              <w:spacing w:before="40" w:after="40"/>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227"/>
        </w:trPr>
        <w:tc>
          <w:tcPr>
            <w:tcW w:w="993" w:type="dxa"/>
            <w:vAlign w:val="top"/>
            <w:vMerge w:val="restart"/>
            <w:textDirection w:val="lrTb"/>
            <w:noWrap w:val="false"/>
          </w:tcPr>
          <w:p>
            <w:pPr>
              <w:pStyle w:val="1163"/>
              <w:jc w:val="center"/>
              <w:spacing w:before="40" w:after="40"/>
              <w:rPr>
                <w:bCs/>
                <w:sz w:val="22"/>
                <w:szCs w:val="22"/>
              </w:rPr>
            </w:pPr>
            <w:r>
              <w:rPr>
                <w:bCs/>
                <w:sz w:val="22"/>
                <w:szCs w:val="22"/>
              </w:rPr>
            </w:r>
            <w:r>
              <w:rPr>
                <w:bCs/>
                <w:iCs/>
                <w:sz w:val="20"/>
                <w:szCs w:val="20"/>
              </w:rPr>
              <w:t xml:space="preserve">1</w:t>
            </w:r>
            <w:r>
              <w:rPr>
                <w:bCs/>
                <w:iCs/>
                <w:sz w:val="20"/>
                <w:szCs w:val="20"/>
                <w:lang w:val="en-US"/>
              </w:rPr>
              <w:t xml:space="preserve">4</w:t>
            </w:r>
            <w:r>
              <w:rPr>
                <w:bCs/>
                <w:iCs/>
                <w:sz w:val="20"/>
                <w:szCs w:val="20"/>
              </w:rPr>
              <w:t xml:space="preserve">.8.7.</w:t>
            </w:r>
            <w:r>
              <w:rPr>
                <w:bCs/>
                <w:sz w:val="22"/>
                <w:szCs w:val="22"/>
              </w:rPr>
            </w:r>
            <w:r>
              <w:rPr>
                <w:bCs/>
                <w:sz w:val="22"/>
                <w:szCs w:val="22"/>
              </w:rPr>
            </w:r>
          </w:p>
        </w:tc>
        <w:tc>
          <w:tcPr>
            <w:tcW w:w="3969" w:type="dxa"/>
            <w:vAlign w:val="top"/>
            <w:vMerge w:val="restart"/>
            <w:textDirection w:val="lrTb"/>
            <w:noWrap w:val="false"/>
          </w:tcPr>
          <w:p>
            <w:pPr>
              <w:pStyle w:val="1003"/>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p>
            <w:pPr>
              <w:pStyle w:val="1003"/>
              <w:contextualSpacing w:val="0"/>
              <w:ind w:left="-6"/>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c>
          <w:tcPr>
            <w:gridSpan w:val="2"/>
            <w:tcW w:w="1985" w:type="dxa"/>
            <w:vAlign w:val="top"/>
            <w:vMerge w:val="restart"/>
            <w:textDirection w:val="lrTb"/>
            <w:noWrap w:val="false"/>
          </w:tcPr>
          <w:p>
            <w:pPr>
              <w:pStyle w:val="1003"/>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r>
            <w:r>
              <w:rPr>
                <w:bCs/>
                <w:iCs/>
                <w:sz w:val="20"/>
                <w:szCs w:val="20"/>
              </w:rPr>
            </w:r>
          </w:p>
        </w:tc>
        <w:tc>
          <w:tcPr>
            <w:tcW w:w="2976" w:type="dxa"/>
            <w:vAlign w:val="top"/>
            <w:vMerge w:val="restart"/>
            <w:textDirection w:val="lrTb"/>
            <w:noWrap w:val="false"/>
          </w:tcPr>
          <w:p>
            <w:pPr>
              <w:pStyle w:val="116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63"/>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63"/>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63"/>
        <w:rPr>
          <w:i/>
          <w:sz w:val="16"/>
          <w:szCs w:val="16"/>
        </w:rPr>
      </w:pPr>
      <w:r>
        <w:rPr>
          <w:i/>
          <w:sz w:val="16"/>
          <w:szCs w:val="16"/>
        </w:rPr>
      </w:r>
      <w:r>
        <w:rPr>
          <w:i/>
          <w:sz w:val="16"/>
          <w:szCs w:val="16"/>
        </w:rPr>
      </w:r>
      <w:r>
        <w:rPr>
          <w:i/>
          <w:sz w:val="16"/>
          <w:szCs w:val="16"/>
        </w:rPr>
      </w:r>
    </w:p>
    <w:p>
      <w:pPr>
        <w:pStyle w:val="1167"/>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6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6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6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6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63"/>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63"/>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3"/>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63"/>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63"/>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63"/>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3"/>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63"/>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63"/>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63"/>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67"/>
        <w:rPr>
          <w:lang w:val="ru-RU"/>
        </w:rPr>
      </w:pPr>
      <w:r>
        <w:t xml:space="preserve">16. Операции с драгоценными металлами</w:t>
      </w:r>
      <w:r>
        <w:rPr>
          <w:lang w:val="ru-RU"/>
        </w:rPr>
      </w:r>
      <w:r>
        <w:rPr>
          <w:lang w:val="ru-RU"/>
        </w:rPr>
      </w:r>
    </w:p>
    <w:p>
      <w:pPr>
        <w:pStyle w:val="1163"/>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63"/>
              <w:jc w:val="center"/>
              <w:rPr>
                <w:b/>
                <w:sz w:val="20"/>
                <w:szCs w:val="20"/>
              </w:rPr>
            </w:pPr>
            <w:r>
              <w:rPr>
                <w:b/>
                <w:sz w:val="20"/>
                <w:szCs w:val="20"/>
              </w:rPr>
              <w:t xml:space="preserve">№</w:t>
            </w:r>
            <w:r>
              <w:rPr>
                <w:b/>
                <w:sz w:val="20"/>
                <w:szCs w:val="20"/>
              </w:rPr>
            </w:r>
            <w:r>
              <w:rPr>
                <w:b/>
                <w:sz w:val="20"/>
                <w:szCs w:val="20"/>
              </w:rPr>
            </w:r>
          </w:p>
          <w:p>
            <w:pPr>
              <w:pStyle w:val="1163"/>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63"/>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63"/>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6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63"/>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6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208"/>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08"/>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208"/>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95"/>
                <w:i/>
                <w:iCs/>
                <w:smallCaps/>
                <w:szCs w:val="22"/>
              </w:rPr>
              <w:footnoteReference w:id="11"/>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95"/>
                <w:i/>
                <w:iCs/>
                <w:smallCaps/>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95"/>
                <w:i/>
                <w:iCs/>
                <w:smallCaps/>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2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208"/>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208"/>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63"/>
        <w:rPr>
          <w:lang w:val="en-US" w:eastAsia="en-US"/>
        </w:rPr>
      </w:pPr>
      <w:r>
        <w:rPr>
          <w:lang w:val="en-US" w:eastAsia="en-US"/>
        </w:rPr>
      </w:r>
      <w:r>
        <w:rPr>
          <w:lang w:val="en-US" w:eastAsia="en-US"/>
        </w:rPr>
      </w:r>
      <w:r>
        <w:rPr>
          <w:lang w:val="en-US" w:eastAsia="en-US"/>
        </w:rPr>
      </w:r>
    </w:p>
    <w:p>
      <w:pPr>
        <w:pStyle w:val="1163"/>
        <w:rPr>
          <w:lang w:val="en-US" w:eastAsia="en-US"/>
        </w:rPr>
      </w:pPr>
      <w:r>
        <w:rPr>
          <w:lang w:val="en-US" w:eastAsia="en-US"/>
        </w:rPr>
      </w:r>
      <w:r>
        <w:rPr>
          <w:lang w:val="en-US" w:eastAsia="en-US"/>
        </w:rPr>
      </w:r>
      <w:r>
        <w:rPr>
          <w:lang w:val="en-US" w:eastAsia="en-US"/>
        </w:rPr>
      </w:r>
    </w:p>
    <w:p>
      <w:pPr>
        <w:pStyle w:val="1167"/>
        <w:ind w:left="567"/>
      </w:pPr>
      <w:r>
        <w:rPr>
          <w:lang w:val="ru-RU"/>
        </w:rPr>
        <w:t xml:space="preserve">1</w:t>
      </w:r>
      <w:r>
        <w:t xml:space="preserve">7. Обслуживание с использованием Торговой системы</w:t>
      </w:r>
      <w:r>
        <w:t xml:space="preserve"> </w:t>
      </w:r>
      <w:r/>
    </w:p>
    <w:p>
      <w:pPr>
        <w:pStyle w:val="1167"/>
        <w:ind w:left="567"/>
      </w:pPr>
      <w:r>
        <w:t xml:space="preserve">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63"/>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63"/>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63"/>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63"/>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63"/>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63"/>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63"/>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6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63"/>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63"/>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63"/>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63"/>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63"/>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63"/>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63"/>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Смена логина</w:t>
            </w:r>
            <w:r>
              <w:rPr>
                <w:sz w:val="20"/>
                <w:szCs w:val="20"/>
                <w:lang w:eastAsia="en-US"/>
              </w:rPr>
              <w:footnoteReference w:id="15"/>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p>
            <w:pPr>
              <w:pStyle w:val="116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63"/>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63"/>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6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63"/>
              <w:rPr>
                <w:sz w:val="20"/>
                <w:szCs w:val="20"/>
                <w:lang w:eastAsia="en-US"/>
              </w:rPr>
            </w:pPr>
            <w:r>
              <w:rPr>
                <w:sz w:val="20"/>
                <w:szCs w:val="20"/>
                <w:lang w:eastAsia="en-US"/>
              </w:rPr>
            </w:r>
            <w:r>
              <w:rPr>
                <w:sz w:val="20"/>
                <w:szCs w:val="20"/>
                <w:lang w:eastAsia="en-US"/>
              </w:rPr>
            </w:r>
            <w:r>
              <w:rPr>
                <w:sz w:val="20"/>
                <w:szCs w:val="20"/>
                <w:lang w:eastAsia="en-US"/>
              </w:rPr>
            </w:r>
          </w:p>
        </w:tc>
      </w:tr>
    </w:tbl>
    <w:p>
      <w:pPr>
        <w:pStyle w:val="1163"/>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63"/>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63"/>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63"/>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63"/>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6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6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67"/>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rPr/>
        <w:tc>
          <w:tcPr>
            <w:tcW w:w="851" w:type="dxa"/>
            <w:vAlign w:val="center"/>
            <w:textDirection w:val="lrTb"/>
            <w:noWrap w:val="false"/>
          </w:tcPr>
          <w:p>
            <w:pPr>
              <w:pStyle w:val="1163"/>
              <w:ind w:hanging="137"/>
              <w:jc w:val="center"/>
              <w:rPr>
                <w:sz w:val="22"/>
                <w:szCs w:val="22"/>
              </w:rPr>
            </w:pPr>
            <w:r>
              <w:rPr>
                <w:sz w:val="22"/>
                <w:szCs w:val="22"/>
              </w:rPr>
              <w:t xml:space="preserve">№</w:t>
            </w:r>
            <w:r>
              <w:rPr>
                <w:sz w:val="22"/>
                <w:szCs w:val="22"/>
              </w:rPr>
            </w:r>
            <w:r>
              <w:rPr>
                <w:sz w:val="22"/>
                <w:szCs w:val="22"/>
              </w:rPr>
            </w:r>
          </w:p>
          <w:p>
            <w:pPr>
              <w:pStyle w:val="1163"/>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63"/>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63"/>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63"/>
              <w:jc w:val="center"/>
              <w:rPr>
                <w:sz w:val="22"/>
                <w:szCs w:val="22"/>
              </w:rPr>
            </w:pPr>
            <w:r>
              <w:rPr>
                <w:sz w:val="22"/>
                <w:szCs w:val="22"/>
              </w:rPr>
              <w:t xml:space="preserve">Примечание</w:t>
            </w:r>
            <w:r>
              <w:rPr>
                <w:sz w:val="22"/>
                <w:szCs w:val="22"/>
              </w:rPr>
            </w:r>
            <w:r>
              <w:rPr>
                <w:sz w:val="22"/>
                <w:szCs w:val="22"/>
              </w:rPr>
            </w:r>
          </w:p>
        </w:tc>
      </w:tr>
      <w:tr>
        <w:tblPrEx/>
        <w:trPr/>
        <w:tc>
          <w:tcPr>
            <w:tcW w:w="851" w:type="dxa"/>
            <w:vAlign w:val="top"/>
            <w:textDirection w:val="lrTb"/>
            <w:noWrap w:val="false"/>
          </w:tcPr>
          <w:p>
            <w:pPr>
              <w:pStyle w:val="1163"/>
              <w:jc w:val="center"/>
              <w:spacing w:before="40" w:after="40"/>
              <w:rPr>
                <w:sz w:val="22"/>
                <w:szCs w:val="22"/>
              </w:rPr>
            </w:pPr>
            <w:r>
              <w:rPr>
                <w:sz w:val="22"/>
                <w:szCs w:val="22"/>
              </w:rPr>
              <w:t xml:space="preserve">18.</w:t>
            </w:r>
            <w:r>
              <w:rPr>
                <w:sz w:val="22"/>
                <w:szCs w:val="22"/>
              </w:rPr>
            </w:r>
            <w:r>
              <w:rPr>
                <w:sz w:val="22"/>
                <w:szCs w:val="22"/>
              </w:rPr>
            </w:r>
          </w:p>
        </w:tc>
        <w:tc>
          <w:tcPr>
            <w:gridSpan w:val="3"/>
            <w:tcW w:w="9781" w:type="dxa"/>
            <w:vAlign w:val="top"/>
            <w:textDirection w:val="lrTb"/>
            <w:noWrap w:val="false"/>
          </w:tcPr>
          <w:p>
            <w:pPr>
              <w:pStyle w:val="1163"/>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rPr/>
        <w:tc>
          <w:tcPr>
            <w:tcW w:w="851" w:type="dxa"/>
            <w:vAlign w:val="top"/>
            <w:textDirection w:val="lrTb"/>
            <w:noWrap w:val="false"/>
          </w:tcPr>
          <w:p>
            <w:pPr>
              <w:pStyle w:val="1163"/>
              <w:jc w:val="center"/>
              <w:spacing w:before="40" w:after="40"/>
              <w:rPr>
                <w:sz w:val="22"/>
                <w:szCs w:val="22"/>
              </w:rPr>
            </w:pPr>
            <w:r>
              <w:rPr>
                <w:sz w:val="22"/>
                <w:szCs w:val="22"/>
              </w:rPr>
              <w:t xml:space="preserve">18.1.</w:t>
            </w:r>
            <w:r>
              <w:rPr>
                <w:sz w:val="22"/>
                <w:szCs w:val="22"/>
              </w:rPr>
            </w:r>
            <w:r>
              <w:rPr>
                <w:sz w:val="22"/>
                <w:szCs w:val="22"/>
              </w:rPr>
            </w:r>
          </w:p>
        </w:tc>
        <w:tc>
          <w:tcPr>
            <w:tcW w:w="5953" w:type="dxa"/>
            <w:vAlign w:val="top"/>
            <w:textDirection w:val="lrTb"/>
            <w:noWrap w:val="false"/>
          </w:tcPr>
          <w:p>
            <w:pPr>
              <w:pStyle w:val="116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63"/>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6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rPr/>
        <w:tc>
          <w:tcPr>
            <w:tcW w:w="851" w:type="dxa"/>
            <w:vAlign w:val="top"/>
            <w:textDirection w:val="lrTb"/>
            <w:noWrap w:val="false"/>
          </w:tcPr>
          <w:p>
            <w:pPr>
              <w:pStyle w:val="1163"/>
              <w:jc w:val="center"/>
              <w:spacing w:before="40" w:after="40"/>
              <w:rPr>
                <w:sz w:val="22"/>
                <w:szCs w:val="22"/>
              </w:rPr>
            </w:pPr>
            <w:r>
              <w:rPr>
                <w:sz w:val="22"/>
                <w:szCs w:val="22"/>
              </w:rPr>
              <w:t xml:space="preserve">18.2.</w:t>
            </w:r>
            <w:r>
              <w:rPr>
                <w:sz w:val="22"/>
                <w:szCs w:val="22"/>
              </w:rPr>
            </w:r>
            <w:r>
              <w:rPr>
                <w:sz w:val="22"/>
                <w:szCs w:val="22"/>
              </w:rPr>
            </w:r>
          </w:p>
        </w:tc>
        <w:tc>
          <w:tcPr>
            <w:tcW w:w="5953" w:type="dxa"/>
            <w:vAlign w:val="top"/>
            <w:textDirection w:val="lrTb"/>
            <w:noWrap w:val="false"/>
          </w:tcPr>
          <w:p>
            <w:pPr>
              <w:pStyle w:val="116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63"/>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6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ind w:left="7080" w:firstLine="708"/>
        <w:rPr>
          <w:bCs/>
          <w:i/>
          <w:sz w:val="20"/>
          <w:szCs w:val="20"/>
          <w:highlight w:val="none"/>
          <w:lang w:eastAsia="en-US"/>
        </w:rPr>
      </w:pPr>
      <w:r>
        <w:rPr>
          <w:bCs/>
          <w:i/>
          <w:iCs/>
          <w:sz w:val="20"/>
          <w:szCs w:val="20"/>
          <w:highlight w:val="none"/>
          <w:lang w:eastAsia="en-US"/>
        </w:rPr>
      </w:r>
      <w:r>
        <w:rPr>
          <w:bCs/>
          <w:i/>
          <w:iCs/>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iCs/>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iCs/>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iCs/>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iCs/>
          <w:sz w:val="20"/>
          <w:szCs w:val="20"/>
          <w:highlight w:val="none"/>
          <w:lang w:eastAsia="en-US"/>
        </w:rPr>
      </w:r>
      <w:r>
        <w:rPr>
          <w:bCs/>
          <w:i/>
          <w:sz w:val="20"/>
          <w:szCs w:val="20"/>
          <w:highlight w:val="none"/>
          <w:lang w:eastAsia="en-US"/>
        </w:rPr>
      </w:r>
    </w:p>
    <w:p>
      <w:pPr>
        <w:ind w:left="7080" w:firstLine="708"/>
        <w:rPr>
          <w:bCs/>
          <w:i/>
          <w:sz w:val="20"/>
          <w:szCs w:val="20"/>
          <w:highlight w:val="none"/>
          <w:lang w:eastAsia="en-US"/>
        </w:rPr>
      </w:pPr>
      <w:r>
        <w:rPr>
          <w:bCs/>
          <w:i/>
          <w:iCs/>
          <w:sz w:val="20"/>
          <w:szCs w:val="20"/>
          <w:highlight w:val="none"/>
          <w:lang w:eastAsia="en-US"/>
        </w:rPr>
      </w:r>
      <w:r>
        <w:rPr>
          <w:bCs/>
          <w:i/>
          <w:iCs/>
          <w:sz w:val="20"/>
          <w:szCs w:val="20"/>
          <w:highlight w:val="none"/>
          <w:lang w:eastAsia="en-US"/>
        </w:rPr>
      </w:r>
      <w:r>
        <w:rPr>
          <w:bCs/>
          <w:i/>
          <w:sz w:val="20"/>
          <w:szCs w:val="20"/>
          <w:highlight w:val="none"/>
          <w:lang w:eastAsia="en-US"/>
        </w:rPr>
      </w:r>
    </w:p>
    <w:p>
      <w:pPr>
        <w:pStyle w:val="1163"/>
        <w:ind w:left="7080" w:firstLine="708"/>
        <w:rPr>
          <w:i/>
          <w:iCs/>
          <w:sz w:val="20"/>
          <w:szCs w:val="20"/>
          <w:highlight w:val="none"/>
          <w:lang w:eastAsia="en-US"/>
        </w:rPr>
      </w:pPr>
      <w:r>
        <w:rPr>
          <w:bCs/>
          <w:i/>
          <w:iCs/>
          <w:sz w:val="20"/>
          <w:szCs w:val="20"/>
          <w:lang w:eastAsia="en-US"/>
        </w:rPr>
      </w:r>
      <w:r>
        <w:rPr>
          <w:bCs/>
          <w:i/>
          <w:iCs/>
          <w:sz w:val="20"/>
          <w:szCs w:val="20"/>
          <w:lang w:eastAsia="en-US"/>
        </w:rPr>
        <w:t xml:space="preserve">Приложение 1</w:t>
      </w:r>
      <w:r>
        <w:rPr>
          <w:i/>
          <w:iCs/>
          <w:sz w:val="20"/>
          <w:szCs w:val="20"/>
          <w:highlight w:val="none"/>
          <w:lang w:eastAsia="en-US"/>
        </w:rPr>
      </w:r>
      <w:r>
        <w:rPr>
          <w:i/>
          <w:iCs/>
          <w:sz w:val="20"/>
          <w:szCs w:val="20"/>
          <w:highlight w:val="none"/>
          <w:lang w:eastAsia="en-US"/>
        </w:rPr>
      </w:r>
    </w:p>
    <w:p>
      <w:pPr>
        <w:pStyle w:val="1163"/>
        <w:rPr>
          <w:iCs/>
          <w:highlight w:val="none"/>
        </w:rPr>
      </w:pPr>
      <w:r>
        <w:rPr>
          <w:bCs/>
          <w:i/>
          <w:iCs/>
          <w:sz w:val="20"/>
          <w:szCs w:val="20"/>
          <w:lang w:eastAsia="en-US"/>
        </w:rPr>
      </w:r>
      <w:r>
        <mc:AlternateContent>
          <mc:Choice Requires="wpg">
            <w:drawing>
              <wp:inline xmlns:wp="http://schemas.openxmlformats.org/drawingml/2006/wordprocessingDrawing" distT="0" distB="0" distL="0" distR="0">
                <wp:extent cx="6344791" cy="4345758"/>
                <wp:effectExtent l="6350" t="6350" r="6350" b="6350"/>
                <wp:docPr id="2" name="_x0000_i1027"/>
                <wp:cNvGraphicFramePr/>
                <a:graphic xmlns:a="http://schemas.openxmlformats.org/drawingml/2006/main">
                  <a:graphicData uri="http://schemas.openxmlformats.org/drawingml/2006/picture">
                    <pic:pic xmlns:pic="http://schemas.openxmlformats.org/drawingml/2006/picture">
                      <pic:nvPicPr>
                        <pic:cNvPr id="1740864370" name=""/>
                        <pic:cNvPicPr/>
                        <pic:nvPr/>
                      </pic:nvPicPr>
                      <pic:blipFill>
                        <a:blip r:embed="rId12">
                          <a:extLst>
                            <a:ext uri="{96DAC541-7B7A-43D3-8B79-37D633B846F1}">
                              <asvg:svgBlip xmlns:asvg="http://schemas.microsoft.com/office/drawing/2016/SVG/main" r:embed="rId13"/>
                            </a:ext>
                          </a:extLst>
                        </a:blip>
                        <a:srcRect l="0" t="2648" r="0" b="0"/>
                        <a:stretch/>
                      </pic:blipFill>
                      <pic:spPr bwMode="auto">
                        <a:xfrm rot="0" flipH="0" flipV="0">
                          <a:off x="0" y="0"/>
                          <a:ext cx="6344790" cy="434575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42.19pt;mso-wrap-distance-left:0.00pt;mso-wrap-distance-top:0.00pt;mso-wrap-distance-right:0.00pt;mso-wrap-distance-bottom:0.00pt;rotation:0;" stroked="f">
                <v:path textboxrect="0,0,0,0"/>
                <v:imagedata r:id="rId12" o:title=""/>
              </v:shape>
            </w:pict>
          </mc:Fallback>
        </mc:AlternateContent>
      </w:r>
      <w:r>
        <w:rPr>
          <w:iCs/>
          <w:highlight w:val="none"/>
        </w:rPr>
      </w:r>
      <w:r>
        <w:rPr>
          <w:iCs/>
          <w:highlight w:val="none"/>
        </w:rPr>
      </w:r>
    </w:p>
    <w:p>
      <w:pPr>
        <w:rPr>
          <w:bCs/>
          <w:i/>
          <w:sz w:val="20"/>
          <w:szCs w:val="20"/>
          <w:lang w:eastAsia="en-US"/>
        </w:rPr>
      </w:pPr>
      <w:r>
        <w:rPr>
          <w:highlight w:val="none"/>
        </w:rPr>
      </w:r>
      <w:r>
        <w:rPr>
          <w:bCs/>
          <w:i/>
          <w:sz w:val="20"/>
          <w:szCs w:val="20"/>
          <w:lang w:eastAsia="en-US"/>
        </w:rPr>
      </w:r>
      <w:r>
        <w:rPr>
          <w:bCs/>
          <w:i/>
          <w:sz w:val="20"/>
          <w:szCs w:val="20"/>
          <w:lang w:eastAsia="en-US"/>
        </w:rPr>
      </w:r>
    </w:p>
    <w:p>
      <w:pPr>
        <w:pStyle w:val="1163"/>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pStyle w:val="1163"/>
        <w:ind w:left="7080" w:firstLine="708"/>
        <w:rPr>
          <w:i/>
          <w:iCs/>
          <w:sz w:val="20"/>
          <w:szCs w:val="20"/>
          <w:highlight w:val="none"/>
          <w:lang w:eastAsia="en-US"/>
        </w:rPr>
      </w:pPr>
      <w:r>
        <w:rPr>
          <w:bCs/>
          <w:i/>
          <w:iCs/>
          <w:sz w:val="20"/>
          <w:szCs w:val="20"/>
          <w:lang w:eastAsia="en-US"/>
        </w:rPr>
      </w:r>
      <w:r>
        <w:rPr>
          <w:bCs/>
          <w:i/>
          <w:iCs/>
          <w:sz w:val="20"/>
          <w:szCs w:val="20"/>
          <w:lang w:eastAsia="en-US"/>
        </w:rPr>
        <w:t xml:space="preserve">Приложение 2</w:t>
      </w:r>
      <w:r>
        <w:rPr>
          <w:i/>
          <w:iCs/>
          <w:sz w:val="20"/>
          <w:szCs w:val="20"/>
          <w:highlight w:val="none"/>
          <w:lang w:eastAsia="en-US"/>
        </w:rPr>
      </w:r>
      <w:r>
        <w:rPr>
          <w:i/>
          <w:iCs/>
          <w:sz w:val="20"/>
          <w:szCs w:val="20"/>
          <w:highlight w:val="none"/>
          <w:lang w:eastAsia="en-US"/>
        </w:rPr>
      </w:r>
    </w:p>
    <w:p>
      <w:pPr>
        <w:pStyle w:val="1163"/>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tbl>
      <w:tblPr>
        <w:tblStyle w:val="1019"/>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123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Приложение 2</w:t>
              <w:br/>
              <w:t xml:space="preserve">к приказу АО "Россельхозбанк"</w:t>
              <w:br/>
              <w:t xml:space="preserve">от 19.12.2025 № 2379-ОД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4"/>
                <w:u w:val="none"/>
                <w:vertAlign w:val="baseline"/>
              </w:rPr>
            </w:r>
            <w:r/>
          </w:p>
        </w:tc>
      </w:tr>
      <w:tr>
        <w:tblPrEx/>
        <w:trPr>
          <w:trHeight w:val="157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2</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Arial" w:hAnsi="Arial" w:eastAsia="Arial" w:cs="Arial"/>
                <w:b w:val="0"/>
                <w:i w:val="0"/>
                <w:strike w:val="0"/>
                <w:color w:val="000000"/>
                <w:sz w:val="22"/>
                <w:u w:val="none"/>
                <w:vertAlign w:val="baseline"/>
              </w:rPr>
            </w:r>
            <w:r/>
          </w:p>
        </w:tc>
      </w:tr>
      <w:tr>
        <w:tblPrEx/>
        <w:trPr>
          <w:trHeight w:val="36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i w:val="0"/>
                <w:strike w:val="0"/>
                <w:color w:val="000000"/>
                <w:sz w:val="28"/>
                <w:highlight w:val="none"/>
                <w:u w:val="none"/>
              </w:rPr>
            </w: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в рамках услуги "Интернет- эквайринг"</w:t>
            </w:r>
            <w:r>
              <w:rPr>
                <w:rFonts w:ascii="Times New Roman" w:hAnsi="Times New Roman" w:eastAsia="Times New Roman" w:cs="Times New Roman"/>
                <w:b/>
                <w:bCs w:val="0"/>
                <w:i w:val="0"/>
                <w:strike w:val="0"/>
                <w:color w:val="000000"/>
                <w:sz w:val="28"/>
                <w:szCs w:val="28"/>
                <w:highlight w:val="none"/>
                <w:u w:val="none"/>
              </w:rPr>
            </w:r>
            <w:r>
              <w:rPr>
                <w:rFonts w:ascii="Times New Roman" w:hAnsi="Times New Roman" w:eastAsia="Times New Roman" w:cs="Times New Roman"/>
                <w:b/>
                <w:bCs w:val="0"/>
                <w:i w:val="0"/>
                <w:strike w:val="0"/>
                <w:color w:val="000000"/>
                <w:sz w:val="28"/>
                <w:szCs w:val="28"/>
                <w:highlight w:val="none"/>
                <w:u w:val="non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p>
        </w:tc>
      </w:tr>
      <w:tr>
        <w:tblPrEx/>
        <w:trPr>
          <w:trHeight w:val="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1056"/>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Наименование профиля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Государственные и коммунальные услуги</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Фаст фуд</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Супермаркет</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Туризм</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Медицина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Аптеки</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Образование</w:t>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Прочие</w:t>
            </w:r>
            <w:r/>
          </w:p>
        </w:tc>
      </w:tr>
      <w:tr>
        <w:tblPrEx/>
        <w:trPr>
          <w:trHeight w:val="195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МСС-код, соответствующий профилю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4900, 9399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5814</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5411</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4722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4119, 8011,  8031, 8042,  8049, 8050, 8062,  8071, 8099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5912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8211, 8220, 8241, 8244, 8249, 8299</w:t>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кроме 4900, 9399, 5814, 5411, 4722, 4119, 8011, 8031, 8042, 8049, 8050, 8062,  8071, 8099, 5912, 8211, 8220, 8241, 8244, 8249, 8299</w:t>
            </w: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9</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10</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16</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17</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19</w:t>
            </w:r>
            <w:r/>
          </w:p>
        </w:tc>
      </w:tr>
      <w:tr>
        <w:tblPrEx/>
        <w:trPr>
          <w:trHeight w:val="136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Размер финансового оборота (в месяц на один электронный магазин,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до 100 000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100 000,01- 300 000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1,99</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2,45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300 000,01- 500 000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500 000,01- 1000 000 вкл.</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0,95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1 000 000,01 и более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0,9</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cs="Times New Roman"/>
                <w:sz w:val="20"/>
                <w:szCs w:val="20"/>
              </w:rPr>
            </w:r>
            <w:r>
              <w:rPr>
                <w:rFonts w:ascii="Times New Roman" w:hAnsi="Times New Roman" w:cs="Times New Roman"/>
                <w:sz w:val="20"/>
                <w:szCs w:val="20"/>
              </w:rPr>
            </w:r>
          </w:p>
        </w:tc>
      </w:tr>
      <w:tr>
        <w:tblPrEx/>
        <w:trPr>
          <w:trHeight w:val="300"/>
        </w:trPr>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740"/>
        </w:trPr>
        <w:tc>
          <w:tcPr>
            <w:gridSpan w:val="3"/>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98"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p>
            <w:r>
              <w:rPr>
                <w:rFonts w:ascii="Times New Roman" w:hAnsi="Times New Roman" w:eastAsia="Times New Roman" w:cs="Times New Roman"/>
                <w:b/>
                <w:i w:val="0"/>
                <w:strike w:val="0"/>
                <w:color w:val="000000"/>
                <w:sz w:val="22"/>
                <w:u w:val="none"/>
                <w:vertAlign w:val="baseline"/>
              </w:rPr>
            </w:r>
            <w:r/>
          </w:p>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w:t>
            </w:r>
            <w:r>
              <w:rPr>
                <w:rFonts w:ascii="Times New Roman" w:hAnsi="Times New Roman" w:eastAsia="Times New Roman" w:cs="Times New Roman"/>
                <w:b w:val="0"/>
                <w:i w:val="0"/>
                <w:strike w:val="0"/>
                <w:color w:val="000000"/>
                <w:sz w:val="20"/>
                <w:u w:val="none"/>
                <w:vertAlign w:val="baseline"/>
              </w:rPr>
              <w:t xml:space="preserve">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r>
      <w:tr>
        <w:tblPrEx/>
        <w:trPr>
          <w:trHeight w:val="288"/>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285"/>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bl>
    <w:p>
      <w:pPr>
        <w:pStyle w:val="116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ET">
    <w:panose1 w:val="02000603000000000000"/>
  </w:font>
  <w:font w:name="Tahoma">
    <w:panose1 w:val="020B0604030504040204"/>
  </w:font>
  <w:font w:name="Calibri Light">
    <w:panose1 w:val="020F030202020403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31"/>
        <w:jc w:val="both"/>
        <w:rPr>
          <w:sz w:val="18"/>
          <w:szCs w:val="18"/>
          <w:lang w:val="ru-RU"/>
        </w:rPr>
      </w:pPr>
      <w:r>
        <w:rPr>
          <w:rStyle w:val="1230"/>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231"/>
        <w:jc w:val="both"/>
        <w:rPr>
          <w:sz w:val="18"/>
          <w:szCs w:val="18"/>
          <w:lang w:val="ru-RU"/>
        </w:rPr>
      </w:pPr>
      <w:r>
        <w:rPr>
          <w:rStyle w:val="1230"/>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231"/>
        <w:jc w:val="both"/>
        <w:rPr>
          <w:sz w:val="18"/>
          <w:szCs w:val="18"/>
          <w:lang w:val="ru-RU"/>
        </w:rPr>
      </w:pPr>
      <w:r>
        <w:rPr>
          <w:rStyle w:val="1230"/>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231"/>
        <w:rPr>
          <w:sz w:val="18"/>
          <w:szCs w:val="18"/>
          <w:lang w:val="ru-RU"/>
        </w:rPr>
      </w:pPr>
      <w:r>
        <w:rPr>
          <w:rStyle w:val="1230"/>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211"/>
        <w:ind w:left="0"/>
        <w:jc w:val="both"/>
        <w:spacing w:line="240" w:lineRule="auto"/>
        <w:tabs>
          <w:tab w:val="left" w:pos="426" w:leader="none"/>
        </w:tabs>
        <w:rPr>
          <w:sz w:val="24"/>
          <w:szCs w:val="24"/>
        </w:rPr>
      </w:pPr>
      <w:r>
        <w:rPr>
          <w:rStyle w:val="1195"/>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46"/>
        <w:contextualSpacing w:val="0"/>
        <w:jc w:val="both"/>
        <w:rPr>
          <w:rFonts w:ascii="Times New Roman" w:hAnsi="Times New Roman" w:cs="Times New Roman"/>
        </w:rPr>
        <w:suppressLineNumbers w:val="0"/>
      </w:pPr>
      <w:r>
        <w:rPr>
          <w:rStyle w:val="1148"/>
        </w:rPr>
        <w:footnoteRef/>
      </w:r>
      <w:r>
        <w:rPr>
          <w:rStyle w:val="1148"/>
          <w:vertAlign w:val="baseline"/>
        </w:rPr>
        <w:t xml:space="preserve"> и </w:t>
      </w:r>
      <w:r>
        <w:rPr>
          <w:rStyle w:val="1148"/>
          <w:sz w:val="14"/>
          <w:szCs w:val="20"/>
          <w:vertAlign w:val="superscript"/>
        </w:rPr>
        <w:t xml:space="preserve">7</w:t>
      </w:r>
      <w:r>
        <w:rPr>
          <w:vertAlign w:val="superscript"/>
        </w:rP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8">
    <w:p>
      <w:pPr>
        <w:pStyle w:val="1146"/>
        <w:rPr>
          <w:rFonts w:ascii="Times New Roman" w:hAnsi="Times New Roman" w:cs="Times New Roman"/>
          <w:sz w:val="2"/>
          <w:szCs w:val="2"/>
        </w:rPr>
      </w:pPr>
      <w:r>
        <w:rPr>
          <w:rStyle w:val="1148"/>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9">
    <w:p>
      <w:pPr>
        <w:pStyle w:val="1146"/>
        <w:rPr>
          <w:bCs/>
          <w:i/>
        </w:rPr>
      </w:pPr>
      <w:r>
        <w:rPr>
          <w:rStyle w:val="1148"/>
        </w:rPr>
        <w:footnoteRef/>
      </w:r>
      <w:r>
        <w:t xml:space="preserve"> </w:t>
      </w:r>
      <w:r>
        <w:rPr>
          <w:i/>
          <w:iCs/>
        </w:rPr>
        <w:t xml:space="preserve"> </w:t>
      </w:r>
      <w:r>
        <w:rPr>
          <w:bCs/>
          <w:i/>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i/>
        </w:rPr>
      </w:r>
      <w:r>
        <w:rPr>
          <w:bCs/>
          <w:i/>
        </w:rPr>
      </w:r>
    </w:p>
  </w:footnote>
  <w:footnote w:id="10">
    <w:p>
      <w:pPr>
        <w:pStyle w:val="1163"/>
        <w:ind w:right="-17"/>
        <w:jc w:val="both"/>
        <w:spacing w:before="40" w:after="40"/>
        <w:tabs>
          <w:tab w:val="left" w:pos="4464" w:leader="none"/>
          <w:tab w:val="left" w:pos="5760" w:leader="none"/>
        </w:tabs>
        <w:rPr>
          <w:rFonts w:eastAsia="Calibri"/>
          <w:i/>
          <w:sz w:val="20"/>
          <w:szCs w:val="20"/>
        </w:rPr>
      </w:pPr>
      <w:r>
        <w:rPr>
          <w:rStyle w:val="1195"/>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63"/>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1">
    <w:p>
      <w:pPr>
        <w:pStyle w:val="1192"/>
        <w:rPr>
          <w:sz w:val="18"/>
          <w:szCs w:val="18"/>
        </w:rPr>
      </w:pPr>
      <w:r>
        <w:rPr>
          <w:rStyle w:val="1195"/>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92"/>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192"/>
        <w:jc w:val="both"/>
        <w:rPr>
          <w:sz w:val="18"/>
          <w:szCs w:val="18"/>
        </w:rPr>
      </w:pPr>
      <w:r>
        <w:rPr>
          <w:rStyle w:val="119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9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92"/>
        <w:jc w:val="both"/>
        <w:rPr>
          <w:sz w:val="18"/>
          <w:szCs w:val="18"/>
        </w:rPr>
      </w:pPr>
      <w:r>
        <w:rPr>
          <w:rStyle w:val="119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9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4">
    <w:p>
      <w:pPr>
        <w:pStyle w:val="1163"/>
        <w:jc w:val="both"/>
        <w:rPr>
          <w:bCs/>
          <w:i/>
          <w:sz w:val="20"/>
          <w:szCs w:val="20"/>
          <w:lang w:eastAsia="en-US"/>
        </w:rPr>
      </w:pPr>
      <w:r>
        <w:rPr>
          <w:rStyle w:val="1195"/>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92"/>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5">
    <w:p>
      <w:pPr>
        <w:pStyle w:val="1163"/>
        <w:jc w:val="both"/>
        <w:rPr>
          <w:bCs/>
          <w:sz w:val="18"/>
          <w:szCs w:val="18"/>
          <w:lang w:eastAsia="en-US"/>
        </w:rPr>
      </w:pPr>
      <w:r>
        <w:rPr>
          <w:rStyle w:val="1195"/>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2"/>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3"/>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84"/>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4"/>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5">
    <w:name w:val="Heading 1"/>
    <w:basedOn w:val="1163"/>
    <w:next w:val="1163"/>
    <w:link w:val="986"/>
    <w:uiPriority w:val="9"/>
    <w:qFormat/>
    <w:pPr>
      <w:keepLines/>
      <w:keepNext/>
      <w:spacing w:before="480" w:after="200"/>
      <w:outlineLvl w:val="0"/>
    </w:pPr>
    <w:rPr>
      <w:rFonts w:ascii="Arial" w:hAnsi="Arial" w:eastAsia="Arial" w:cs="Arial"/>
      <w:sz w:val="40"/>
      <w:szCs w:val="40"/>
    </w:rPr>
  </w:style>
  <w:style w:type="character" w:styleId="986">
    <w:name w:val="Heading 1 Char"/>
    <w:link w:val="985"/>
    <w:uiPriority w:val="9"/>
    <w:rPr>
      <w:rFonts w:ascii="Arial" w:hAnsi="Arial" w:eastAsia="Arial" w:cs="Arial"/>
      <w:sz w:val="40"/>
      <w:szCs w:val="40"/>
    </w:rPr>
  </w:style>
  <w:style w:type="paragraph" w:styleId="987">
    <w:name w:val="Heading 2"/>
    <w:basedOn w:val="1163"/>
    <w:next w:val="1163"/>
    <w:link w:val="988"/>
    <w:uiPriority w:val="9"/>
    <w:unhideWhenUsed/>
    <w:qFormat/>
    <w:pPr>
      <w:keepLines/>
      <w:keepNext/>
      <w:spacing w:before="360" w:after="200"/>
      <w:outlineLvl w:val="1"/>
    </w:pPr>
    <w:rPr>
      <w:rFonts w:ascii="Arial" w:hAnsi="Arial" w:eastAsia="Arial" w:cs="Arial"/>
      <w:sz w:val="34"/>
    </w:rPr>
  </w:style>
  <w:style w:type="character" w:styleId="988">
    <w:name w:val="Heading 2 Char"/>
    <w:link w:val="987"/>
    <w:uiPriority w:val="9"/>
    <w:rPr>
      <w:rFonts w:ascii="Arial" w:hAnsi="Arial" w:eastAsia="Arial" w:cs="Arial"/>
      <w:sz w:val="34"/>
    </w:rPr>
  </w:style>
  <w:style w:type="paragraph" w:styleId="989">
    <w:name w:val="Heading 3"/>
    <w:basedOn w:val="1163"/>
    <w:next w:val="1163"/>
    <w:link w:val="990"/>
    <w:uiPriority w:val="9"/>
    <w:unhideWhenUsed/>
    <w:qFormat/>
    <w:pPr>
      <w:keepLines/>
      <w:keepNext/>
      <w:spacing w:before="320" w:after="200"/>
      <w:outlineLvl w:val="2"/>
    </w:pPr>
    <w:rPr>
      <w:rFonts w:ascii="Arial" w:hAnsi="Arial" w:eastAsia="Arial" w:cs="Arial"/>
      <w:sz w:val="30"/>
      <w:szCs w:val="30"/>
    </w:rPr>
  </w:style>
  <w:style w:type="character" w:styleId="990">
    <w:name w:val="Heading 3 Char"/>
    <w:link w:val="989"/>
    <w:uiPriority w:val="9"/>
    <w:rPr>
      <w:rFonts w:ascii="Arial" w:hAnsi="Arial" w:eastAsia="Arial" w:cs="Arial"/>
      <w:sz w:val="30"/>
      <w:szCs w:val="30"/>
    </w:rPr>
  </w:style>
  <w:style w:type="paragraph" w:styleId="991">
    <w:name w:val="Heading 4"/>
    <w:basedOn w:val="1163"/>
    <w:next w:val="1163"/>
    <w:link w:val="992"/>
    <w:uiPriority w:val="9"/>
    <w:unhideWhenUsed/>
    <w:qFormat/>
    <w:pPr>
      <w:keepLines/>
      <w:keepNext/>
      <w:spacing w:before="320" w:after="200"/>
      <w:outlineLvl w:val="3"/>
    </w:pPr>
    <w:rPr>
      <w:rFonts w:ascii="Arial" w:hAnsi="Arial" w:eastAsia="Arial" w:cs="Arial"/>
      <w:b/>
      <w:bCs/>
      <w:sz w:val="26"/>
      <w:szCs w:val="26"/>
    </w:rPr>
  </w:style>
  <w:style w:type="character" w:styleId="992">
    <w:name w:val="Heading 4 Char"/>
    <w:link w:val="991"/>
    <w:uiPriority w:val="9"/>
    <w:rPr>
      <w:rFonts w:ascii="Arial" w:hAnsi="Arial" w:eastAsia="Arial" w:cs="Arial"/>
      <w:b/>
      <w:bCs/>
      <w:sz w:val="26"/>
      <w:szCs w:val="26"/>
    </w:rPr>
  </w:style>
  <w:style w:type="paragraph" w:styleId="993">
    <w:name w:val="Heading 5"/>
    <w:basedOn w:val="1163"/>
    <w:next w:val="1163"/>
    <w:link w:val="994"/>
    <w:uiPriority w:val="9"/>
    <w:unhideWhenUsed/>
    <w:qFormat/>
    <w:pPr>
      <w:keepLines/>
      <w:keepNext/>
      <w:spacing w:before="320" w:after="200"/>
      <w:outlineLvl w:val="4"/>
    </w:pPr>
    <w:rPr>
      <w:rFonts w:ascii="Arial" w:hAnsi="Arial" w:eastAsia="Arial" w:cs="Arial"/>
      <w:b/>
      <w:bCs/>
      <w:sz w:val="24"/>
      <w:szCs w:val="24"/>
    </w:rPr>
  </w:style>
  <w:style w:type="character" w:styleId="994">
    <w:name w:val="Heading 5 Char"/>
    <w:link w:val="993"/>
    <w:uiPriority w:val="9"/>
    <w:rPr>
      <w:rFonts w:ascii="Arial" w:hAnsi="Arial" w:eastAsia="Arial" w:cs="Arial"/>
      <w:b/>
      <w:bCs/>
      <w:sz w:val="24"/>
      <w:szCs w:val="24"/>
    </w:rPr>
  </w:style>
  <w:style w:type="paragraph" w:styleId="995">
    <w:name w:val="Heading 6"/>
    <w:basedOn w:val="1163"/>
    <w:next w:val="1163"/>
    <w:link w:val="996"/>
    <w:uiPriority w:val="9"/>
    <w:unhideWhenUsed/>
    <w:qFormat/>
    <w:pPr>
      <w:keepLines/>
      <w:keepNext/>
      <w:spacing w:before="320" w:after="200"/>
      <w:outlineLvl w:val="5"/>
    </w:pPr>
    <w:rPr>
      <w:rFonts w:ascii="Arial" w:hAnsi="Arial" w:eastAsia="Arial" w:cs="Arial"/>
      <w:b/>
      <w:bCs/>
      <w:sz w:val="22"/>
      <w:szCs w:val="22"/>
    </w:rPr>
  </w:style>
  <w:style w:type="character" w:styleId="996">
    <w:name w:val="Heading 6 Char"/>
    <w:link w:val="995"/>
    <w:uiPriority w:val="9"/>
    <w:rPr>
      <w:rFonts w:ascii="Arial" w:hAnsi="Arial" w:eastAsia="Arial" w:cs="Arial"/>
      <w:b/>
      <w:bCs/>
      <w:sz w:val="22"/>
      <w:szCs w:val="22"/>
    </w:rPr>
  </w:style>
  <w:style w:type="paragraph" w:styleId="997">
    <w:name w:val="Heading 7"/>
    <w:basedOn w:val="1163"/>
    <w:next w:val="1163"/>
    <w:link w:val="998"/>
    <w:uiPriority w:val="9"/>
    <w:unhideWhenUsed/>
    <w:qFormat/>
    <w:pPr>
      <w:keepLines/>
      <w:keepNext/>
      <w:spacing w:before="320" w:after="200"/>
      <w:outlineLvl w:val="6"/>
    </w:pPr>
    <w:rPr>
      <w:rFonts w:ascii="Arial" w:hAnsi="Arial" w:eastAsia="Arial" w:cs="Arial"/>
      <w:b/>
      <w:bCs/>
      <w:i/>
      <w:iCs/>
      <w:sz w:val="22"/>
      <w:szCs w:val="22"/>
    </w:rPr>
  </w:style>
  <w:style w:type="character" w:styleId="998">
    <w:name w:val="Heading 7 Char"/>
    <w:link w:val="997"/>
    <w:uiPriority w:val="9"/>
    <w:rPr>
      <w:rFonts w:ascii="Arial" w:hAnsi="Arial" w:eastAsia="Arial" w:cs="Arial"/>
      <w:b/>
      <w:bCs/>
      <w:i/>
      <w:iCs/>
      <w:sz w:val="22"/>
      <w:szCs w:val="22"/>
    </w:rPr>
  </w:style>
  <w:style w:type="paragraph" w:styleId="999">
    <w:name w:val="Heading 8"/>
    <w:basedOn w:val="1163"/>
    <w:next w:val="1163"/>
    <w:link w:val="1000"/>
    <w:uiPriority w:val="9"/>
    <w:unhideWhenUsed/>
    <w:qFormat/>
    <w:pPr>
      <w:keepLines/>
      <w:keepNext/>
      <w:spacing w:before="320" w:after="200"/>
      <w:outlineLvl w:val="7"/>
    </w:pPr>
    <w:rPr>
      <w:rFonts w:ascii="Arial" w:hAnsi="Arial" w:eastAsia="Arial" w:cs="Arial"/>
      <w:i/>
      <w:iCs/>
      <w:sz w:val="22"/>
      <w:szCs w:val="22"/>
    </w:rPr>
  </w:style>
  <w:style w:type="character" w:styleId="1000">
    <w:name w:val="Heading 8 Char"/>
    <w:link w:val="999"/>
    <w:uiPriority w:val="9"/>
    <w:rPr>
      <w:rFonts w:ascii="Arial" w:hAnsi="Arial" w:eastAsia="Arial" w:cs="Arial"/>
      <w:i/>
      <w:iCs/>
      <w:sz w:val="22"/>
      <w:szCs w:val="22"/>
    </w:rPr>
  </w:style>
  <w:style w:type="paragraph" w:styleId="1001">
    <w:name w:val="Heading 9"/>
    <w:basedOn w:val="1163"/>
    <w:next w:val="1163"/>
    <w:link w:val="1002"/>
    <w:uiPriority w:val="9"/>
    <w:unhideWhenUsed/>
    <w:qFormat/>
    <w:pPr>
      <w:keepLines/>
      <w:keepNext/>
      <w:spacing w:before="320" w:after="200"/>
      <w:outlineLvl w:val="8"/>
    </w:pPr>
    <w:rPr>
      <w:rFonts w:ascii="Arial" w:hAnsi="Arial" w:eastAsia="Arial" w:cs="Arial"/>
      <w:i/>
      <w:iCs/>
      <w:sz w:val="21"/>
      <w:szCs w:val="21"/>
    </w:rPr>
  </w:style>
  <w:style w:type="character" w:styleId="1002">
    <w:name w:val="Heading 9 Char"/>
    <w:link w:val="1001"/>
    <w:uiPriority w:val="9"/>
    <w:rPr>
      <w:rFonts w:ascii="Arial" w:hAnsi="Arial" w:eastAsia="Arial" w:cs="Arial"/>
      <w:i/>
      <w:iCs/>
      <w:sz w:val="21"/>
      <w:szCs w:val="21"/>
    </w:rPr>
  </w:style>
  <w:style w:type="paragraph" w:styleId="1003">
    <w:name w:val="List Paragraph"/>
    <w:basedOn w:val="1163"/>
    <w:uiPriority w:val="34"/>
    <w:qFormat/>
    <w:pPr>
      <w:contextualSpacing/>
      <w:ind w:left="720"/>
    </w:pPr>
  </w:style>
  <w:style w:type="paragraph" w:styleId="1004">
    <w:name w:val="No Spacing"/>
    <w:uiPriority w:val="1"/>
    <w:qFormat/>
    <w:pPr>
      <w:spacing w:before="0" w:after="0" w:line="240" w:lineRule="auto"/>
    </w:pPr>
  </w:style>
  <w:style w:type="paragraph" w:styleId="1005">
    <w:name w:val="Title"/>
    <w:basedOn w:val="1163"/>
    <w:next w:val="1163"/>
    <w:link w:val="1006"/>
    <w:uiPriority w:val="10"/>
    <w:qFormat/>
    <w:pPr>
      <w:contextualSpacing/>
      <w:spacing w:before="300" w:after="200"/>
    </w:pPr>
    <w:rPr>
      <w:sz w:val="48"/>
      <w:szCs w:val="48"/>
    </w:rPr>
  </w:style>
  <w:style w:type="character" w:styleId="1006">
    <w:name w:val="Title Char"/>
    <w:link w:val="1005"/>
    <w:uiPriority w:val="10"/>
    <w:rPr>
      <w:sz w:val="48"/>
      <w:szCs w:val="48"/>
    </w:rPr>
  </w:style>
  <w:style w:type="paragraph" w:styleId="1007">
    <w:name w:val="Subtitle"/>
    <w:basedOn w:val="1163"/>
    <w:next w:val="1163"/>
    <w:link w:val="1008"/>
    <w:uiPriority w:val="11"/>
    <w:qFormat/>
    <w:pPr>
      <w:spacing w:before="200" w:after="200"/>
    </w:pPr>
    <w:rPr>
      <w:sz w:val="24"/>
      <w:szCs w:val="24"/>
    </w:rPr>
  </w:style>
  <w:style w:type="character" w:styleId="1008">
    <w:name w:val="Subtitle Char"/>
    <w:link w:val="1007"/>
    <w:uiPriority w:val="11"/>
    <w:rPr>
      <w:sz w:val="24"/>
      <w:szCs w:val="24"/>
    </w:rPr>
  </w:style>
  <w:style w:type="paragraph" w:styleId="1009">
    <w:name w:val="Quote"/>
    <w:basedOn w:val="1163"/>
    <w:next w:val="1163"/>
    <w:link w:val="1010"/>
    <w:uiPriority w:val="29"/>
    <w:qFormat/>
    <w:pPr>
      <w:ind w:left="720" w:right="720"/>
    </w:pPr>
    <w:rPr>
      <w:i/>
    </w:rPr>
  </w:style>
  <w:style w:type="character" w:styleId="1010">
    <w:name w:val="Quote Char"/>
    <w:link w:val="1009"/>
    <w:uiPriority w:val="29"/>
    <w:rPr>
      <w:i/>
    </w:rPr>
  </w:style>
  <w:style w:type="paragraph" w:styleId="1011">
    <w:name w:val="Intense Quote"/>
    <w:basedOn w:val="1163"/>
    <w:next w:val="1163"/>
    <w:link w:val="10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12">
    <w:name w:val="Intense Quote Char"/>
    <w:link w:val="1011"/>
    <w:uiPriority w:val="30"/>
    <w:rPr>
      <w:i/>
    </w:rPr>
  </w:style>
  <w:style w:type="paragraph" w:styleId="1013">
    <w:name w:val="Header"/>
    <w:basedOn w:val="1163"/>
    <w:link w:val="1014"/>
    <w:uiPriority w:val="99"/>
    <w:unhideWhenUsed/>
    <w:pPr>
      <w:spacing w:after="0" w:line="240" w:lineRule="auto"/>
      <w:tabs>
        <w:tab w:val="center" w:pos="7143" w:leader="none"/>
        <w:tab w:val="right" w:pos="14287" w:leader="none"/>
      </w:tabs>
    </w:pPr>
  </w:style>
  <w:style w:type="character" w:styleId="1014">
    <w:name w:val="Header Char"/>
    <w:link w:val="1013"/>
    <w:uiPriority w:val="99"/>
  </w:style>
  <w:style w:type="paragraph" w:styleId="1015">
    <w:name w:val="Footer"/>
    <w:basedOn w:val="1163"/>
    <w:link w:val="1018"/>
    <w:uiPriority w:val="99"/>
    <w:unhideWhenUsed/>
    <w:pPr>
      <w:spacing w:after="0" w:line="240" w:lineRule="auto"/>
      <w:tabs>
        <w:tab w:val="center" w:pos="7143" w:leader="none"/>
        <w:tab w:val="right" w:pos="14287" w:leader="none"/>
      </w:tabs>
    </w:pPr>
  </w:style>
  <w:style w:type="character" w:styleId="1016">
    <w:name w:val="Footer Char"/>
    <w:link w:val="1015"/>
    <w:uiPriority w:val="99"/>
  </w:style>
  <w:style w:type="paragraph" w:styleId="1017">
    <w:name w:val="Caption"/>
    <w:basedOn w:val="1163"/>
    <w:next w:val="1163"/>
    <w:link w:val="1018"/>
    <w:uiPriority w:val="35"/>
    <w:semiHidden/>
    <w:unhideWhenUsed/>
    <w:qFormat/>
    <w:pPr>
      <w:spacing w:line="276" w:lineRule="auto"/>
    </w:pPr>
    <w:rPr>
      <w:b/>
      <w:bCs/>
      <w:color w:val="4f81bd" w:themeColor="accent1"/>
      <w:sz w:val="18"/>
      <w:szCs w:val="18"/>
    </w:rPr>
  </w:style>
  <w:style w:type="character" w:styleId="1018">
    <w:name w:val="Caption Char"/>
    <w:basedOn w:val="1017"/>
    <w:link w:val="1015"/>
    <w:uiPriority w:val="99"/>
  </w:style>
  <w:style w:type="table" w:styleId="101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2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2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3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3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5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5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6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6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7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7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8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9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0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0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1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1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2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2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4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4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5">
    <w:name w:val="Hyperlink"/>
    <w:uiPriority w:val="99"/>
    <w:unhideWhenUsed/>
    <w:rPr>
      <w:color w:val="0000ff" w:themeColor="hyperlink"/>
      <w:u w:val="single"/>
    </w:rPr>
  </w:style>
  <w:style w:type="paragraph" w:styleId="1146">
    <w:name w:val="footnote text"/>
    <w:basedOn w:val="1163"/>
    <w:link w:val="1147"/>
    <w:uiPriority w:val="99"/>
    <w:semiHidden/>
    <w:unhideWhenUsed/>
    <w:pPr>
      <w:spacing w:after="40" w:line="240" w:lineRule="auto"/>
    </w:pPr>
    <w:rPr>
      <w:sz w:val="18"/>
    </w:rPr>
  </w:style>
  <w:style w:type="character" w:styleId="1147">
    <w:name w:val="Footnote Text Char"/>
    <w:link w:val="1146"/>
    <w:uiPriority w:val="99"/>
    <w:rPr>
      <w:sz w:val="18"/>
    </w:rPr>
  </w:style>
  <w:style w:type="character" w:styleId="1148">
    <w:name w:val="footnote reference"/>
    <w:uiPriority w:val="99"/>
    <w:unhideWhenUsed/>
    <w:rPr>
      <w:vertAlign w:val="superscript"/>
    </w:rPr>
  </w:style>
  <w:style w:type="paragraph" w:styleId="1149">
    <w:name w:val="endnote text"/>
    <w:basedOn w:val="1163"/>
    <w:link w:val="1150"/>
    <w:uiPriority w:val="99"/>
    <w:semiHidden/>
    <w:unhideWhenUsed/>
    <w:pPr>
      <w:spacing w:after="0" w:line="240" w:lineRule="auto"/>
    </w:pPr>
    <w:rPr>
      <w:sz w:val="20"/>
    </w:rPr>
  </w:style>
  <w:style w:type="character" w:styleId="1150">
    <w:name w:val="Endnote Text Char"/>
    <w:link w:val="1149"/>
    <w:uiPriority w:val="99"/>
    <w:rPr>
      <w:sz w:val="20"/>
    </w:rPr>
  </w:style>
  <w:style w:type="character" w:styleId="1151">
    <w:name w:val="endnote reference"/>
    <w:uiPriority w:val="99"/>
    <w:semiHidden/>
    <w:unhideWhenUsed/>
    <w:rPr>
      <w:vertAlign w:val="superscript"/>
    </w:rPr>
  </w:style>
  <w:style w:type="paragraph" w:styleId="1152">
    <w:name w:val="toc 1"/>
    <w:basedOn w:val="1163"/>
    <w:next w:val="1163"/>
    <w:uiPriority w:val="39"/>
    <w:unhideWhenUsed/>
    <w:pPr>
      <w:ind w:left="0" w:right="0" w:firstLine="0"/>
      <w:spacing w:after="57"/>
    </w:pPr>
  </w:style>
  <w:style w:type="paragraph" w:styleId="1153">
    <w:name w:val="toc 2"/>
    <w:basedOn w:val="1163"/>
    <w:next w:val="1163"/>
    <w:uiPriority w:val="39"/>
    <w:unhideWhenUsed/>
    <w:pPr>
      <w:ind w:left="283" w:right="0" w:firstLine="0"/>
      <w:spacing w:after="57"/>
    </w:pPr>
  </w:style>
  <w:style w:type="paragraph" w:styleId="1154">
    <w:name w:val="toc 3"/>
    <w:basedOn w:val="1163"/>
    <w:next w:val="1163"/>
    <w:uiPriority w:val="39"/>
    <w:unhideWhenUsed/>
    <w:pPr>
      <w:ind w:left="567" w:right="0" w:firstLine="0"/>
      <w:spacing w:after="57"/>
    </w:pPr>
  </w:style>
  <w:style w:type="paragraph" w:styleId="1155">
    <w:name w:val="toc 4"/>
    <w:basedOn w:val="1163"/>
    <w:next w:val="1163"/>
    <w:uiPriority w:val="39"/>
    <w:unhideWhenUsed/>
    <w:pPr>
      <w:ind w:left="850" w:right="0" w:firstLine="0"/>
      <w:spacing w:after="57"/>
    </w:pPr>
  </w:style>
  <w:style w:type="paragraph" w:styleId="1156">
    <w:name w:val="toc 5"/>
    <w:basedOn w:val="1163"/>
    <w:next w:val="1163"/>
    <w:uiPriority w:val="39"/>
    <w:unhideWhenUsed/>
    <w:pPr>
      <w:ind w:left="1134" w:right="0" w:firstLine="0"/>
      <w:spacing w:after="57"/>
    </w:pPr>
  </w:style>
  <w:style w:type="paragraph" w:styleId="1157">
    <w:name w:val="toc 6"/>
    <w:basedOn w:val="1163"/>
    <w:next w:val="1163"/>
    <w:uiPriority w:val="39"/>
    <w:unhideWhenUsed/>
    <w:pPr>
      <w:ind w:left="1417" w:right="0" w:firstLine="0"/>
      <w:spacing w:after="57"/>
    </w:pPr>
  </w:style>
  <w:style w:type="paragraph" w:styleId="1158">
    <w:name w:val="toc 7"/>
    <w:basedOn w:val="1163"/>
    <w:next w:val="1163"/>
    <w:uiPriority w:val="39"/>
    <w:unhideWhenUsed/>
    <w:pPr>
      <w:ind w:left="1701" w:right="0" w:firstLine="0"/>
      <w:spacing w:after="57"/>
    </w:pPr>
  </w:style>
  <w:style w:type="paragraph" w:styleId="1159">
    <w:name w:val="toc 8"/>
    <w:basedOn w:val="1163"/>
    <w:next w:val="1163"/>
    <w:uiPriority w:val="39"/>
    <w:unhideWhenUsed/>
    <w:pPr>
      <w:ind w:left="1984" w:right="0" w:firstLine="0"/>
      <w:spacing w:after="57"/>
    </w:pPr>
  </w:style>
  <w:style w:type="paragraph" w:styleId="1160">
    <w:name w:val="toc 9"/>
    <w:basedOn w:val="1163"/>
    <w:next w:val="1163"/>
    <w:uiPriority w:val="39"/>
    <w:unhideWhenUsed/>
    <w:pPr>
      <w:ind w:left="2268" w:right="0" w:firstLine="0"/>
      <w:spacing w:after="57"/>
    </w:pPr>
  </w:style>
  <w:style w:type="paragraph" w:styleId="1161">
    <w:name w:val="TOC Heading"/>
    <w:uiPriority w:val="39"/>
    <w:unhideWhenUsed/>
  </w:style>
  <w:style w:type="paragraph" w:styleId="1162">
    <w:name w:val="table of figures"/>
    <w:basedOn w:val="1163"/>
    <w:next w:val="1163"/>
    <w:uiPriority w:val="99"/>
    <w:unhideWhenUsed/>
    <w:pPr>
      <w:spacing w:after="0" w:afterAutospacing="0"/>
    </w:pPr>
  </w:style>
  <w:style w:type="paragraph" w:styleId="1163" w:default="1">
    <w:name w:val="Normal"/>
    <w:next w:val="1163"/>
    <w:link w:val="1163"/>
    <w:qFormat/>
    <w:rPr>
      <w:sz w:val="24"/>
      <w:szCs w:val="24"/>
      <w:lang w:val="ru-RU" w:eastAsia="ru-RU" w:bidi="ar-SA"/>
    </w:rPr>
  </w:style>
  <w:style w:type="paragraph" w:styleId="1164">
    <w:name w:val="Заголовок 1"/>
    <w:basedOn w:val="1163"/>
    <w:next w:val="1163"/>
    <w:link w:val="1163"/>
    <w:qFormat/>
    <w:pPr>
      <w:keepNext/>
      <w:spacing w:before="240" w:after="60"/>
      <w:outlineLvl w:val="0"/>
    </w:pPr>
    <w:rPr>
      <w:rFonts w:ascii="Arial" w:hAnsi="Arial" w:cs="Arial"/>
      <w:b/>
      <w:bCs/>
      <w:sz w:val="32"/>
      <w:szCs w:val="32"/>
    </w:rPr>
  </w:style>
  <w:style w:type="paragraph" w:styleId="1165">
    <w:name w:val="Заголовок 2"/>
    <w:basedOn w:val="1163"/>
    <w:next w:val="1163"/>
    <w:link w:val="1176"/>
    <w:qFormat/>
    <w:pPr>
      <w:jc w:val="both"/>
      <w:keepNext/>
      <w:spacing w:before="240" w:after="60"/>
      <w:outlineLvl w:val="1"/>
    </w:pPr>
    <w:rPr>
      <w:b/>
      <w:bCs/>
      <w:i/>
      <w:iCs/>
    </w:rPr>
  </w:style>
  <w:style w:type="paragraph" w:styleId="1166">
    <w:name w:val="Заголовок 3"/>
    <w:basedOn w:val="1163"/>
    <w:next w:val="1163"/>
    <w:link w:val="1177"/>
    <w:qFormat/>
    <w:pPr>
      <w:keepNext/>
      <w:spacing w:before="240" w:after="60"/>
      <w:outlineLvl w:val="2"/>
    </w:pPr>
    <w:rPr>
      <w:rFonts w:ascii="Cambria" w:hAnsi="Cambria"/>
      <w:b/>
      <w:bCs/>
      <w:sz w:val="26"/>
      <w:szCs w:val="26"/>
      <w:lang w:val="en-US" w:eastAsia="en-US"/>
    </w:rPr>
  </w:style>
  <w:style w:type="paragraph" w:styleId="1167">
    <w:name w:val="Заголовок 4"/>
    <w:basedOn w:val="1163"/>
    <w:next w:val="1163"/>
    <w:link w:val="1178"/>
    <w:qFormat/>
    <w:pPr>
      <w:jc w:val="center"/>
      <w:keepNext/>
      <w:outlineLvl w:val="3"/>
    </w:pPr>
    <w:rPr>
      <w:b/>
      <w:bCs/>
      <w:sz w:val="22"/>
      <w:szCs w:val="28"/>
      <w:lang w:val="en-US" w:eastAsia="en-US"/>
    </w:rPr>
  </w:style>
  <w:style w:type="paragraph" w:styleId="1168">
    <w:name w:val="Заголовок 5"/>
    <w:basedOn w:val="1163"/>
    <w:next w:val="1163"/>
    <w:link w:val="1217"/>
    <w:qFormat/>
    <w:pPr>
      <w:spacing w:before="240" w:after="60"/>
      <w:outlineLvl w:val="4"/>
    </w:pPr>
    <w:rPr>
      <w:b/>
      <w:bCs/>
      <w:i/>
      <w:iCs/>
      <w:sz w:val="26"/>
      <w:szCs w:val="26"/>
    </w:rPr>
  </w:style>
  <w:style w:type="paragraph" w:styleId="1169">
    <w:name w:val="Заголовок 6"/>
    <w:basedOn w:val="1163"/>
    <w:next w:val="1163"/>
    <w:link w:val="1220"/>
    <w:qFormat/>
    <w:pPr>
      <w:spacing w:before="240" w:after="60"/>
      <w:outlineLvl w:val="5"/>
    </w:pPr>
    <w:rPr>
      <w:rFonts w:eastAsia="Times New Roman" w:cs="Times New Roman"/>
      <w:b/>
      <w:bCs/>
      <w:szCs w:val="22"/>
    </w:rPr>
  </w:style>
  <w:style w:type="paragraph" w:styleId="1170">
    <w:name w:val="Заголовок 7"/>
    <w:basedOn w:val="1163"/>
    <w:next w:val="1163"/>
    <w:link w:val="1221"/>
    <w:qFormat/>
    <w:pPr>
      <w:spacing w:before="240" w:after="60"/>
      <w:outlineLvl w:val="6"/>
    </w:pPr>
    <w:rPr>
      <w:rFonts w:ascii="Calibri" w:hAnsi="Calibri" w:eastAsia="Times New Roman" w:cs="Times New Roman"/>
    </w:rPr>
  </w:style>
  <w:style w:type="paragraph" w:styleId="1171">
    <w:name w:val="Заголовок 8"/>
    <w:basedOn w:val="1163"/>
    <w:next w:val="1163"/>
    <w:link w:val="1163"/>
    <w:qFormat/>
    <w:pPr>
      <w:spacing w:before="240" w:after="60"/>
      <w:outlineLvl w:val="7"/>
    </w:pPr>
    <w:rPr>
      <w:i/>
      <w:iCs/>
    </w:rPr>
  </w:style>
  <w:style w:type="paragraph" w:styleId="1172">
    <w:name w:val="Заголовок 9"/>
    <w:basedOn w:val="1163"/>
    <w:next w:val="1163"/>
    <w:link w:val="1222"/>
    <w:qFormat/>
    <w:pPr>
      <w:spacing w:before="240" w:after="60"/>
      <w:outlineLvl w:val="8"/>
    </w:pPr>
    <w:rPr>
      <w:rFonts w:ascii="Calibri Light" w:hAnsi="Calibri Light" w:eastAsia="Times New Roman" w:cs="Times New Roman"/>
      <w:sz w:val="22"/>
      <w:szCs w:val="22"/>
    </w:rPr>
  </w:style>
  <w:style w:type="character" w:styleId="1173">
    <w:name w:val="Основной шрифт абзаца"/>
    <w:next w:val="1173"/>
    <w:link w:val="1163"/>
    <w:semiHidden/>
  </w:style>
  <w:style w:type="table" w:styleId="1174">
    <w:name w:val="Обычная таблица"/>
    <w:next w:val="1174"/>
    <w:link w:val="1163"/>
    <w:semiHidden/>
    <w:tblPr/>
  </w:style>
  <w:style w:type="numbering" w:styleId="1175">
    <w:name w:val="Нет списка"/>
    <w:next w:val="1175"/>
    <w:link w:val="1163"/>
    <w:uiPriority w:val="99"/>
    <w:semiHidden/>
  </w:style>
  <w:style w:type="character" w:styleId="1176">
    <w:name w:val="Заголовок 2 Знак"/>
    <w:next w:val="1176"/>
    <w:link w:val="1165"/>
    <w:rPr>
      <w:b/>
      <w:bCs/>
      <w:i/>
      <w:iCs/>
      <w:sz w:val="24"/>
      <w:szCs w:val="24"/>
    </w:rPr>
  </w:style>
  <w:style w:type="character" w:styleId="1177">
    <w:name w:val="Заголовок 3 Знак"/>
    <w:next w:val="1177"/>
    <w:link w:val="1166"/>
    <w:rPr>
      <w:rFonts w:ascii="Cambria" w:hAnsi="Cambria"/>
      <w:b/>
      <w:bCs/>
      <w:sz w:val="26"/>
      <w:szCs w:val="26"/>
      <w:lang w:val="en-US" w:eastAsia="en-US"/>
    </w:rPr>
  </w:style>
  <w:style w:type="character" w:styleId="1178">
    <w:name w:val="Заголовок 4 Знак"/>
    <w:next w:val="1178"/>
    <w:link w:val="1167"/>
    <w:rPr>
      <w:b/>
      <w:bCs/>
      <w:sz w:val="22"/>
      <w:szCs w:val="28"/>
      <w:lang w:val="en-US" w:eastAsia="en-US"/>
    </w:rPr>
  </w:style>
  <w:style w:type="paragraph" w:styleId="1179">
    <w:name w:val="Без интервала"/>
    <w:next w:val="1179"/>
    <w:link w:val="1180"/>
    <w:qFormat/>
    <w:rPr>
      <w:rFonts w:ascii="Calibri" w:hAnsi="Calibri"/>
      <w:sz w:val="22"/>
      <w:szCs w:val="22"/>
      <w:lang w:val="ru-RU" w:eastAsia="en-US" w:bidi="ar-SA"/>
    </w:rPr>
  </w:style>
  <w:style w:type="character" w:styleId="1180">
    <w:name w:val="Без интервала Знак"/>
    <w:next w:val="1180"/>
    <w:link w:val="1179"/>
    <w:rPr>
      <w:rFonts w:ascii="Calibri" w:hAnsi="Calibri"/>
      <w:sz w:val="22"/>
      <w:szCs w:val="22"/>
      <w:lang w:val="ru-RU" w:eastAsia="en-US" w:bidi="ar-SA"/>
    </w:rPr>
  </w:style>
  <w:style w:type="character" w:styleId="1181">
    <w:name w:val="Гиперссылка"/>
    <w:next w:val="1181"/>
    <w:link w:val="1163"/>
    <w:uiPriority w:val="99"/>
    <w:unhideWhenUsed/>
    <w:rPr>
      <w:rFonts w:ascii="Times New Roman" w:hAnsi="Times New Roman"/>
      <w:color w:val="0000ff"/>
      <w:sz w:val="24"/>
      <w:u w:val="none"/>
      <w:vertAlign w:val="baseline"/>
    </w:rPr>
  </w:style>
  <w:style w:type="paragraph" w:styleId="1182">
    <w:name w:val="Оглавление 2"/>
    <w:basedOn w:val="1163"/>
    <w:next w:val="1163"/>
    <w:link w:val="1163"/>
    <w:uiPriority w:val="39"/>
    <w:pPr>
      <w:ind w:left="240"/>
    </w:pPr>
    <w:rPr>
      <w:rFonts w:ascii="Calibri" w:hAnsi="Calibri"/>
      <w:smallCaps/>
      <w:sz w:val="20"/>
      <w:szCs w:val="20"/>
    </w:rPr>
  </w:style>
  <w:style w:type="paragraph" w:styleId="1183">
    <w:name w:val="Оглавление 1"/>
    <w:basedOn w:val="1163"/>
    <w:next w:val="1163"/>
    <w:link w:val="1163"/>
    <w:uiPriority w:val="39"/>
    <w:pPr>
      <w:spacing w:before="120" w:after="120"/>
    </w:pPr>
    <w:rPr>
      <w:bCs/>
      <w:caps/>
      <w:sz w:val="22"/>
      <w:szCs w:val="20"/>
    </w:rPr>
  </w:style>
  <w:style w:type="paragraph" w:styleId="1184">
    <w:name w:val="Верхний колонтитул"/>
    <w:basedOn w:val="1163"/>
    <w:next w:val="1184"/>
    <w:link w:val="1185"/>
    <w:uiPriority w:val="99"/>
    <w:pPr>
      <w:tabs>
        <w:tab w:val="center" w:pos="4677" w:leader="none"/>
        <w:tab w:val="right" w:pos="9355" w:leader="none"/>
      </w:tabs>
    </w:pPr>
    <w:rPr>
      <w:lang w:val="en-US" w:eastAsia="en-US"/>
    </w:rPr>
  </w:style>
  <w:style w:type="character" w:styleId="1185">
    <w:name w:val="Верхний колонтитул Знак"/>
    <w:next w:val="1185"/>
    <w:link w:val="1184"/>
    <w:uiPriority w:val="99"/>
    <w:rPr>
      <w:sz w:val="24"/>
      <w:szCs w:val="24"/>
    </w:rPr>
  </w:style>
  <w:style w:type="paragraph" w:styleId="1186">
    <w:name w:val="Основной текст,Основной текст_отчет,bt"/>
    <w:basedOn w:val="1163"/>
    <w:next w:val="1186"/>
    <w:link w:val="1187"/>
    <w:rPr>
      <w:b/>
      <w:bCs/>
      <w:lang w:val="en-US" w:eastAsia="en-US"/>
    </w:rPr>
  </w:style>
  <w:style w:type="character" w:styleId="1187">
    <w:name w:val="Основной текст Знак,Основной текст_отчет Знак,bt Знак"/>
    <w:next w:val="1187"/>
    <w:link w:val="1186"/>
    <w:rPr>
      <w:b/>
      <w:bCs/>
      <w:sz w:val="24"/>
      <w:szCs w:val="24"/>
    </w:rPr>
  </w:style>
  <w:style w:type="paragraph" w:styleId="1188">
    <w:name w:val="Цитата"/>
    <w:basedOn w:val="1163"/>
    <w:next w:val="1188"/>
    <w:link w:val="1163"/>
    <w:pPr>
      <w:ind w:left="-108" w:right="-108"/>
      <w:jc w:val="center"/>
    </w:pPr>
    <w:rPr>
      <w:b/>
      <w:bCs/>
    </w:rPr>
  </w:style>
  <w:style w:type="paragraph" w:styleId="118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3"/>
    <w:next w:val="1189"/>
    <w:link w:val="1190"/>
    <w:pPr>
      <w:jc w:val="both"/>
    </w:pPr>
    <w:rPr>
      <w:b/>
      <w:bCs/>
      <w:lang w:val="en-US" w:eastAsia="en-US"/>
    </w:rPr>
  </w:style>
  <w:style w:type="character" w:styleId="1190">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90"/>
    <w:link w:val="1189"/>
    <w:rPr>
      <w:b/>
      <w:bCs/>
      <w:sz w:val="24"/>
      <w:szCs w:val="24"/>
    </w:rPr>
  </w:style>
  <w:style w:type="paragraph" w:styleId="1191">
    <w:name w:val="Основной текст с отступом 2"/>
    <w:basedOn w:val="1163"/>
    <w:next w:val="1191"/>
    <w:link w:val="1206"/>
    <w:pPr>
      <w:ind w:firstLine="708"/>
      <w:jc w:val="both"/>
    </w:pPr>
    <w:rPr>
      <w:sz w:val="22"/>
      <w:szCs w:val="22"/>
      <w:lang w:val="en-US" w:eastAsia="en-US"/>
    </w:rPr>
  </w:style>
  <w:style w:type="paragraph" w:styleId="11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3"/>
    <w:next w:val="1192"/>
    <w:link w:val="1207"/>
    <w:qFormat/>
    <w:rPr>
      <w:sz w:val="20"/>
      <w:szCs w:val="20"/>
    </w:rPr>
  </w:style>
  <w:style w:type="paragraph" w:styleId="1193">
    <w:name w:val="Основной текст с отступом 3"/>
    <w:basedOn w:val="1163"/>
    <w:next w:val="1193"/>
    <w:link w:val="1163"/>
    <w:pPr>
      <w:ind w:left="283"/>
      <w:spacing w:after="120"/>
    </w:pPr>
    <w:rPr>
      <w:sz w:val="16"/>
      <w:szCs w:val="16"/>
    </w:rPr>
  </w:style>
  <w:style w:type="paragraph" w:styleId="1194">
    <w:name w:val="Основной текст 2"/>
    <w:basedOn w:val="1163"/>
    <w:next w:val="1194"/>
    <w:link w:val="1163"/>
    <w:pPr>
      <w:jc w:val="both"/>
      <w:spacing w:before="120" w:after="120"/>
    </w:pPr>
  </w:style>
  <w:style w:type="character" w:styleId="119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95"/>
    <w:link w:val="1163"/>
    <w:qFormat/>
    <w:rPr>
      <w:vertAlign w:val="superscript"/>
    </w:rPr>
  </w:style>
  <w:style w:type="paragraph" w:styleId="1196">
    <w:name w:val="Текст выноски"/>
    <w:basedOn w:val="1163"/>
    <w:next w:val="1196"/>
    <w:link w:val="1212"/>
    <w:uiPriority w:val="99"/>
    <w:semiHidden/>
    <w:rPr>
      <w:rFonts w:ascii="Tahoma" w:hAnsi="Tahoma" w:cs="Tahoma"/>
      <w:sz w:val="16"/>
      <w:szCs w:val="16"/>
    </w:rPr>
  </w:style>
  <w:style w:type="paragraph" w:styleId="1197">
    <w:name w:val="Нижний колонтитул"/>
    <w:basedOn w:val="1163"/>
    <w:next w:val="1197"/>
    <w:link w:val="1198"/>
    <w:uiPriority w:val="99"/>
    <w:pPr>
      <w:tabs>
        <w:tab w:val="center" w:pos="4677" w:leader="none"/>
        <w:tab w:val="right" w:pos="9355" w:leader="none"/>
      </w:tabs>
    </w:pPr>
    <w:rPr>
      <w:lang w:val="en-US" w:eastAsia="en-US"/>
    </w:rPr>
  </w:style>
  <w:style w:type="character" w:styleId="1198">
    <w:name w:val="Нижний колонтитул Знак"/>
    <w:next w:val="1198"/>
    <w:link w:val="1197"/>
    <w:uiPriority w:val="99"/>
    <w:rPr>
      <w:sz w:val="24"/>
      <w:szCs w:val="24"/>
    </w:rPr>
  </w:style>
  <w:style w:type="paragraph" w:styleId="1199">
    <w:name w:val="Оглавление 3"/>
    <w:basedOn w:val="1163"/>
    <w:next w:val="1163"/>
    <w:link w:val="1163"/>
    <w:semiHidden/>
    <w:pPr>
      <w:ind w:left="480"/>
    </w:pPr>
    <w:rPr>
      <w:rFonts w:ascii="Calibri" w:hAnsi="Calibri"/>
      <w:i/>
      <w:iCs/>
      <w:sz w:val="20"/>
      <w:szCs w:val="20"/>
    </w:rPr>
  </w:style>
  <w:style w:type="paragraph" w:styleId="1200">
    <w:name w:val="Оглавление 4"/>
    <w:basedOn w:val="1163"/>
    <w:next w:val="1163"/>
    <w:link w:val="1163"/>
    <w:semiHidden/>
    <w:pPr>
      <w:ind w:left="720"/>
    </w:pPr>
    <w:rPr>
      <w:rFonts w:ascii="Calibri" w:hAnsi="Calibri"/>
      <w:sz w:val="18"/>
      <w:szCs w:val="18"/>
    </w:rPr>
  </w:style>
  <w:style w:type="paragraph" w:styleId="1201">
    <w:name w:val="Оглавление 5"/>
    <w:basedOn w:val="1163"/>
    <w:next w:val="1163"/>
    <w:link w:val="1163"/>
    <w:semiHidden/>
    <w:pPr>
      <w:ind w:left="960"/>
    </w:pPr>
    <w:rPr>
      <w:rFonts w:ascii="Calibri" w:hAnsi="Calibri"/>
      <w:sz w:val="18"/>
      <w:szCs w:val="18"/>
    </w:rPr>
  </w:style>
  <w:style w:type="paragraph" w:styleId="1202">
    <w:name w:val="Оглавление 6"/>
    <w:basedOn w:val="1163"/>
    <w:next w:val="1163"/>
    <w:link w:val="1163"/>
    <w:semiHidden/>
    <w:pPr>
      <w:ind w:left="1200"/>
    </w:pPr>
    <w:rPr>
      <w:rFonts w:ascii="Calibri" w:hAnsi="Calibri"/>
      <w:sz w:val="18"/>
      <w:szCs w:val="18"/>
    </w:rPr>
  </w:style>
  <w:style w:type="paragraph" w:styleId="1203">
    <w:name w:val="Оглавление 7"/>
    <w:basedOn w:val="1163"/>
    <w:next w:val="1163"/>
    <w:link w:val="1163"/>
    <w:semiHidden/>
    <w:pPr>
      <w:ind w:left="1440"/>
    </w:pPr>
    <w:rPr>
      <w:rFonts w:ascii="Calibri" w:hAnsi="Calibri"/>
      <w:sz w:val="18"/>
      <w:szCs w:val="18"/>
    </w:rPr>
  </w:style>
  <w:style w:type="paragraph" w:styleId="1204">
    <w:name w:val="Оглавление 8"/>
    <w:basedOn w:val="1163"/>
    <w:next w:val="1163"/>
    <w:link w:val="1163"/>
    <w:semiHidden/>
    <w:pPr>
      <w:ind w:left="1680"/>
    </w:pPr>
    <w:rPr>
      <w:rFonts w:ascii="Calibri" w:hAnsi="Calibri"/>
      <w:sz w:val="18"/>
      <w:szCs w:val="18"/>
    </w:rPr>
  </w:style>
  <w:style w:type="paragraph" w:styleId="1205">
    <w:name w:val="Оглавление 9"/>
    <w:basedOn w:val="1163"/>
    <w:next w:val="1163"/>
    <w:link w:val="1163"/>
    <w:semiHidden/>
    <w:pPr>
      <w:ind w:left="1920"/>
    </w:pPr>
    <w:rPr>
      <w:rFonts w:ascii="Calibri" w:hAnsi="Calibri"/>
      <w:sz w:val="18"/>
      <w:szCs w:val="18"/>
    </w:rPr>
  </w:style>
  <w:style w:type="character" w:styleId="1206">
    <w:name w:val="Основной текст с отступом 2 Знак"/>
    <w:next w:val="1206"/>
    <w:link w:val="1191"/>
    <w:rPr>
      <w:sz w:val="22"/>
      <w:szCs w:val="22"/>
    </w:rPr>
  </w:style>
  <w:style w:type="character" w:styleId="120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7"/>
    <w:link w:val="1192"/>
  </w:style>
  <w:style w:type="paragraph" w:styleId="1208">
    <w:name w:val="Нормальный"/>
    <w:next w:val="1208"/>
    <w:link w:val="1163"/>
    <w:rPr>
      <w:rFonts w:ascii="TimesET" w:hAnsi="TimesET" w:cs="TimesET"/>
      <w:b/>
      <w:bCs/>
      <w:i/>
      <w:iCs/>
      <w:smallCaps/>
      <w:sz w:val="24"/>
      <w:szCs w:val="24"/>
      <w:lang w:val="ru-RU" w:eastAsia="ru-RU" w:bidi="ar-SA"/>
    </w:rPr>
  </w:style>
  <w:style w:type="paragraph" w:styleId="1209">
    <w:name w:val="Default"/>
    <w:next w:val="1209"/>
    <w:link w:val="1163"/>
    <w:rPr>
      <w:rFonts w:eastAsia="Calibri"/>
      <w:color w:val="000000"/>
      <w:sz w:val="24"/>
      <w:szCs w:val="24"/>
      <w:lang w:val="ru-RU" w:eastAsia="ru-RU" w:bidi="ar-SA"/>
    </w:rPr>
  </w:style>
  <w:style w:type="numbering" w:styleId="1210">
    <w:name w:val="Нет списка1"/>
    <w:next w:val="1175"/>
    <w:link w:val="1163"/>
    <w:uiPriority w:val="99"/>
    <w:semiHidden/>
    <w:unhideWhenUsed/>
  </w:style>
  <w:style w:type="paragraph" w:styleId="1211">
    <w:name w:val="Абзац списка"/>
    <w:basedOn w:val="1163"/>
    <w:next w:val="1211"/>
    <w:link w:val="1163"/>
    <w:uiPriority w:val="34"/>
    <w:qFormat/>
    <w:pPr>
      <w:contextualSpacing/>
      <w:ind w:left="720"/>
      <w:spacing w:after="200" w:line="276" w:lineRule="auto"/>
    </w:pPr>
    <w:rPr>
      <w:rFonts w:ascii="Calibri" w:hAnsi="Calibri" w:eastAsia="Calibri"/>
      <w:sz w:val="22"/>
      <w:szCs w:val="22"/>
      <w:lang w:eastAsia="en-US"/>
    </w:rPr>
  </w:style>
  <w:style w:type="character" w:styleId="1212">
    <w:name w:val="Текст выноски Знак"/>
    <w:next w:val="1212"/>
    <w:link w:val="1196"/>
    <w:uiPriority w:val="99"/>
    <w:semiHidden/>
    <w:rPr>
      <w:rFonts w:ascii="Tahoma" w:hAnsi="Tahoma" w:cs="Tahoma"/>
      <w:sz w:val="16"/>
      <w:szCs w:val="16"/>
    </w:rPr>
  </w:style>
  <w:style w:type="paragraph" w:styleId="1213">
    <w:name w:val="Заголовок"/>
    <w:basedOn w:val="1163"/>
    <w:next w:val="1163"/>
    <w:link w:val="1214"/>
    <w:qFormat/>
    <w:pPr>
      <w:jc w:val="center"/>
      <w:spacing w:before="240" w:after="60"/>
      <w:outlineLvl w:val="0"/>
    </w:pPr>
    <w:rPr>
      <w:rFonts w:ascii="Calibri Light" w:hAnsi="Calibri Light" w:eastAsia="Times New Roman" w:cs="Times New Roman"/>
      <w:b/>
      <w:bCs/>
      <w:sz w:val="32"/>
      <w:szCs w:val="32"/>
    </w:rPr>
  </w:style>
  <w:style w:type="character" w:styleId="1214">
    <w:name w:val="Заголовок Знак"/>
    <w:next w:val="1214"/>
    <w:link w:val="1213"/>
    <w:rPr>
      <w:rFonts w:ascii="Calibri Light" w:hAnsi="Calibri Light" w:eastAsia="Times New Roman" w:cs="Times New Roman"/>
      <w:b/>
      <w:bCs/>
      <w:sz w:val="32"/>
      <w:szCs w:val="32"/>
    </w:rPr>
  </w:style>
  <w:style w:type="paragraph" w:styleId="1215">
    <w:name w:val="Подзаголовок"/>
    <w:basedOn w:val="1163"/>
    <w:next w:val="1163"/>
    <w:link w:val="1216"/>
    <w:qFormat/>
    <w:pPr>
      <w:jc w:val="center"/>
      <w:spacing w:after="60"/>
      <w:outlineLvl w:val="1"/>
    </w:pPr>
    <w:rPr>
      <w:rFonts w:ascii="Calibri Light" w:hAnsi="Calibri Light" w:eastAsia="Times New Roman" w:cs="Times New Roman"/>
    </w:rPr>
  </w:style>
  <w:style w:type="character" w:styleId="1216">
    <w:name w:val="Подзаголовок Знак"/>
    <w:next w:val="1216"/>
    <w:link w:val="1215"/>
    <w:rPr>
      <w:rFonts w:ascii="Calibri Light" w:hAnsi="Calibri Light" w:eastAsia="Times New Roman" w:cs="Times New Roman"/>
      <w:sz w:val="24"/>
      <w:szCs w:val="24"/>
    </w:rPr>
  </w:style>
  <w:style w:type="character" w:styleId="1217">
    <w:name w:val="Заголовок 5 Знак"/>
    <w:next w:val="1217"/>
    <w:link w:val="1168"/>
    <w:rPr>
      <w:b/>
      <w:bCs/>
      <w:i/>
      <w:iCs/>
      <w:sz w:val="26"/>
      <w:szCs w:val="26"/>
    </w:rPr>
  </w:style>
  <w:style w:type="paragraph" w:styleId="1218">
    <w:name w:val="msonormal"/>
    <w:basedOn w:val="1163"/>
    <w:next w:val="1218"/>
    <w:link w:val="1163"/>
    <w:pPr>
      <w:spacing w:before="100" w:beforeAutospacing="1" w:after="100" w:afterAutospacing="1"/>
    </w:pPr>
  </w:style>
  <w:style w:type="character" w:styleId="1219">
    <w:name w:val="Выделение"/>
    <w:next w:val="1219"/>
    <w:link w:val="1163"/>
    <w:qFormat/>
    <w:rPr>
      <w:i/>
      <w:iCs/>
    </w:rPr>
  </w:style>
  <w:style w:type="character" w:styleId="1220">
    <w:name w:val="Заголовок 6 Знак"/>
    <w:next w:val="1220"/>
    <w:link w:val="1169"/>
    <w:rPr>
      <w:b/>
      <w:bCs/>
      <w:sz w:val="24"/>
      <w:szCs w:val="22"/>
    </w:rPr>
  </w:style>
  <w:style w:type="character" w:styleId="1221">
    <w:name w:val="Заголовок 7 Знак"/>
    <w:next w:val="1221"/>
    <w:link w:val="1170"/>
    <w:rPr>
      <w:rFonts w:ascii="Calibri" w:hAnsi="Calibri"/>
      <w:sz w:val="24"/>
      <w:szCs w:val="24"/>
    </w:rPr>
  </w:style>
  <w:style w:type="character" w:styleId="1222">
    <w:name w:val="Заголовок 9 Знак"/>
    <w:next w:val="1222"/>
    <w:link w:val="1172"/>
    <w:rPr>
      <w:rFonts w:ascii="Calibri Light" w:hAnsi="Calibri Light"/>
      <w:sz w:val="22"/>
      <w:szCs w:val="22"/>
    </w:rPr>
  </w:style>
  <w:style w:type="character" w:styleId="1223">
    <w:name w:val="Знак примечания"/>
    <w:next w:val="1223"/>
    <w:link w:val="1163"/>
    <w:rPr>
      <w:sz w:val="16"/>
      <w:szCs w:val="16"/>
    </w:rPr>
  </w:style>
  <w:style w:type="paragraph" w:styleId="1224">
    <w:name w:val="Текст примечания"/>
    <w:basedOn w:val="1163"/>
    <w:next w:val="1224"/>
    <w:link w:val="1225"/>
    <w:rPr>
      <w:sz w:val="20"/>
      <w:szCs w:val="20"/>
    </w:rPr>
  </w:style>
  <w:style w:type="character" w:styleId="1225">
    <w:name w:val="Текст примечания Знак"/>
    <w:basedOn w:val="1173"/>
    <w:next w:val="1225"/>
    <w:link w:val="1224"/>
  </w:style>
  <w:style w:type="paragraph" w:styleId="1226">
    <w:name w:val="Тема примечания"/>
    <w:basedOn w:val="1224"/>
    <w:next w:val="1224"/>
    <w:link w:val="1227"/>
    <w:rPr>
      <w:b/>
      <w:bCs/>
    </w:rPr>
  </w:style>
  <w:style w:type="character" w:styleId="1227">
    <w:name w:val="Тема примечания Знак"/>
    <w:next w:val="1227"/>
    <w:link w:val="1226"/>
    <w:rPr>
      <w:b/>
      <w:bCs/>
    </w:rPr>
  </w:style>
  <w:style w:type="numbering" w:styleId="1228">
    <w:name w:val="Нет списка2"/>
    <w:next w:val="1175"/>
    <w:link w:val="1163"/>
    <w:uiPriority w:val="99"/>
    <w:semiHidden/>
    <w:unhideWhenUsed/>
  </w:style>
  <w:style w:type="character" w:styleId="1229">
    <w:name w:val="Просмотренная гиперссылка"/>
    <w:next w:val="1229"/>
    <w:link w:val="1163"/>
    <w:rPr>
      <w:color w:val="954f72"/>
      <w:u w:val="single"/>
    </w:rPr>
  </w:style>
  <w:style w:type="character" w:styleId="123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30"/>
    <w:link w:val="1163"/>
    <w:qFormat/>
    <w:rPr>
      <w:rFonts w:ascii="Times New Roman" w:hAnsi="Times New Roman" w:cs="Times New Roman"/>
      <w:vertAlign w:val="superscript"/>
    </w:rPr>
  </w:style>
  <w:style w:type="paragraph" w:styleId="123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63"/>
    <w:next w:val="1231"/>
    <w:link w:val="1232"/>
    <w:qFormat/>
    <w:rPr>
      <w:sz w:val="20"/>
      <w:szCs w:val="20"/>
      <w:lang w:val="en-US"/>
    </w:rPr>
  </w:style>
  <w:style w:type="character" w:styleId="1232">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232"/>
    <w:link w:val="1231"/>
    <w:rPr>
      <w:lang w:val="en-US"/>
    </w:rPr>
  </w:style>
  <w:style w:type="character" w:styleId="1233" w:default="1">
    <w:name w:val="Default Paragraph Font"/>
    <w:uiPriority w:val="1"/>
    <w:semiHidden/>
    <w:unhideWhenUsed/>
  </w:style>
  <w:style w:type="numbering" w:styleId="1234" w:default="1">
    <w:name w:val="No List"/>
    <w:uiPriority w:val="99"/>
    <w:semiHidden/>
    <w:unhideWhenUsed/>
  </w:style>
  <w:style w:type="table" w:styleId="123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93</cp:revision>
  <dcterms:created xsi:type="dcterms:W3CDTF">2024-06-03T11:04:00Z</dcterms:created>
  <dcterms:modified xsi:type="dcterms:W3CDTF">2025-12-29T09:46:19Z</dcterms:modified>
  <cp:version>1048576</cp:version>
</cp:coreProperties>
</file>