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1010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101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10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1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0</w:t>
            </w:r>
            <w:r>
              <w:rPr>
                <w:bCs/>
                <w:sz w:val="32"/>
                <w:szCs w:val="32"/>
                <w:lang w:val="en-US"/>
              </w:rPr>
              <w:t xml:space="preserve">1</w:t>
            </w:r>
            <w:r>
              <w:rPr>
                <w:bCs/>
                <w:sz w:val="32"/>
                <w:szCs w:val="32"/>
              </w:rPr>
              <w:t xml:space="preserve">.0</w:t>
            </w:r>
            <w:r>
              <w:rPr>
                <w:bCs/>
                <w:sz w:val="32"/>
                <w:szCs w:val="32"/>
                <w:lang w:val="en-US"/>
              </w:rPr>
              <w:t xml:space="preserve">8</w:t>
            </w:r>
            <w:r>
              <w:rPr>
                <w:bCs/>
                <w:sz w:val="32"/>
                <w:szCs w:val="32"/>
              </w:rPr>
              <w:t xml:space="preserve">.2024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61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51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51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51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51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51"/>
          </w:rPr>
          <w:t xml:space="preserve">5. Документ</w:t>
        </w:r>
        <w:r>
          <w:rPr>
            <w:rStyle w:val="1151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51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51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51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51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51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51"/>
          </w:rPr>
          <w:t xml:space="preserve">11. Операции по покупке-продаже и</w:t>
        </w:r>
        <w:r>
          <w:rPr>
            <w:rStyle w:val="1151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51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51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51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51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51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61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51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51"/>
          </w:rPr>
          <w:t xml:space="preserve">С</w:t>
        </w:r>
        <w:bookmarkEnd w:id="0"/>
        <w:r>
          <w:rPr>
            <w:rStyle w:val="1151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61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77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</w:t>
            </w:r>
            <w:r>
              <w:rPr>
                <w:sz w:val="20"/>
                <w:szCs w:val="20"/>
              </w:rPr>
              <w:t xml:space="preserve">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</w:t>
            </w:r>
            <w:r>
              <w:rPr>
                <w:sz w:val="20"/>
                <w:szCs w:val="20"/>
              </w:rPr>
              <w:t xml:space="preserve">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</w:t>
            </w:r>
            <w:r>
              <w:rPr>
                <w:sz w:val="20"/>
                <w:szCs w:val="20"/>
              </w:rPr>
              <w:t xml:space="preserve">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</w:t>
            </w:r>
            <w:r>
              <w:rPr>
                <w:sz w:val="20"/>
                <w:szCs w:val="20"/>
              </w:rPr>
              <w:t xml:space="preserve">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</w:t>
            </w:r>
            <w:r>
              <w:rPr>
                <w:sz w:val="20"/>
                <w:szCs w:val="20"/>
              </w:rPr>
              <w:t xml:space="preserve">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</w:t>
            </w:r>
            <w:r>
              <w:rPr>
                <w:sz w:val="20"/>
                <w:szCs w:val="20"/>
              </w:rPr>
              <w:t xml:space="preserve">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</w:t>
            </w:r>
            <w:r>
              <w:rPr>
                <w:sz w:val="20"/>
                <w:szCs w:val="20"/>
              </w:rPr>
              <w:t xml:space="preserve">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</w:t>
            </w:r>
            <w:r>
              <w:rPr>
                <w:sz w:val="20"/>
                <w:szCs w:val="20"/>
              </w:rPr>
              <w:t xml:space="preserve">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</w:t>
            </w:r>
            <w:r>
              <w:rPr>
                <w:sz w:val="20"/>
                <w:szCs w:val="20"/>
              </w:rPr>
              <w:t xml:space="preserve">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</w:t>
            </w:r>
            <w:r>
              <w:rPr>
                <w:sz w:val="20"/>
                <w:szCs w:val="20"/>
              </w:rPr>
              <w:t xml:space="preserve">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</w:t>
            </w:r>
            <w:r>
              <w:rPr>
                <w:sz w:val="20"/>
                <w:szCs w:val="20"/>
              </w:rPr>
              <w:t xml:space="preserve">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 xml:space="preserve">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</w:t>
            </w:r>
            <w:r>
              <w:rPr>
                <w:sz w:val="20"/>
                <w:szCs w:val="20"/>
              </w:rPr>
              <w:t xml:space="preserve">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</w:t>
            </w:r>
            <w:r>
              <w:rPr>
                <w:sz w:val="20"/>
                <w:szCs w:val="20"/>
              </w:rPr>
              <w:t xml:space="preserve">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</w:t>
            </w:r>
            <w:r>
              <w:rPr>
                <w:sz w:val="20"/>
                <w:szCs w:val="20"/>
              </w:rPr>
              <w:t xml:space="preserve">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sz w:val="20"/>
                <w:szCs w:val="20"/>
              </w:rPr>
              <w:t xml:space="preserve">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</w:t>
            </w:r>
            <w:r>
              <w:rPr>
                <w:sz w:val="20"/>
                <w:szCs w:val="20"/>
              </w:rPr>
              <w:t xml:space="preserve">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 «Свой бизнес» на дату взимания комиссионного вознаграждения</w:t>
            </w:r>
            <w:r>
              <w:rPr>
                <w:sz w:val="20"/>
                <w:szCs w:val="20"/>
              </w:rPr>
              <w:t xml:space="preserve">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pStyle w:val="973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73"/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Начиная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четвертого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1.2.3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.1 Тарифов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но не более остатка на счете при условии отсутствия в Банке на дату взимания комиссии преду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смотренных законодательством Российской Федерации действу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</w:t>
            </w:r>
            <w:r>
              <w:rPr>
                <w:sz w:val="20"/>
                <w:szCs w:val="20"/>
              </w:rPr>
              <w:t xml:space="preserve">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</w:t>
            </w:r>
            <w:r>
              <w:rPr>
                <w:sz w:val="20"/>
                <w:szCs w:val="20"/>
              </w:rPr>
              <w:t xml:space="preserve">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</w:t>
            </w:r>
            <w:r>
              <w:rPr>
                <w:sz w:val="20"/>
                <w:szCs w:val="20"/>
              </w:rPr>
              <w:t xml:space="preserve">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</w:t>
            </w:r>
            <w:r>
              <w:rPr>
                <w:sz w:val="20"/>
                <w:szCs w:val="20"/>
              </w:rPr>
              <w:t xml:space="preserve">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</w:t>
            </w:r>
            <w:r>
              <w:rPr>
                <w:sz w:val="20"/>
                <w:szCs w:val="20"/>
              </w:rPr>
              <w:t xml:space="preserve">изводится расчет совокупного </w:t>
            </w:r>
            <w:r>
              <w:rPr>
                <w:sz w:val="20"/>
                <w:szCs w:val="20"/>
              </w:rPr>
              <w:t xml:space="preserve">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pStyle w:val="973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73"/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Начиная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четвертого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1.2.3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Тарифов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но не более остатка на счете при условии отсутствия в Банке на дату взимания комиссии преду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смотренных законодательством Российской Федерации действу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pStyle w:val="973"/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73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Начиная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четвертого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1.2.3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.3 Тарифов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но не более остатка на счете при условии отсутствия в Банке на дату взимания комиссии преду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смотренных законодательством Российской Федерации действу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sz w:val="20"/>
                <w:szCs w:val="20"/>
              </w:rPr>
              <w:t xml:space="preserve">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</w:t>
            </w:r>
            <w:r>
              <w:rPr>
                <w:sz w:val="20"/>
                <w:szCs w:val="20"/>
              </w:rPr>
              <w:t xml:space="preserve">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</w:t>
            </w:r>
            <w:r>
              <w:rPr>
                <w:sz w:val="20"/>
                <w:szCs w:val="20"/>
              </w:rPr>
              <w:t xml:space="preserve">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</w:t>
            </w:r>
            <w:r>
              <w:rPr>
                <w:sz w:val="20"/>
                <w:szCs w:val="20"/>
              </w:rPr>
              <w:t xml:space="preserve">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</w:t>
            </w:r>
            <w:r>
              <w:rPr>
                <w:sz w:val="20"/>
                <w:szCs w:val="20"/>
              </w:rPr>
              <w:t xml:space="preserve">вознаграждения услуга не оказывается, если иное не предусмотрено договорами и (и</w:t>
            </w:r>
            <w:r>
              <w:rPr>
                <w:sz w:val="20"/>
                <w:szCs w:val="20"/>
              </w:rPr>
              <w:t xml:space="preserve">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i/>
          <w:sz w:val="16"/>
          <w:szCs w:val="16"/>
        </w:rPr>
        <w:t xml:space="preserve">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 xml:space="preserve">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77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</w:t>
            </w:r>
            <w:r>
              <w:rPr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</w:t>
            </w:r>
            <w:r>
              <w:rPr>
                <w:sz w:val="20"/>
                <w:szCs w:val="20"/>
              </w:rPr>
              <w:t xml:space="preserve"> в интервал </w:t>
            </w:r>
            <w:r>
              <w:rPr>
                <w:sz w:val="20"/>
                <w:szCs w:val="20"/>
              </w:rPr>
              <w:t xml:space="preserve">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п</w:t>
            </w:r>
            <w:r>
              <w:rPr>
                <w:sz w:val="20"/>
                <w:szCs w:val="20"/>
              </w:rPr>
              <w:t xml:space="preserve">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</w:t>
            </w:r>
            <w:r>
              <w:rPr>
                <w:sz w:val="20"/>
                <w:szCs w:val="20"/>
              </w:rPr>
              <w:t xml:space="preserve">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м</w:t>
            </w:r>
            <w:r>
              <w:rPr>
                <w:sz w:val="20"/>
                <w:szCs w:val="20"/>
              </w:rPr>
              <w:t xml:space="preserve">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</w:t>
            </w:r>
            <w:r>
              <w:rPr>
                <w:sz w:val="20"/>
                <w:szCs w:val="20"/>
              </w:rPr>
              <w:t xml:space="preserve">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</w:t>
            </w:r>
            <w:r>
              <w:rPr>
                <w:sz w:val="20"/>
                <w:szCs w:val="20"/>
              </w:rPr>
              <w:t xml:space="preserve">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</w:t>
            </w:r>
            <w:r>
              <w:rPr>
                <w:sz w:val="20"/>
                <w:szCs w:val="20"/>
              </w:rPr>
              <w:t xml:space="preserve">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</w:t>
            </w: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77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максимум 80 000 </w:t>
            </w:r>
            <w:r>
              <w:rPr>
                <w:sz w:val="20"/>
                <w:szCs w:val="20"/>
              </w:rPr>
              <w:t xml:space="preserve">руб.</w:t>
            </w:r>
            <w: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</w:t>
            </w:r>
            <w:r>
              <w:rPr>
                <w:sz w:val="20"/>
                <w:szCs w:val="20"/>
              </w:rPr>
              <w:t xml:space="preserve">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</w:t>
            </w:r>
            <w:r>
              <w:rPr>
                <w:sz w:val="20"/>
                <w:szCs w:val="20"/>
              </w:rPr>
              <w:t xml:space="preserve">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 xml:space="preserve">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</w:t>
            </w:r>
            <w:r>
              <w:rPr>
                <w:sz w:val="20"/>
                <w:szCs w:val="20"/>
              </w:rPr>
              <w:t xml:space="preserve">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</w:t>
            </w:r>
            <w:r>
              <w:rPr>
                <w:sz w:val="20"/>
                <w:szCs w:val="20"/>
              </w:rPr>
              <w:t xml:space="preserve">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</w:t>
            </w:r>
            <w:r>
              <w:rPr>
                <w:sz w:val="20"/>
                <w:szCs w:val="20"/>
              </w:rPr>
              <w:t xml:space="preserve">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</w:t>
            </w:r>
            <w:r>
              <w:rPr>
                <w:sz w:val="20"/>
                <w:szCs w:val="20"/>
              </w:rPr>
              <w:t xml:space="preserve">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t xml:space="preserve">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</w:t>
            </w:r>
            <w:r>
              <w:rPr>
                <w:sz w:val="20"/>
                <w:szCs w:val="20"/>
              </w:rPr>
              <w:t xml:space="preserve">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</w:t>
            </w:r>
            <w:r>
              <w:rPr>
                <w:sz w:val="20"/>
                <w:szCs w:val="20"/>
              </w:rPr>
              <w:t xml:space="preserve">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</w:t>
            </w:r>
            <w:r>
              <w:rPr>
                <w:sz w:val="20"/>
                <w:szCs w:val="20"/>
              </w:rPr>
              <w:t xml:space="preserve">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</w:t>
            </w:r>
            <w:r>
              <w:rPr>
                <w:sz w:val="20"/>
                <w:szCs w:val="20"/>
              </w:rPr>
              <w:t xml:space="preserve">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</w:t>
            </w:r>
            <w:r>
              <w:rPr>
                <w:sz w:val="20"/>
                <w:szCs w:val="20"/>
              </w:rPr>
              <w:t xml:space="preserve">также в бан</w:t>
            </w:r>
            <w:r>
              <w:rPr>
                <w:sz w:val="20"/>
                <w:szCs w:val="20"/>
              </w:rPr>
              <w:t xml:space="preserve">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</w:t>
            </w:r>
            <w:r>
              <w:rPr>
                <w:sz w:val="20"/>
                <w:szCs w:val="20"/>
              </w:rPr>
              <w:t xml:space="preserve">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bCs/>
          <w:i/>
          <w:sz w:val="16"/>
          <w:szCs w:val="16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</w:t>
      </w:r>
      <w:r>
        <w:rPr>
          <w:bCs/>
          <w:i/>
          <w:sz w:val="16"/>
          <w:szCs w:val="16"/>
        </w:rPr>
        <w:t xml:space="preserve">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i/>
          <w:sz w:val="16"/>
          <w:szCs w:val="16"/>
        </w:rPr>
        <w:t xml:space="preserve">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i/>
          <w:sz w:val="16"/>
          <w:szCs w:val="16"/>
        </w:rPr>
        <w:t xml:space="preserve"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</w:t>
      </w:r>
      <w:r>
        <w:rPr>
          <w:i/>
          <w:sz w:val="16"/>
          <w:szCs w:val="16"/>
        </w:rPr>
        <w:t xml:space="preserve"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i/>
          <w:sz w:val="16"/>
          <w:szCs w:val="16"/>
        </w:rPr>
        <w:t xml:space="preserve"> производится по курсу Банка России, действующему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</w:t>
      </w:r>
      <w:r>
        <w:rPr>
          <w:bCs/>
          <w:i/>
          <w:sz w:val="16"/>
          <w:szCs w:val="16"/>
        </w:rPr>
        <w:t xml:space="preserve">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</w:t>
      </w:r>
      <w:r>
        <w:rPr>
          <w:bCs/>
          <w:i/>
          <w:sz w:val="16"/>
          <w:szCs w:val="16"/>
        </w:rPr>
        <w:t xml:space="preserve"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</w:t>
      </w:r>
      <w:r>
        <w:rPr>
          <w:bCs/>
          <w:i/>
          <w:sz w:val="16"/>
          <w:szCs w:val="16"/>
        </w:rPr>
        <w:t xml:space="preserve"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bCs/>
          <w:i/>
          <w:sz w:val="16"/>
          <w:szCs w:val="16"/>
        </w:rPr>
        <w:t xml:space="preserve">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</w:t>
      </w:r>
      <w:r>
        <w:rPr>
          <w:b/>
          <w:i/>
          <w:sz w:val="16"/>
          <w:szCs w:val="16"/>
        </w:rPr>
        <w:t xml:space="preserve">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</w:t>
      </w:r>
      <w:r>
        <w:rPr>
          <w:b/>
          <w:i/>
          <w:sz w:val="16"/>
          <w:szCs w:val="16"/>
        </w:rPr>
        <w:t xml:space="preserve">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</w:t>
      </w:r>
      <w:r>
        <w:rPr>
          <w:b/>
          <w:i/>
          <w:sz w:val="16"/>
          <w:szCs w:val="16"/>
        </w:rPr>
        <w:t xml:space="preserve">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</w:t>
      </w:r>
      <w:r>
        <w:rPr>
          <w:b/>
          <w:i/>
          <w:sz w:val="16"/>
          <w:szCs w:val="16"/>
        </w:rPr>
        <w:t xml:space="preserve">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</w:t>
      </w:r>
      <w:r>
        <w:rPr>
          <w:i/>
          <w:sz w:val="16"/>
          <w:szCs w:val="16"/>
        </w:rPr>
        <w:t xml:space="preserve">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7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</w:t>
      </w:r>
      <w:r>
        <w:t xml:space="preserve">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77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</w:t>
            </w:r>
            <w:r>
              <w:rPr>
                <w:iCs/>
                <w:sz w:val="20"/>
                <w:szCs w:val="20"/>
              </w:rPr>
              <w:t xml:space="preserve">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</w:t>
            </w:r>
            <w:r>
              <w:rPr>
                <w:iCs/>
                <w:sz w:val="20"/>
                <w:szCs w:val="20"/>
              </w:rPr>
              <w:t xml:space="preserve">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</w:t>
            </w:r>
            <w:r>
              <w:rPr>
                <w:iCs/>
                <w:sz w:val="20"/>
                <w:szCs w:val="20"/>
              </w:rPr>
              <w:t xml:space="preserve">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</w:t>
            </w:r>
            <w:r>
              <w:rPr>
                <w:iCs/>
                <w:sz w:val="20"/>
                <w:szCs w:val="20"/>
              </w:rPr>
              <w:t xml:space="preserve">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</w:t>
            </w:r>
            <w:r>
              <w:rPr>
                <w:iCs/>
                <w:sz w:val="20"/>
                <w:szCs w:val="20"/>
              </w:rPr>
              <w:t xml:space="preserve">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</w:t>
            </w:r>
            <w:r>
              <w:rPr>
                <w:iCs/>
                <w:sz w:val="20"/>
                <w:szCs w:val="20"/>
              </w:rPr>
              <w:t xml:space="preserve">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</w:t>
            </w:r>
            <w:r>
              <w:rPr>
                <w:iCs/>
                <w:sz w:val="20"/>
                <w:szCs w:val="20"/>
              </w:rPr>
              <w:t xml:space="preserve">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</w:t>
            </w:r>
            <w:r>
              <w:rPr>
                <w:iCs/>
                <w:sz w:val="20"/>
                <w:szCs w:val="20"/>
              </w:rPr>
              <w:t xml:space="preserve">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</w:t>
            </w:r>
            <w:r>
              <w:rPr>
                <w:iCs/>
                <w:sz w:val="20"/>
                <w:szCs w:val="20"/>
              </w:rPr>
              <w:t xml:space="preserve">п</w:t>
            </w:r>
            <w:r>
              <w:rPr>
                <w:iCs/>
                <w:sz w:val="20"/>
                <w:szCs w:val="20"/>
              </w:rPr>
              <w:t xml:space="preserve">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</w:t>
      </w:r>
      <w:r>
        <w:rPr>
          <w:sz w:val="18"/>
        </w:rPr>
        <w:t xml:space="preserve">кроме ошибочно удержанного), возврату не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77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</w:t>
            </w:r>
            <w:r>
              <w:rPr>
                <w:bCs/>
                <w:sz w:val="22"/>
                <w:szCs w:val="22"/>
              </w:rPr>
              <w:t xml:space="preserve">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77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</w:t>
            </w:r>
            <w:r>
              <w:rPr>
                <w:sz w:val="20"/>
                <w:szCs w:val="20"/>
              </w:rPr>
              <w:t xml:space="preserve">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</w:t>
            </w:r>
            <w:r>
              <w:rPr>
                <w:bCs/>
                <w:sz w:val="20"/>
                <w:szCs w:val="20"/>
              </w:rPr>
              <w:t xml:space="preserve">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</w:t>
            </w:r>
            <w:r>
              <w:rPr>
                <w:sz w:val="20"/>
                <w:szCs w:val="20"/>
              </w:rPr>
              <w:t xml:space="preserve">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</w:t>
            </w:r>
            <w:r>
              <w:rPr>
                <w:sz w:val="20"/>
                <w:szCs w:val="20"/>
              </w:rPr>
              <w:t xml:space="preserve">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</w:t>
            </w:r>
            <w:r>
              <w:rPr>
                <w:sz w:val="20"/>
                <w:szCs w:val="20"/>
              </w:rPr>
              <w:t xml:space="preserve">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</w:t>
            </w:r>
            <w:r>
              <w:rPr>
                <w:sz w:val="20"/>
                <w:szCs w:val="20"/>
              </w:rPr>
              <w:t xml:space="preserve">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</w:t>
      </w:r>
      <w:r>
        <w:rPr>
          <w:i/>
          <w:sz w:val="16"/>
          <w:szCs w:val="16"/>
        </w:rPr>
        <w:t xml:space="preserve">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</w:t>
      </w:r>
      <w:r>
        <w:rPr>
          <w:i/>
          <w:sz w:val="16"/>
          <w:szCs w:val="16"/>
        </w:rPr>
        <w:t xml:space="preserve">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</w:t>
      </w:r>
      <w:r>
        <w:rPr>
          <w:i/>
          <w:sz w:val="16"/>
          <w:szCs w:val="16"/>
        </w:rPr>
        <w:t xml:space="preserve">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</w:t>
      </w:r>
      <w:r>
        <w:rPr>
          <w:i/>
          <w:sz w:val="16"/>
          <w:szCs w:val="16"/>
        </w:rPr>
        <w:t xml:space="preserve">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</w:t>
      </w:r>
      <w:r>
        <w:rPr>
          <w:i/>
          <w:sz w:val="16"/>
          <w:szCs w:val="16"/>
        </w:rPr>
        <w:t xml:space="preserve">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</w:t>
      </w:r>
      <w:r>
        <w:rPr>
          <w:i/>
          <w:sz w:val="16"/>
          <w:szCs w:val="16"/>
        </w:rPr>
        <w:t xml:space="preserve">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</w:t>
      </w:r>
      <w:r>
        <w:rPr>
          <w:i/>
          <w:sz w:val="16"/>
          <w:szCs w:val="16"/>
        </w:rPr>
        <w:t xml:space="preserve">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</w:t>
      </w:r>
      <w:r>
        <w:rPr>
          <w:i/>
          <w:sz w:val="16"/>
          <w:szCs w:val="16"/>
        </w:rPr>
        <w:t xml:space="preserve">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</w:t>
      </w:r>
      <w:r>
        <w:rPr>
          <w:i/>
          <w:sz w:val="16"/>
          <w:szCs w:val="16"/>
        </w:rPr>
        <w:t xml:space="preserve">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77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</w:t>
            </w:r>
            <w:r>
              <w:rPr>
                <w:b/>
                <w:sz w:val="20"/>
                <w:szCs w:val="20"/>
              </w:rPr>
              <w:t xml:space="preserve">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77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</w:t>
            </w:r>
            <w:r>
              <w:t xml:space="preserve">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77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</w:t>
            </w:r>
            <w:r>
              <w:rPr>
                <w:sz w:val="20"/>
                <w:szCs w:val="20"/>
              </w:rPr>
              <w:t xml:space="preserve">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</w:t>
      </w:r>
      <w:r>
        <w:rPr>
          <w:i/>
          <w:sz w:val="16"/>
          <w:szCs w:val="20"/>
        </w:rPr>
        <w:t xml:space="preserve">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</w:t>
      </w:r>
      <w:r>
        <w:rPr>
          <w:i/>
          <w:color w:val="000000"/>
          <w:sz w:val="16"/>
          <w:szCs w:val="20"/>
        </w:rPr>
        <w:t xml:space="preserve">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77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</w:t>
            </w:r>
            <w:r>
              <w:rPr>
                <w:b/>
                <w:sz w:val="20"/>
                <w:szCs w:val="20"/>
              </w:rPr>
              <w:t xml:space="preserve">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  <w:szCs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</w:t>
            </w:r>
            <w:r>
              <w:rPr>
                <w:bCs/>
                <w:sz w:val="22"/>
                <w:szCs w:val="22"/>
              </w:rPr>
              <w:t xml:space="preserve">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</w:t>
            </w:r>
            <w:r>
              <w:rPr>
                <w:sz w:val="22"/>
                <w:szCs w:val="22"/>
              </w:rPr>
              <w:t xml:space="preserve">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</w:t>
            </w:r>
            <w:r>
              <w:rPr>
                <w:sz w:val="22"/>
                <w:szCs w:val="22"/>
              </w:rPr>
              <w:t xml:space="preserve">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</w:t>
            </w:r>
            <w:r>
              <w:rPr>
                <w:sz w:val="22"/>
                <w:szCs w:val="22"/>
                <w:lang w:eastAsia="en-US"/>
              </w:rPr>
              <w:t xml:space="preserve">100 000 000,01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</w:t>
            </w:r>
            <w:r>
              <w:rPr>
                <w:bCs/>
                <w:sz w:val="22"/>
                <w:szCs w:val="22"/>
              </w:rPr>
              <w:t xml:space="preserve">й действующего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</w:t>
            </w:r>
            <w:r>
              <w:rPr>
                <w:bCs/>
                <w:sz w:val="22"/>
                <w:szCs w:val="22"/>
              </w:rPr>
              <w:t xml:space="preserve">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Правил предоставления субсидий из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федерального бю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екса (утв. постановлением Правительства Российской Федерации от 02.04.2022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574)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895)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393) на период действия льготной/ увеличенной льготной ставки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доходов по кредитам, выданным в целях реализации проектов жилищного строительства, и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для возмещения кредитным организациям недополученных доходов по кредитам,</w:t>
      </w:r>
      <w:r>
        <w:rPr>
          <w:bCs/>
          <w:iCs/>
          <w:sz w:val="20"/>
          <w:szCs w:val="20"/>
        </w:rPr>
        <w:t xml:space="preserve">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</w:t>
      </w:r>
      <w:r>
        <w:rPr>
          <w:bCs/>
          <w:iCs/>
          <w:sz w:val="20"/>
          <w:szCs w:val="20"/>
        </w:rPr>
        <w:t xml:space="preserve">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</w:t>
      </w:r>
      <w:r>
        <w:rPr>
          <w:bCs/>
          <w:iCs/>
          <w:sz w:val="20"/>
          <w:szCs w:val="20"/>
        </w:rPr>
        <w:t xml:space="preserve">кой Федерации от 27.02.2021 № 279) (далее – ППРФ от 27.02.2021 № 279);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</w:t>
      </w:r>
      <w:r>
        <w:rPr>
          <w:bCs/>
          <w:iCs/>
          <w:sz w:val="20"/>
          <w:szCs w:val="20"/>
        </w:rPr>
        <w:t xml:space="preserve">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</w:t>
      </w:r>
      <w:r>
        <w:rPr>
          <w:bCs/>
          <w:iCs/>
          <w:sz w:val="20"/>
          <w:szCs w:val="20"/>
        </w:rPr>
        <w:t xml:space="preserve">осуществление операционной деятельности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16.03.2022 № 375) (далее – ППРФ от 16.03.2022 № 375);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</w:t>
      </w:r>
      <w:r>
        <w:rPr>
          <w:bCs/>
          <w:iCs/>
          <w:sz w:val="20"/>
          <w:szCs w:val="20"/>
        </w:rPr>
        <w:t xml:space="preserve">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</w:t>
      </w:r>
      <w:r>
        <w:rPr>
          <w:bCs/>
          <w:iCs/>
          <w:sz w:val="20"/>
          <w:szCs w:val="20"/>
        </w:rPr>
        <w:t xml:space="preserve">.2022 № 393);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</w:t>
      </w:r>
      <w:r>
        <w:rPr>
          <w:bCs/>
          <w:iCs/>
          <w:sz w:val="20"/>
          <w:szCs w:val="20"/>
        </w:rPr>
        <w:t xml:space="preserve">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</w:t>
      </w:r>
      <w:r>
        <w:rPr>
          <w:bCs/>
          <w:iCs/>
          <w:sz w:val="20"/>
          <w:szCs w:val="20"/>
        </w:rPr>
        <w:br/>
        <w:t xml:space="preserve">(далее – ППРФ от 02.04.2022 № 574);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</w:t>
      </w:r>
      <w:r>
        <w:rPr>
          <w:bCs/>
          <w:iCs/>
          <w:sz w:val="20"/>
          <w:szCs w:val="20"/>
        </w:rPr>
        <w:t xml:space="preserve">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</w:t>
      </w:r>
      <w:r>
        <w:rPr>
          <w:bCs/>
          <w:iCs/>
          <w:sz w:val="20"/>
          <w:szCs w:val="20"/>
        </w:rPr>
        <w:t xml:space="preserve"> ППРФ </w:t>
      </w:r>
      <w:r>
        <w:rPr>
          <w:bCs/>
          <w:iCs/>
          <w:sz w:val="20"/>
          <w:szCs w:val="20"/>
        </w:rPr>
        <w:br/>
        <w:t xml:space="preserve">от 18.05.2022 № 895);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</w:t>
      </w:r>
      <w:r>
        <w:rPr>
          <w:bCs/>
          <w:iCs/>
          <w:sz w:val="20"/>
          <w:szCs w:val="20"/>
        </w:rPr>
        <w:t xml:space="preserve">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</w:t>
      </w:r>
      <w:r>
        <w:rPr>
          <w:bCs/>
          <w:iCs/>
          <w:sz w:val="20"/>
          <w:szCs w:val="20"/>
        </w:rPr>
        <w:t xml:space="preserve">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</w:t>
      </w:r>
      <w:r>
        <w:rPr>
          <w:bCs/>
          <w:iCs/>
          <w:sz w:val="20"/>
          <w:szCs w:val="20"/>
        </w:rPr>
        <w:t xml:space="preserve">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</w:t>
      </w:r>
      <w:r>
        <w:rPr>
          <w:bCs/>
          <w:iCs/>
          <w:sz w:val="20"/>
          <w:szCs w:val="20"/>
        </w:rPr>
        <w:t xml:space="preserve">258-Р от 24.01.2024,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</w:t>
      </w:r>
      <w:r>
        <w:rPr>
          <w:bCs/>
          <w:iCs/>
          <w:sz w:val="20"/>
          <w:szCs w:val="20"/>
        </w:rPr>
        <w:t xml:space="preserve">юридическим лицам, индивидуальным предпринимателям, а также физическим лицам - производителям товаров, работ, услуг.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17.03.2022 № 393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02.04.2022 № 574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18.05.2022 № 895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25.10.2023 № 1780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25.10.2023 № 1780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77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69"/>
        </w:rPr>
        <w:footnoteReference w:id="7"/>
      </w:r>
      <w:r>
        <w:rPr>
          <w:rStyle w:val="1169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985"/>
        <w:gridCol w:w="8"/>
        <w:gridCol w:w="3536"/>
        <w:gridCol w:w="8"/>
      </w:tblGrid>
      <w:tr>
        <w:tblPrEx/>
        <w:trPr>
          <w:gridAfter w:val="1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4"/>
            <w:tcW w:w="695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13.1.</w:t>
            </w:r>
            <w:r>
              <w:rPr>
                <w:sz w:val="20"/>
                <w:szCs w:val="20"/>
              </w:rPr>
              <w:tab/>
              <w:t xml:space="preserve">Комиссия за услугу «Торговый эквайринг» 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Правилам эквайрингового обслуживания клиентов АО «Россельхозбанк»,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использованием карты JCB International, UnionPay International, национальной платежной системы «Мир» и иных ме</w:t>
            </w:r>
            <w:r>
              <w:rPr>
                <w:sz w:val="20"/>
                <w:szCs w:val="20"/>
              </w:rPr>
              <w:t xml:space="preserve">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</w:t>
            </w:r>
            <w:r>
              <w:rPr>
                <w:sz w:val="20"/>
                <w:szCs w:val="20"/>
              </w:rPr>
              <w:t xml:space="preserve">рговый эквайринг», подключенную путем присоединения к Условиям эквайрингового обслуживания </w:t>
            </w:r>
            <w:r>
              <w:rPr>
                <w:sz w:val="20"/>
                <w:szCs w:val="20"/>
              </w:rPr>
              <w:t xml:space="preserve">клиентов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соответствии с тарифами Банка*,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использованием карты JCB International, UnionPay International, национальной платежной системы «Ми</w:t>
            </w:r>
            <w:r>
              <w:rPr>
                <w:sz w:val="20"/>
                <w:szCs w:val="20"/>
              </w:rPr>
              <w:t xml:space="preserve">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</w:t>
            </w:r>
            <w:r>
              <w:rPr>
                <w:sz w:val="20"/>
                <w:szCs w:val="20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руб. за операцию в сумме до 125,00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0,24 руб. за операцию в сумме от 125,01 руб. до 250,00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0,60 руб. за операцию в сумме от 250,01 руб. 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1,60 руб. за операцию в сумме от 1 000,01 руб. 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4,00 руб. за операцию в сумме от 3 000,01 руб. 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рублей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6,00 руб. за операцию в сумме от 6 000,01 руб. 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 (включительно</w:t>
            </w:r>
            <w:r>
              <w:rPr>
                <w:sz w:val="20"/>
                <w:szCs w:val="20"/>
              </w:rPr>
              <w:t xml:space="preserve">)</w:t>
            </w:r>
            <w:bookmarkStart w:id="80" w:name="_GoBack"/>
            <w:r/>
            <w:bookmarkEnd w:id="8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бесп</w:t>
      </w:r>
      <w:r>
        <w:rPr>
          <w:i/>
          <w:sz w:val="16"/>
          <w:szCs w:val="16"/>
        </w:rPr>
        <w:t xml:space="preserve">латно.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77"/>
      </w:pPr>
      <w:r>
        <w:t xml:space="preserve">14. </w:t>
      </w:r>
      <w:r>
        <w:footnoteReference w:id="8"/>
      </w:r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</w:t>
            </w:r>
            <w:r>
              <w:rPr>
                <w:rFonts w:eastAsia="Arial Unicode MS"/>
                <w:sz w:val="20"/>
                <w:szCs w:val="20"/>
              </w:rPr>
              <w:t xml:space="preserve">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</w:t>
            </w:r>
            <w:r>
              <w:rPr>
                <w:sz w:val="20"/>
                <w:szCs w:val="20"/>
              </w:rPr>
              <w:t xml:space="preserve">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</w:t>
            </w:r>
            <w:r>
              <w:rPr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</w:t>
            </w:r>
            <w:r>
              <w:rPr>
                <w:sz w:val="20"/>
                <w:szCs w:val="20"/>
              </w:rPr>
              <w:t xml:space="preserve">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</w:t>
            </w:r>
            <w:r>
              <w:rPr>
                <w:sz w:val="20"/>
                <w:szCs w:val="20"/>
              </w:rPr>
              <w:t xml:space="preserve">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</w:t>
            </w:r>
            <w:r>
              <w:rPr>
                <w:sz w:val="20"/>
                <w:szCs w:val="20"/>
              </w:rPr>
              <w:t xml:space="preserve">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</w:t>
            </w:r>
            <w:r>
              <w:rPr>
                <w:sz w:val="20"/>
                <w:szCs w:val="20"/>
              </w:rPr>
              <w:t xml:space="preserve">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77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77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10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54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54"/>
                <w:rFonts w:eastAsia="Arial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7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7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7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77"/>
      </w:pPr>
      <w:r/>
      <w:r/>
    </w:p>
    <w:p>
      <w:pPr>
        <w:pStyle w:val="977"/>
      </w:pPr>
      <w:r/>
      <w:r/>
    </w:p>
    <w:p>
      <w:pPr>
        <w:pStyle w:val="977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</w:t>
            </w:r>
            <w:r>
              <w:rPr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4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73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</w:t>
      </w:r>
      <w:r>
        <w:rPr>
          <w:rFonts w:ascii="Times New Roman" w:hAnsi="Times New Roman"/>
          <w:b/>
          <w:bCs/>
          <w:sz w:val="24"/>
          <w:szCs w:val="24"/>
        </w:rPr>
        <w:t xml:space="preserve">Операции с использованием цифрового рубля</w:t>
      </w:r>
      <w:r>
        <w:rPr>
          <w:rFonts w:ascii="Times New Roman" w:hAnsi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265" w:type="dxa"/>
            <w:vAlign w:val="top"/>
            <w:textDirection w:val="lrTb"/>
            <w:noWrap w:val="false"/>
          </w:tcPr>
          <w:p>
            <w:pPr>
              <w:pStyle w:val="973"/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W w:w="9071" w:type="dxa"/>
            <w:vAlign w:val="top"/>
            <w:textDirection w:val="lrTb"/>
            <w:noWrap w:val="false"/>
          </w:tcPr>
          <w:p>
            <w:pPr>
              <w:pStyle w:val="973"/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265" w:type="dxa"/>
            <w:vAlign w:val="top"/>
            <w:textDirection w:val="lrTb"/>
            <w:noWrap w:val="false"/>
          </w:tcPr>
          <w:p>
            <w:pPr>
              <w:pStyle w:val="973"/>
              <w:jc w:val="center"/>
              <w:spacing w:before="40" w:after="40" w:line="240" w:lineRule="auto"/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18.1.1</w:t>
            </w:r>
            <w:r/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73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3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3"/>
              <w:jc w:val="both"/>
              <w:spacing w:before="40" w:after="80" w:line="240" w:lineRule="auto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</w:r>
            <w:r>
              <w:rPr>
                <w:rFonts w:ascii="Times New Roman" w:hAnsi="Times New Roman" w:eastAsia="Times New Roman"/>
                <w:lang w:eastAsia="en-US"/>
              </w:rPr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vAlign w:val="top"/>
            <w:textDirection w:val="lrTb"/>
            <w:noWrap w:val="false"/>
          </w:tcPr>
          <w:p>
            <w:pPr>
              <w:pStyle w:val="973"/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73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3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3"/>
              <w:jc w:val="both"/>
              <w:spacing w:before="40" w:after="80" w:line="240" w:lineRule="auto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</w:r>
            <w:r>
              <w:rPr>
                <w:rFonts w:ascii="Times New Roman" w:hAnsi="Times New Roman" w:eastAsia="Times New Roman"/>
                <w:lang w:eastAsia="en-US"/>
              </w:rPr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</w:tbl>
    <w:p>
      <w:pPr>
        <w:pStyle w:val="973"/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31.12.2024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70"/>
        <w:jc w:val="both"/>
        <w:rPr>
          <w:i/>
          <w:sz w:val="16"/>
          <w:szCs w:val="16"/>
        </w:rPr>
      </w:pPr>
      <w:r>
        <w:rPr>
          <w:rStyle w:val="1169"/>
          <w:i/>
          <w:sz w:val="16"/>
          <w:szCs w:val="16"/>
        </w:rPr>
        <w:footnoteRef/>
      </w:r>
      <w:r>
        <w:rPr>
          <w:rStyle w:val="1169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70"/>
        <w:rPr>
          <w:i/>
          <w:sz w:val="16"/>
          <w:szCs w:val="16"/>
        </w:rPr>
      </w:pPr>
      <w:r>
        <w:rPr>
          <w:rStyle w:val="116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</w:t>
      </w:r>
      <w:r>
        <w:rPr>
          <w:i/>
          <w:sz w:val="16"/>
          <w:szCs w:val="16"/>
        </w:rPr>
        <w:t xml:space="preserve"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70"/>
        <w:rPr>
          <w:i/>
          <w:sz w:val="16"/>
          <w:szCs w:val="16"/>
        </w:rPr>
      </w:pPr>
      <w:r>
        <w:rPr>
          <w:rStyle w:val="1169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</w:t>
      </w:r>
      <w:r>
        <w:rPr>
          <w:bCs/>
          <w:i/>
          <w:sz w:val="16"/>
          <w:szCs w:val="16"/>
        </w:rPr>
        <w:t xml:space="preserve">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70"/>
      </w:pPr>
      <w:r/>
      <w:r/>
    </w:p>
  </w:footnote>
  <w:footnote w:id="5">
    <w:p>
      <w:pPr>
        <w:pStyle w:val="1170"/>
        <w:jc w:val="both"/>
        <w:rPr>
          <w:i/>
          <w:sz w:val="16"/>
          <w:szCs w:val="16"/>
        </w:rPr>
      </w:pPr>
      <w:r>
        <w:rPr>
          <w:rStyle w:val="116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</w:t>
      </w:r>
      <w:r>
        <w:rPr>
          <w:i/>
          <w:sz w:val="16"/>
          <w:szCs w:val="16"/>
        </w:rPr>
        <w:t xml:space="preserve">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70"/>
        <w:rPr>
          <w:i/>
          <w:sz w:val="16"/>
          <w:szCs w:val="16"/>
        </w:rPr>
      </w:pPr>
      <w:r>
        <w:rPr>
          <w:rStyle w:val="1169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70"/>
        <w:rPr>
          <w:i/>
          <w:sz w:val="16"/>
          <w:szCs w:val="16"/>
        </w:rPr>
      </w:pPr>
      <w:r>
        <w:rPr>
          <w:rStyle w:val="1169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</w:t>
      </w:r>
      <w:r>
        <w:rPr>
          <w:i/>
          <w:sz w:val="16"/>
          <w:szCs w:val="16"/>
        </w:rPr>
        <w:t xml:space="preserve">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</w:t>
      </w:r>
      <w:r>
        <w:rPr>
          <w:i/>
          <w:sz w:val="16"/>
          <w:szCs w:val="16"/>
        </w:rPr>
        <w:t xml:space="preserve"> платежей платежной системы Банка России.</w:t>
      </w:r>
      <w: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</w:t>
      </w:r>
      <w:r>
        <w:rPr>
          <w:i/>
          <w:sz w:val="16"/>
          <w:szCs w:val="16"/>
        </w:rPr>
        <w:t xml:space="preserve">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</w:t>
      </w:r>
      <w:r>
        <w:rPr>
          <w:i/>
          <w:sz w:val="16"/>
          <w:szCs w:val="16"/>
        </w:rPr>
        <w:t xml:space="preserve">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pStyle w:val="1170"/>
        <w:jc w:val="both"/>
        <w:rPr>
          <w:i/>
          <w:sz w:val="16"/>
          <w:szCs w:val="16"/>
        </w:rPr>
      </w:pPr>
      <w:r>
        <w:rPr>
          <w:rStyle w:val="1169"/>
        </w:rPr>
        <w:footnoteRef/>
      </w:r>
      <w:r>
        <w:rPr>
          <w:rStyle w:val="1169"/>
        </w:rPr>
        <w:t xml:space="preserve">**</w:t>
      </w:r>
      <w:r>
        <w:t xml:space="preserve"> </w:t>
      </w:r>
      <w:r>
        <w:rPr>
          <w:i/>
          <w:sz w:val="16"/>
          <w:szCs w:val="16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69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</w:t>
      </w:r>
      <w:r>
        <w:rPr>
          <w:i/>
          <w:sz w:val="16"/>
          <w:szCs w:val="16"/>
        </w:rPr>
        <w:t xml:space="preserve">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</w:t>
      </w:r>
      <w:r>
        <w:rPr>
          <w:bCs/>
          <w:i/>
          <w:sz w:val="16"/>
          <w:szCs w:val="16"/>
        </w:rPr>
        <w:t xml:space="preserve">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70"/>
        <w:rPr>
          <w:i/>
          <w:sz w:val="16"/>
          <w:szCs w:val="16"/>
        </w:rPr>
      </w:pPr>
      <w:r>
        <w:rPr>
          <w:rStyle w:val="116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</w:t>
      </w:r>
      <w:r>
        <w:rPr>
          <w:i/>
          <w:sz w:val="16"/>
          <w:szCs w:val="16"/>
        </w:rPr>
        <w:t xml:space="preserve">ема/выдачи слитков драгоценных металлов НДС не облагается.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1">
    <w:p>
      <w:pPr>
        <w:pStyle w:val="1152"/>
        <w:jc w:val="both"/>
      </w:pPr>
      <w:r>
        <w:rPr>
          <w:rStyle w:val="1154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</w:t>
      </w:r>
      <w:r>
        <w:rPr>
          <w:szCs w:val="18"/>
        </w:rPr>
        <w:t xml:space="preserve"> Банком России на день совершения операции.</w:t>
      </w:r>
      <w:r/>
    </w:p>
  </w:footnote>
  <w:footnote w:id="12">
    <w:p>
      <w:pPr>
        <w:pStyle w:val="1152"/>
        <w:jc w:val="both"/>
      </w:pPr>
      <w:r>
        <w:rPr>
          <w:rStyle w:val="1154"/>
          <w:rFonts w:eastAsia="Arial"/>
        </w:rPr>
        <w:footnoteRef/>
      </w:r>
      <w:r>
        <w:rPr>
          <w:szCs w:val="18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</w:t>
      </w:r>
      <w:r>
        <w:rPr>
          <w:szCs w:val="18"/>
        </w:rPr>
        <w:t xml:space="preserve">а день совершения операции.</w:t>
      </w:r>
      <w:r/>
    </w:p>
  </w:footnote>
  <w:footnote w:id="13">
    <w:p>
      <w:pPr>
        <w:jc w:val="both"/>
        <w:rPr>
          <w:bCs/>
          <w:i/>
          <w:sz w:val="16"/>
          <w:szCs w:val="18"/>
        </w:rPr>
      </w:pPr>
      <w:r>
        <w:rPr>
          <w:rStyle w:val="116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</w:t>
      </w:r>
      <w:r>
        <w:rPr>
          <w:bCs/>
          <w:i/>
          <w:sz w:val="16"/>
          <w:szCs w:val="18"/>
        </w:rPr>
        <w:t xml:space="preserve">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4">
    <w:p>
      <w:pPr>
        <w:jc w:val="both"/>
        <w:rPr>
          <w:i/>
          <w:sz w:val="16"/>
          <w:szCs w:val="16"/>
        </w:rPr>
      </w:pPr>
      <w:r>
        <w:rPr>
          <w:rStyle w:val="116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59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4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41"/>
  </w:num>
  <w:num w:numId="5">
    <w:abstractNumId w:val="1"/>
  </w:num>
  <w:num w:numId="6">
    <w:abstractNumId w:val="32"/>
  </w:num>
  <w:num w:numId="7">
    <w:abstractNumId w:val="38"/>
  </w:num>
  <w:num w:numId="8">
    <w:abstractNumId w:val="39"/>
  </w:num>
  <w:num w:numId="9">
    <w:abstractNumId w:val="0"/>
  </w:num>
  <w:num w:numId="10">
    <w:abstractNumId w:val="28"/>
  </w:num>
  <w:num w:numId="11">
    <w:abstractNumId w:val="35"/>
  </w:num>
  <w:num w:numId="12">
    <w:abstractNumId w:val="14"/>
  </w:num>
  <w:num w:numId="13">
    <w:abstractNumId w:val="17"/>
  </w:num>
  <w:num w:numId="14">
    <w:abstractNumId w:val="11"/>
  </w:num>
  <w:num w:numId="15">
    <w:abstractNumId w:val="30"/>
  </w:num>
  <w:num w:numId="16">
    <w:abstractNumId w:val="36"/>
  </w:num>
  <w:num w:numId="17">
    <w:abstractNumId w:val="43"/>
  </w:num>
  <w:num w:numId="18">
    <w:abstractNumId w:val="22"/>
  </w:num>
  <w:num w:numId="19">
    <w:abstractNumId w:val="37"/>
  </w:num>
  <w:num w:numId="20">
    <w:abstractNumId w:val="33"/>
  </w:num>
  <w:num w:numId="21">
    <w:abstractNumId w:val="27"/>
  </w:num>
  <w:num w:numId="22">
    <w:abstractNumId w:val="44"/>
  </w:num>
  <w:num w:numId="23">
    <w:abstractNumId w:val="13"/>
  </w:num>
  <w:num w:numId="24">
    <w:abstractNumId w:val="40"/>
  </w:num>
  <w:num w:numId="25">
    <w:abstractNumId w:val="6"/>
  </w:num>
  <w:num w:numId="26">
    <w:abstractNumId w:val="24"/>
  </w:num>
  <w:num w:numId="27">
    <w:abstractNumId w:val="15"/>
  </w:num>
  <w:num w:numId="28">
    <w:abstractNumId w:val="25"/>
  </w:num>
  <w:num w:numId="29">
    <w:abstractNumId w:val="34"/>
  </w:num>
  <w:num w:numId="30">
    <w:abstractNumId w:val="47"/>
  </w:num>
  <w:num w:numId="31">
    <w:abstractNumId w:val="7"/>
  </w:num>
  <w:num w:numId="32">
    <w:abstractNumId w:val="8"/>
  </w:num>
  <w:num w:numId="33">
    <w:abstractNumId w:val="20"/>
  </w:num>
  <w:num w:numId="34">
    <w:abstractNumId w:val="21"/>
  </w:num>
  <w:num w:numId="35">
    <w:abstractNumId w:val="3"/>
  </w:num>
  <w:num w:numId="36">
    <w:abstractNumId w:val="19"/>
  </w:num>
  <w:num w:numId="37">
    <w:abstractNumId w:val="2"/>
  </w:num>
  <w:num w:numId="38">
    <w:abstractNumId w:val="12"/>
  </w:num>
  <w:num w:numId="39">
    <w:abstractNumId w:val="10"/>
  </w:num>
  <w:num w:numId="40">
    <w:abstractNumId w:val="23"/>
  </w:num>
  <w:num w:numId="41">
    <w:abstractNumId w:val="46"/>
  </w:num>
  <w:num w:numId="42">
    <w:abstractNumId w:val="4"/>
  </w:num>
  <w:num w:numId="43">
    <w:abstractNumId w:val="4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6"/>
  </w:num>
  <w:num w:numId="47">
    <w:abstractNumId w:val="1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3" w:default="1">
    <w:name w:val="Normal"/>
    <w:qFormat/>
    <w:rPr>
      <w:sz w:val="24"/>
      <w:szCs w:val="24"/>
      <w:lang w:eastAsia="ru-RU"/>
    </w:rPr>
  </w:style>
  <w:style w:type="paragraph" w:styleId="974">
    <w:name w:val="Heading 1"/>
    <w:basedOn w:val="973"/>
    <w:next w:val="973"/>
    <w:link w:val="1000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75">
    <w:name w:val="Heading 2"/>
    <w:basedOn w:val="973"/>
    <w:next w:val="973"/>
    <w:link w:val="1001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76">
    <w:name w:val="Heading 3"/>
    <w:basedOn w:val="973"/>
    <w:next w:val="973"/>
    <w:link w:val="1002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77">
    <w:name w:val="Heading 4"/>
    <w:basedOn w:val="973"/>
    <w:next w:val="973"/>
    <w:link w:val="1190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78">
    <w:name w:val="Heading 5"/>
    <w:basedOn w:val="973"/>
    <w:next w:val="973"/>
    <w:link w:val="1004"/>
    <w:qFormat/>
    <w:pPr>
      <w:keepNext/>
      <w:outlineLvl w:val="4"/>
    </w:pPr>
    <w:rPr>
      <w:b/>
      <w:bCs/>
      <w:sz w:val="28"/>
      <w:szCs w:val="28"/>
    </w:rPr>
  </w:style>
  <w:style w:type="paragraph" w:styleId="979">
    <w:name w:val="Heading 6"/>
    <w:basedOn w:val="973"/>
    <w:next w:val="973"/>
    <w:link w:val="1005"/>
    <w:qFormat/>
    <w:pPr>
      <w:jc w:val="center"/>
      <w:keepNext/>
      <w:outlineLvl w:val="5"/>
    </w:pPr>
    <w:rPr>
      <w:b/>
      <w:bCs/>
    </w:rPr>
  </w:style>
  <w:style w:type="paragraph" w:styleId="980">
    <w:name w:val="Heading 7"/>
    <w:basedOn w:val="973"/>
    <w:next w:val="973"/>
    <w:link w:val="1006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81">
    <w:name w:val="Heading 8"/>
    <w:basedOn w:val="973"/>
    <w:next w:val="973"/>
    <w:link w:val="1007"/>
    <w:qFormat/>
    <w:pPr>
      <w:keepNext/>
      <w:outlineLvl w:val="7"/>
    </w:pPr>
    <w:rPr>
      <w:b/>
      <w:bCs/>
    </w:rPr>
  </w:style>
  <w:style w:type="paragraph" w:styleId="982">
    <w:name w:val="Heading 9"/>
    <w:basedOn w:val="973"/>
    <w:next w:val="973"/>
    <w:link w:val="1008"/>
    <w:qFormat/>
    <w:pPr>
      <w:keepNext/>
      <w:outlineLvl w:val="8"/>
    </w:pPr>
    <w:rPr>
      <w:b/>
      <w:bCs/>
      <w:sz w:val="20"/>
      <w:szCs w:val="20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character" w:styleId="986" w:customStyle="1">
    <w:name w:val="Heading 1 Char"/>
    <w:basedOn w:val="983"/>
    <w:uiPriority w:val="9"/>
    <w:rPr>
      <w:rFonts w:ascii="Arial" w:hAnsi="Arial" w:eastAsia="Arial" w:cs="Arial"/>
      <w:sz w:val="40"/>
      <w:szCs w:val="40"/>
    </w:rPr>
  </w:style>
  <w:style w:type="character" w:styleId="987" w:customStyle="1">
    <w:name w:val="Heading 2 Char"/>
    <w:basedOn w:val="983"/>
    <w:uiPriority w:val="9"/>
    <w:rPr>
      <w:rFonts w:ascii="Arial" w:hAnsi="Arial" w:eastAsia="Arial" w:cs="Arial"/>
      <w:sz w:val="34"/>
    </w:rPr>
  </w:style>
  <w:style w:type="character" w:styleId="988" w:customStyle="1">
    <w:name w:val="Heading 3 Char"/>
    <w:basedOn w:val="983"/>
    <w:uiPriority w:val="9"/>
    <w:rPr>
      <w:rFonts w:ascii="Arial" w:hAnsi="Arial" w:eastAsia="Arial" w:cs="Arial"/>
      <w:sz w:val="30"/>
      <w:szCs w:val="30"/>
    </w:rPr>
  </w:style>
  <w:style w:type="character" w:styleId="989" w:customStyle="1">
    <w:name w:val="Heading 5 Char"/>
    <w:basedOn w:val="983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Heading 6 Char"/>
    <w:basedOn w:val="983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Heading 7 Char"/>
    <w:basedOn w:val="9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Heading 8 Char"/>
    <w:basedOn w:val="983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Heading 9 Char"/>
    <w:basedOn w:val="983"/>
    <w:uiPriority w:val="9"/>
    <w:rPr>
      <w:rFonts w:ascii="Arial" w:hAnsi="Arial" w:eastAsia="Arial" w:cs="Arial"/>
      <w:i/>
      <w:iCs/>
      <w:sz w:val="21"/>
      <w:szCs w:val="21"/>
    </w:rPr>
  </w:style>
  <w:style w:type="character" w:styleId="994" w:customStyle="1">
    <w:name w:val="Title Char"/>
    <w:basedOn w:val="983"/>
    <w:uiPriority w:val="10"/>
    <w:rPr>
      <w:sz w:val="48"/>
      <w:szCs w:val="48"/>
    </w:rPr>
  </w:style>
  <w:style w:type="character" w:styleId="995" w:customStyle="1">
    <w:name w:val="Subtitle Char"/>
    <w:basedOn w:val="983"/>
    <w:uiPriority w:val="11"/>
    <w:rPr>
      <w:sz w:val="24"/>
      <w:szCs w:val="24"/>
    </w:rPr>
  </w:style>
  <w:style w:type="character" w:styleId="996" w:customStyle="1">
    <w:name w:val="Quote Char"/>
    <w:uiPriority w:val="29"/>
    <w:rPr>
      <w:i/>
    </w:rPr>
  </w:style>
  <w:style w:type="character" w:styleId="997" w:customStyle="1">
    <w:name w:val="Intense Quote Char"/>
    <w:uiPriority w:val="30"/>
    <w:rPr>
      <w:i/>
    </w:rPr>
  </w:style>
  <w:style w:type="character" w:styleId="998" w:customStyle="1">
    <w:name w:val="Header Char"/>
    <w:basedOn w:val="983"/>
    <w:uiPriority w:val="99"/>
  </w:style>
  <w:style w:type="character" w:styleId="999" w:customStyle="1">
    <w:name w:val="Footnote Text Char"/>
    <w:uiPriority w:val="99"/>
    <w:rPr>
      <w:sz w:val="18"/>
    </w:rPr>
  </w:style>
  <w:style w:type="character" w:styleId="1000" w:customStyle="1">
    <w:name w:val="Заголовок 1 Знак"/>
    <w:link w:val="974"/>
    <w:uiPriority w:val="9"/>
    <w:rPr>
      <w:rFonts w:ascii="Arial" w:hAnsi="Arial" w:eastAsia="Arial" w:cs="Arial"/>
      <w:sz w:val="40"/>
      <w:szCs w:val="40"/>
    </w:rPr>
  </w:style>
  <w:style w:type="character" w:styleId="1001" w:customStyle="1">
    <w:name w:val="Заголовок 2 Знак"/>
    <w:link w:val="975"/>
    <w:uiPriority w:val="9"/>
    <w:rPr>
      <w:rFonts w:ascii="Arial" w:hAnsi="Arial" w:eastAsia="Arial" w:cs="Arial"/>
      <w:sz w:val="34"/>
    </w:rPr>
  </w:style>
  <w:style w:type="character" w:styleId="1002" w:customStyle="1">
    <w:name w:val="Заголовок 3 Знак"/>
    <w:link w:val="976"/>
    <w:uiPriority w:val="9"/>
    <w:rPr>
      <w:rFonts w:ascii="Arial" w:hAnsi="Arial" w:eastAsia="Arial" w:cs="Arial"/>
      <w:sz w:val="30"/>
      <w:szCs w:val="30"/>
    </w:rPr>
  </w:style>
  <w:style w:type="character" w:styleId="100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1004" w:customStyle="1">
    <w:name w:val="Заголовок 5 Знак"/>
    <w:link w:val="978"/>
    <w:uiPriority w:val="9"/>
    <w:rPr>
      <w:rFonts w:ascii="Arial" w:hAnsi="Arial" w:eastAsia="Arial" w:cs="Arial"/>
      <w:b/>
      <w:bCs/>
      <w:sz w:val="24"/>
      <w:szCs w:val="24"/>
    </w:rPr>
  </w:style>
  <w:style w:type="character" w:styleId="1005" w:customStyle="1">
    <w:name w:val="Заголовок 6 Знак"/>
    <w:link w:val="979"/>
    <w:uiPriority w:val="9"/>
    <w:rPr>
      <w:rFonts w:ascii="Arial" w:hAnsi="Arial" w:eastAsia="Arial" w:cs="Arial"/>
      <w:b/>
      <w:bCs/>
      <w:sz w:val="22"/>
      <w:szCs w:val="22"/>
    </w:rPr>
  </w:style>
  <w:style w:type="character" w:styleId="1006" w:customStyle="1">
    <w:name w:val="Заголовок 7 Знак"/>
    <w:link w:val="9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07" w:customStyle="1">
    <w:name w:val="Заголовок 8 Знак"/>
    <w:link w:val="981"/>
    <w:uiPriority w:val="9"/>
    <w:rPr>
      <w:rFonts w:ascii="Arial" w:hAnsi="Arial" w:eastAsia="Arial" w:cs="Arial"/>
      <w:i/>
      <w:iCs/>
      <w:sz w:val="22"/>
      <w:szCs w:val="22"/>
    </w:rPr>
  </w:style>
  <w:style w:type="character" w:styleId="1008" w:customStyle="1">
    <w:name w:val="Заголовок 9 Знак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1009">
    <w:name w:val="List Paragraph"/>
    <w:basedOn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10">
    <w:name w:val="No Spacing"/>
    <w:link w:val="1172"/>
    <w:uiPriority w:val="1"/>
    <w:qFormat/>
    <w:rPr>
      <w:rFonts w:ascii="Calibri" w:hAnsi="Calibri"/>
      <w:sz w:val="22"/>
      <w:szCs w:val="22"/>
      <w:lang w:eastAsia="en-US"/>
    </w:rPr>
  </w:style>
  <w:style w:type="paragraph" w:styleId="1011">
    <w:name w:val="Title"/>
    <w:basedOn w:val="973"/>
    <w:next w:val="973"/>
    <w:link w:val="10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12" w:customStyle="1">
    <w:name w:val="Заголовок Знак"/>
    <w:link w:val="1011"/>
    <w:uiPriority w:val="10"/>
    <w:rPr>
      <w:sz w:val="48"/>
      <w:szCs w:val="48"/>
    </w:rPr>
  </w:style>
  <w:style w:type="paragraph" w:styleId="1013">
    <w:name w:val="Subtitle"/>
    <w:basedOn w:val="973"/>
    <w:next w:val="973"/>
    <w:link w:val="1014"/>
    <w:uiPriority w:val="11"/>
    <w:qFormat/>
    <w:pPr>
      <w:spacing w:before="200" w:after="200"/>
    </w:pPr>
  </w:style>
  <w:style w:type="character" w:styleId="1014" w:customStyle="1">
    <w:name w:val="Подзаголовок Знак"/>
    <w:link w:val="1013"/>
    <w:uiPriority w:val="11"/>
    <w:rPr>
      <w:sz w:val="24"/>
      <w:szCs w:val="24"/>
    </w:rPr>
  </w:style>
  <w:style w:type="paragraph" w:styleId="1015">
    <w:name w:val="Quote"/>
    <w:basedOn w:val="973"/>
    <w:next w:val="973"/>
    <w:link w:val="1016"/>
    <w:uiPriority w:val="29"/>
    <w:qFormat/>
    <w:pPr>
      <w:ind w:left="720" w:right="720"/>
    </w:pPr>
    <w:rPr>
      <w:i/>
    </w:rPr>
  </w:style>
  <w:style w:type="character" w:styleId="1016" w:customStyle="1">
    <w:name w:val="Цитата 2 Знак"/>
    <w:link w:val="1015"/>
    <w:uiPriority w:val="29"/>
    <w:rPr>
      <w:i/>
    </w:rPr>
  </w:style>
  <w:style w:type="paragraph" w:styleId="1017">
    <w:name w:val="Intense Quote"/>
    <w:basedOn w:val="973"/>
    <w:next w:val="973"/>
    <w:link w:val="10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8" w:customStyle="1">
    <w:name w:val="Выделенная цитата Знак"/>
    <w:link w:val="1017"/>
    <w:uiPriority w:val="30"/>
    <w:rPr>
      <w:i/>
    </w:rPr>
  </w:style>
  <w:style w:type="paragraph" w:styleId="1019">
    <w:name w:val="Header"/>
    <w:basedOn w:val="973"/>
    <w:link w:val="10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20" w:customStyle="1">
    <w:name w:val="Верхний колонтитул Знак"/>
    <w:link w:val="1019"/>
    <w:uiPriority w:val="99"/>
  </w:style>
  <w:style w:type="paragraph" w:styleId="1021">
    <w:name w:val="Footer"/>
    <w:basedOn w:val="973"/>
    <w:link w:val="117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22" w:customStyle="1">
    <w:name w:val="Footer Char"/>
    <w:uiPriority w:val="99"/>
  </w:style>
  <w:style w:type="paragraph" w:styleId="1023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24" w:customStyle="1">
    <w:name w:val="Caption Char"/>
    <w:uiPriority w:val="99"/>
  </w:style>
  <w:style w:type="table" w:styleId="1025">
    <w:name w:val="Table Grid"/>
    <w:basedOn w:val="984"/>
    <w:uiPriority w:val="59"/>
    <w:tblPr/>
  </w:style>
  <w:style w:type="table" w:styleId="10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51">
    <w:name w:val="Hyperlink"/>
    <w:uiPriority w:val="99"/>
    <w:unhideWhenUsed/>
    <w:rPr>
      <w:color w:val="0000ff"/>
      <w:u w:val="single"/>
    </w:rPr>
  </w:style>
  <w:style w:type="paragraph" w:styleId="1152">
    <w:name w:val="footnote text"/>
    <w:basedOn w:val="973"/>
    <w:link w:val="1153"/>
    <w:unhideWhenUsed/>
    <w:qFormat/>
    <w:pPr>
      <w:spacing w:after="40"/>
    </w:pPr>
    <w:rPr>
      <w:sz w:val="18"/>
    </w:rPr>
  </w:style>
  <w:style w:type="character" w:styleId="1153" w:customStyle="1">
    <w:name w:val="Текст сноски Знак"/>
    <w:link w:val="1152"/>
    <w:rPr>
      <w:sz w:val="18"/>
    </w:rPr>
  </w:style>
  <w:style w:type="character" w:styleId="1154">
    <w:name w:val="footnote reference"/>
    <w:unhideWhenUsed/>
    <w:qFormat/>
    <w:rPr>
      <w:vertAlign w:val="superscript"/>
    </w:rPr>
  </w:style>
  <w:style w:type="paragraph" w:styleId="1155">
    <w:name w:val="endnote text"/>
    <w:basedOn w:val="973"/>
    <w:link w:val="1187"/>
    <w:uiPriority w:val="99"/>
    <w:semiHidden/>
    <w:unhideWhenUsed/>
    <w:rPr>
      <w:sz w:val="20"/>
      <w:szCs w:val="20"/>
    </w:rPr>
  </w:style>
  <w:style w:type="character" w:styleId="1156" w:customStyle="1">
    <w:name w:val="Endnote Text Char"/>
    <w:uiPriority w:val="99"/>
    <w:rPr>
      <w:sz w:val="20"/>
    </w:rPr>
  </w:style>
  <w:style w:type="character" w:styleId="1157">
    <w:name w:val="endnote reference"/>
    <w:uiPriority w:val="99"/>
    <w:semiHidden/>
    <w:unhideWhenUsed/>
    <w:rPr>
      <w:vertAlign w:val="superscript"/>
    </w:rPr>
  </w:style>
  <w:style w:type="paragraph" w:styleId="1158">
    <w:name w:val="toc 1"/>
    <w:basedOn w:val="973"/>
    <w:next w:val="973"/>
    <w:uiPriority w:val="39"/>
    <w:unhideWhenUsed/>
  </w:style>
  <w:style w:type="paragraph" w:styleId="1159">
    <w:name w:val="toc 2"/>
    <w:basedOn w:val="973"/>
    <w:next w:val="973"/>
    <w:uiPriority w:val="39"/>
    <w:pPr>
      <w:ind w:left="240"/>
    </w:pPr>
  </w:style>
  <w:style w:type="paragraph" w:styleId="1160">
    <w:name w:val="toc 3"/>
    <w:basedOn w:val="973"/>
    <w:next w:val="973"/>
    <w:uiPriority w:val="39"/>
    <w:unhideWhenUsed/>
    <w:pPr>
      <w:ind w:left="480"/>
    </w:pPr>
  </w:style>
  <w:style w:type="paragraph" w:styleId="1161">
    <w:name w:val="toc 4"/>
    <w:basedOn w:val="973"/>
    <w:next w:val="973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62">
    <w:name w:val="toc 5"/>
    <w:basedOn w:val="973"/>
    <w:next w:val="973"/>
    <w:uiPriority w:val="39"/>
    <w:unhideWhenUsed/>
    <w:pPr>
      <w:ind w:left="1134"/>
      <w:spacing w:after="57"/>
    </w:pPr>
  </w:style>
  <w:style w:type="paragraph" w:styleId="1163">
    <w:name w:val="toc 6"/>
    <w:basedOn w:val="973"/>
    <w:next w:val="973"/>
    <w:uiPriority w:val="39"/>
    <w:unhideWhenUsed/>
    <w:pPr>
      <w:ind w:left="1417"/>
      <w:spacing w:after="57"/>
    </w:pPr>
  </w:style>
  <w:style w:type="paragraph" w:styleId="1164">
    <w:name w:val="toc 7"/>
    <w:basedOn w:val="973"/>
    <w:next w:val="973"/>
    <w:uiPriority w:val="39"/>
    <w:unhideWhenUsed/>
    <w:pPr>
      <w:ind w:left="1701"/>
      <w:spacing w:after="57"/>
    </w:pPr>
  </w:style>
  <w:style w:type="paragraph" w:styleId="1165">
    <w:name w:val="toc 8"/>
    <w:basedOn w:val="973"/>
    <w:next w:val="973"/>
    <w:uiPriority w:val="39"/>
    <w:unhideWhenUsed/>
    <w:pPr>
      <w:ind w:left="1984"/>
      <w:spacing w:after="57"/>
    </w:pPr>
  </w:style>
  <w:style w:type="paragraph" w:styleId="1166">
    <w:name w:val="toc 9"/>
    <w:basedOn w:val="973"/>
    <w:next w:val="973"/>
    <w:uiPriority w:val="39"/>
    <w:unhideWhenUsed/>
    <w:pPr>
      <w:ind w:left="2268"/>
      <w:spacing w:after="57"/>
    </w:pPr>
  </w:style>
  <w:style w:type="paragraph" w:styleId="1167">
    <w:name w:val="TOC Heading"/>
    <w:basedOn w:val="974"/>
    <w:next w:val="973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68">
    <w:name w:val="table of figures"/>
    <w:basedOn w:val="973"/>
    <w:next w:val="973"/>
    <w:uiPriority w:val="99"/>
    <w:unhideWhenUsed/>
  </w:style>
  <w:style w:type="character" w:styleId="1169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7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73"/>
    <w:link w:val="1186"/>
    <w:uiPriority w:val="99"/>
    <w:qFormat/>
    <w:rPr>
      <w:sz w:val="20"/>
      <w:szCs w:val="20"/>
    </w:rPr>
  </w:style>
  <w:style w:type="paragraph" w:styleId="1171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72" w:customStyle="1">
    <w:name w:val="Без интервала Знак"/>
    <w:link w:val="1010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73">
    <w:name w:val="Balloon Text"/>
    <w:basedOn w:val="973"/>
    <w:link w:val="1189"/>
    <w:uiPriority w:val="99"/>
    <w:semiHidden/>
    <w:rPr>
      <w:rFonts w:ascii="Tahoma" w:hAnsi="Tahoma" w:cs="Tahoma"/>
      <w:sz w:val="16"/>
      <w:szCs w:val="16"/>
    </w:rPr>
  </w:style>
  <w:style w:type="paragraph" w:styleId="1174" w:customStyle="1">
    <w:name w:val="Верхний колонтитул;ВерхКолонтитул"/>
    <w:basedOn w:val="973"/>
    <w:link w:val="117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75" w:customStyle="1">
    <w:name w:val="Верхний колонтитул Знак;ВерхКолонтитул Знак"/>
    <w:link w:val="1174"/>
    <w:uiPriority w:val="99"/>
    <w:rPr>
      <w:sz w:val="24"/>
      <w:szCs w:val="24"/>
    </w:rPr>
  </w:style>
  <w:style w:type="character" w:styleId="1176" w:customStyle="1">
    <w:name w:val="Нижний колонтитул Знак"/>
    <w:link w:val="1021"/>
    <w:uiPriority w:val="99"/>
    <w:rPr>
      <w:sz w:val="24"/>
      <w:szCs w:val="24"/>
    </w:rPr>
  </w:style>
  <w:style w:type="paragraph" w:styleId="1177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73"/>
    <w:link w:val="1178"/>
    <w:pPr>
      <w:jc w:val="both"/>
    </w:pPr>
    <w:rPr>
      <w:b/>
      <w:bCs/>
    </w:rPr>
  </w:style>
  <w:style w:type="character" w:styleId="1178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77"/>
    <w:semiHidden/>
    <w:rPr>
      <w:b/>
      <w:bCs/>
      <w:sz w:val="24"/>
      <w:szCs w:val="24"/>
      <w:lang w:val="ru-RU" w:eastAsia="ru-RU" w:bidi="ar-SA"/>
    </w:rPr>
  </w:style>
  <w:style w:type="paragraph" w:styleId="1179">
    <w:name w:val="Body Text Indent 2"/>
    <w:basedOn w:val="973"/>
    <w:pPr>
      <w:ind w:firstLine="708"/>
      <w:jc w:val="both"/>
    </w:pPr>
    <w:rPr>
      <w:sz w:val="22"/>
      <w:szCs w:val="22"/>
    </w:rPr>
  </w:style>
  <w:style w:type="character" w:styleId="1180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81">
    <w:name w:val="Body Text"/>
    <w:basedOn w:val="973"/>
    <w:link w:val="1182"/>
    <w:pPr>
      <w:spacing w:after="120"/>
    </w:pPr>
    <w:rPr>
      <w:lang w:val="en-US" w:eastAsia="en-US"/>
    </w:rPr>
  </w:style>
  <w:style w:type="character" w:styleId="1182" w:customStyle="1">
    <w:name w:val="Основной текст Знак"/>
    <w:link w:val="1181"/>
    <w:rPr>
      <w:sz w:val="24"/>
      <w:szCs w:val="24"/>
    </w:rPr>
  </w:style>
  <w:style w:type="paragraph" w:styleId="1183">
    <w:name w:val="Body Text 2"/>
    <w:basedOn w:val="973"/>
    <w:link w:val="1184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84" w:customStyle="1">
    <w:name w:val="Основной текст 2 Знак"/>
    <w:link w:val="1183"/>
    <w:uiPriority w:val="99"/>
    <w:semiHidden/>
    <w:rPr>
      <w:sz w:val="24"/>
      <w:szCs w:val="24"/>
    </w:rPr>
  </w:style>
  <w:style w:type="character" w:styleId="1185" w:customStyle="1">
    <w:name w:val="Знак Знак3"/>
    <w:rPr>
      <w:sz w:val="24"/>
      <w:szCs w:val="24"/>
    </w:rPr>
  </w:style>
  <w:style w:type="character" w:styleId="1186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70"/>
  </w:style>
  <w:style w:type="character" w:styleId="1187" w:customStyle="1">
    <w:name w:val="Текст концевой сноски Знак"/>
    <w:basedOn w:val="983"/>
    <w:link w:val="1155"/>
    <w:uiPriority w:val="99"/>
    <w:semiHidden/>
  </w:style>
  <w:style w:type="paragraph" w:styleId="1188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89" w:customStyle="1">
    <w:name w:val="Текст выноски Знак"/>
    <w:link w:val="1173"/>
    <w:uiPriority w:val="99"/>
    <w:semiHidden/>
    <w:rPr>
      <w:rFonts w:ascii="Tahoma" w:hAnsi="Tahoma" w:cs="Tahoma"/>
      <w:sz w:val="16"/>
      <w:szCs w:val="16"/>
    </w:rPr>
  </w:style>
  <w:style w:type="character" w:styleId="1190" w:customStyle="1">
    <w:name w:val="Заголовок 4 Знак"/>
    <w:link w:val="977"/>
    <w:rPr>
      <w:b/>
      <w:bCs/>
      <w:sz w:val="22"/>
      <w:szCs w:val="22"/>
    </w:rPr>
  </w:style>
  <w:style w:type="character" w:styleId="1191">
    <w:name w:val="Emphasis"/>
    <w:uiPriority w:val="20"/>
    <w:qFormat/>
    <w:rPr>
      <w:i/>
      <w:iCs/>
    </w:rPr>
  </w:style>
  <w:style w:type="paragraph" w:styleId="1192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173</cp:revision>
  <dcterms:created xsi:type="dcterms:W3CDTF">2019-06-17T11:46:00Z</dcterms:created>
  <dcterms:modified xsi:type="dcterms:W3CDTF">2024-07-05T13:10:20Z</dcterms:modified>
  <cp:version>1048576</cp:version>
</cp:coreProperties>
</file>