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76" w:lineRule="auto"/>
        <w:ind w:left="6379"/>
        <w:contextualSpacing/>
        <w:rPr>
          <w:rFonts w:eastAsia="Calibri"/>
          <w:color w:val="000000"/>
          <w:sz w:val="20"/>
          <w:szCs w:val="20"/>
          <w:lang w:eastAsia="en-US"/>
        </w:rPr>
      </w:pPr>
      <w:bookmarkStart w:id="0" w:name="_GoBack"/>
      <w:bookmarkEnd w:id="0"/>
      <w:r>
        <w:rPr>
          <w:rFonts w:eastAsia="Calibri"/>
          <w:color w:val="000000"/>
          <w:sz w:val="20"/>
          <w:szCs w:val="20"/>
          <w:lang w:eastAsia="en-US"/>
        </w:rPr>
        <w:t xml:space="preserve">Приложение 2</w:t>
      </w:r>
    </w:p>
    <w:p>
      <w:pPr>
        <w:spacing w:line="276" w:lineRule="auto"/>
        <w:ind w:left="6379"/>
        <w:contextualSpacing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 xml:space="preserve">к приказу Чеченского РФ                </w:t>
      </w:r>
      <w:r>
        <w:rPr>
          <w:rFonts w:eastAsia="Calibri"/>
          <w:color w:val="000000"/>
          <w:sz w:val="20"/>
          <w:szCs w:val="20"/>
          <w:lang w:eastAsia="en-US"/>
        </w:rPr>
        <w:br w:type="textWrapping" w:clear="all"/>
      </w:r>
      <w:r>
        <w:rPr>
          <w:rFonts w:eastAsia="Calibri"/>
          <w:color w:val="000000"/>
          <w:sz w:val="20"/>
          <w:szCs w:val="20"/>
          <w:lang w:eastAsia="en-US"/>
        </w:rPr>
        <w:t xml:space="preserve">АО «Россельхозбанк»</w:t>
      </w:r>
    </w:p>
    <w:p>
      <w:pPr>
        <w:spacing w:after="200" w:line="276" w:lineRule="auto"/>
        <w:ind w:left="6379"/>
        <w:rPr>
          <w:rFonts w:eastAsia="Calibri"/>
          <w:sz w:val="22"/>
          <w:szCs w:val="22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 xml:space="preserve">от 20.1</w:t>
      </w:r>
      <w:r>
        <w:rPr>
          <w:rFonts w:eastAsia="Calibri"/>
          <w:color w:val="000000"/>
          <w:sz w:val="20"/>
          <w:szCs w:val="20"/>
          <w:lang w:val="en-US" w:eastAsia="en-US"/>
        </w:rPr>
        <w:t xml:space="preserve">2</w:t>
      </w:r>
      <w:r>
        <w:rPr>
          <w:rFonts w:eastAsia="Calibri"/>
          <w:color w:val="000000"/>
          <w:sz w:val="20"/>
          <w:szCs w:val="20"/>
          <w:lang w:eastAsia="en-US"/>
        </w:rPr>
        <w:t xml:space="preserve">.2024 № 034-29-01/</w:t>
      </w:r>
      <w:r>
        <w:rPr>
          <w:rFonts w:eastAsia="Calibri"/>
          <w:color w:val="000000"/>
          <w:sz w:val="20"/>
          <w:szCs w:val="20"/>
          <w:lang w:val="en-US" w:eastAsia="en-US"/>
        </w:rPr>
        <w:t xml:space="preserve">533-</w:t>
      </w:r>
      <w:r>
        <w:rPr>
          <w:rFonts w:eastAsia="Calibri"/>
          <w:color w:val="000000"/>
          <w:sz w:val="20"/>
          <w:szCs w:val="20"/>
          <w:lang w:eastAsia="en-US"/>
        </w:rPr>
        <w:t xml:space="preserve">ОД</w:t>
      </w:r>
    </w:p>
    <w:p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99"/>
      </w:tblGrid>
      <w:tr>
        <w:trPr>
          <w:jc w:val="center"/>
        </w:trPr>
        <w:tc>
          <w:tcPr>
            <w:tcW w:w="5000" w:type="pct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</w:p>
          <w:p>
            <w:pPr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caps/>
                <w:sz w:val="28"/>
                <w:szCs w:val="28"/>
                <w:lang w:eastAsia="en-US"/>
              </w:rPr>
              <w:t xml:space="preserve">чеченский РЕГИОНАЛЬНЫЙ ФИЛИАЛ</w:t>
            </w:r>
          </w:p>
          <w:p>
            <w:pPr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caps/>
                <w:sz w:val="28"/>
                <w:szCs w:val="28"/>
                <w:lang w:eastAsia="en-US"/>
              </w:rPr>
              <w:t xml:space="preserve">АО «РОССЕЛЬХОЗБАНК»</w:t>
            </w:r>
          </w:p>
          <w:p>
            <w:pPr>
              <w:ind w:right="12"/>
              <w:rPr>
                <w:i/>
                <w:caps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5000" w:type="pct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Align w:val="center"/>
          </w:tcPr>
          <w:p>
            <w:pPr>
              <w:pStyle w:val="a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>
            <w:pPr>
              <w:pStyle w:val="a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ТАРИФЫ </w:t>
            </w:r>
          </w:p>
          <w:p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КОМИССИОННОГОВОЗНАГРАЖДЕНИЯ НА УСЛУГИ</w:t>
            </w:r>
          </w:p>
          <w:p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ЮРИДИЧЕСКИМ ЛИЦАМ, СУБЪЕКТАМ РОССИЙСКОЙ ФЕДЕРАЦИИ, МУНИЦИПАЛЬНЫМ ОБРАЗОВАНИЯМ, ИНДИВИДУАЛЬНЫМ ПРЕДПРИНИМАТЕЛЯМ И ФИЗИЧЕСКИМ ЛИЦАМ, ЗАНИМАЮЩИМСЯ В УСТАНОВЛЕННОМ ЗАКОНОДАТЕЛЬСТВОМ  </w:t>
            </w:r>
          </w:p>
          <w:p>
            <w:pPr>
              <w:pStyle w:val="a4"/>
              <w:jc w:val="center"/>
              <w:rPr>
                <w:rFonts w:ascii="Cambria" w:hAnsi="Cambria" w:cs="Cambria"/>
                <w:sz w:val="80"/>
                <w:szCs w:val="8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РОССИЙСКОЙ  ФЕДЕРАЦИИ ПОРЯДКЕ ЧАСТНОЙ ПРАКТИКОЙ</w:t>
            </w:r>
          </w:p>
        </w:tc>
      </w:tr>
      <w:tr>
        <w:trPr>
          <w:jc w:val="center"/>
        </w:trPr>
        <w:tc>
          <w:tcPr>
            <w:tcW w:w="5000" w:type="pct"/>
            <w:tcBorders>
              <w:top w:val="none" w:color="000000" w:sz="4" w:space="0"/>
              <w:left w:val="none" w:color="000000" w:sz="4" w:space="0"/>
              <w:bottom w:val="single" w:color="008444" w:sz="12" w:space="0"/>
              <w:right w:val="none" w:color="000000" w:sz="4" w:space="0"/>
            </w:tcBorders>
            <w:vAlign w:val="center"/>
          </w:tcPr>
          <w:p>
            <w:pPr>
              <w:pStyle w:val="a4"/>
              <w:jc w:val="center"/>
            </w:pPr>
          </w:p>
        </w:tc>
      </w:tr>
      <w:tr>
        <w:trPr>
          <w:jc w:val="center"/>
        </w:trPr>
        <w:tc>
          <w:tcPr>
            <w:tcW w:w="5000" w:type="pct"/>
            <w:tcBorders>
              <w:top w:val="single" w:color="008444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Align w:val="center"/>
          </w:tcPr>
          <w:p>
            <w:pPr>
              <w:pStyle w:val="a4"/>
              <w:jc w:val="center"/>
              <w:rPr>
                <w:b/>
                <w:bCs/>
              </w:rPr>
            </w:pPr>
          </w:p>
        </w:tc>
      </w:tr>
      <w:tr>
        <w:trPr>
          <w:jc w:val="center"/>
        </w:trPr>
        <w:tc>
          <w:tcPr>
            <w:tcW w:w="5000" w:type="pct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Align w:val="center"/>
          </w:tcPr>
          <w:p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действуют с 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25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.12.2024</w:t>
            </w:r>
          </w:p>
        </w:tc>
      </w:tr>
    </w:tbl>
    <w:p/>
    <w:p/>
    <w:p/>
    <w:p/>
    <w:tbl>
      <w:tblPr>
        <w:tblpPr w:horzAnchor="margin" w:tblpXSpec="center" w:vertAnchor="text" w:tblpY="56" w:leftFromText="180" w:rightFromText="180"/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092"/>
        <w:gridCol w:w="5797"/>
      </w:tblGrid>
      <w:tr>
        <w:trPr>
          <w:trHeight w:val="851"/>
        </w:trPr>
        <w:tc>
          <w:tcPr>
            <w:tcW w:w="2069" w:type="pct"/>
            <w:vAlign w:val="center"/>
          </w:tcPr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</w:p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ССП-владелец НД:</w:t>
            </w:r>
          </w:p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2931" w:type="pct"/>
            <w:vAlign w:val="center"/>
          </w:tcPr>
          <w:p>
            <w:pPr>
              <w:spacing w:line="30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Чеченский РФ АО «Россельхозбанк»</w:t>
            </w:r>
          </w:p>
        </w:tc>
      </w:tr>
      <w:tr>
        <w:trPr>
          <w:trHeight w:val="851"/>
        </w:trPr>
        <w:tc>
          <w:tcPr>
            <w:tcW w:w="2069" w:type="pct"/>
            <w:vAlign w:val="center"/>
          </w:tcPr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</w:p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Код и наименование процесса(ов):</w:t>
            </w:r>
          </w:p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2931" w:type="pct"/>
            <w:vAlign w:val="center"/>
          </w:tcPr>
          <w:p>
            <w:pPr>
              <w:spacing w:line="30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II.27.00.6.Ю/23 Разработка, модификация и упразднение продуктов и услуг</w:t>
            </w:r>
          </w:p>
        </w:tc>
      </w:tr>
      <w:tr>
        <w:trPr>
          <w:trHeight w:val="851"/>
        </w:trPr>
        <w:tc>
          <w:tcPr>
            <w:tcW w:w="2069" w:type="pct"/>
            <w:vAlign w:val="center"/>
          </w:tcPr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</w:p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Код нормативного документа:</w:t>
            </w:r>
          </w:p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2931" w:type="pct"/>
            <w:vAlign w:val="center"/>
          </w:tcPr>
          <w:p>
            <w:pPr>
              <w:spacing w:line="30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1-13/04</w:t>
            </w:r>
          </w:p>
        </w:tc>
      </w:tr>
      <w:tr>
        <w:trPr>
          <w:trHeight w:val="851"/>
        </w:trPr>
        <w:tc>
          <w:tcPr>
            <w:tcW w:w="2069" w:type="pct"/>
            <w:vAlign w:val="center"/>
          </w:tcPr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</w:p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Номер версии:</w:t>
            </w:r>
          </w:p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2931" w:type="pct"/>
            <w:vAlign w:val="center"/>
          </w:tcPr>
          <w:p>
            <w:pPr>
              <w:spacing w:line="30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01</w:t>
            </w:r>
          </w:p>
        </w:tc>
      </w:tr>
      <w:tr>
        <w:trPr>
          <w:trHeight w:val="851"/>
        </w:trPr>
        <w:tc>
          <w:tcPr>
            <w:tcW w:w="2069" w:type="pct"/>
            <w:vAlign w:val="center"/>
          </w:tcPr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</w:p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Область применения:</w:t>
            </w:r>
          </w:p>
          <w:p>
            <w:pPr>
              <w:spacing w:line="300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2931" w:type="pct"/>
            <w:vAlign w:val="center"/>
          </w:tcPr>
          <w:p>
            <w:pPr>
              <w:spacing w:line="300" w:lineRule="auto"/>
              <w:jc w:val="both"/>
              <w:rPr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РФ/ВСП РФ</w:t>
            </w:r>
          </w:p>
        </w:tc>
      </w:tr>
    </w:tbl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b/>
          <w:caps/>
          <w:sz w:val="22"/>
          <w:szCs w:val="22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531620" cy="104521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531620" cy="104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20.60pt;height:82.3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</w:p>
    <w:p>
      <w:pPr>
        <w:rPr>
          <w:b/>
          <w:caps/>
          <w:sz w:val="22"/>
          <w:szCs w:val="22"/>
        </w:rPr>
      </w:pPr>
    </w:p>
    <w:p>
      <w:pPr>
        <w:outlineLvl w:val="0"/>
        <w:rPr>
          <w:b/>
          <w:caps/>
          <w:sz w:val="22"/>
          <w:szCs w:val="22"/>
        </w:rPr>
      </w:pPr>
      <w:bookmarkStart w:id="1" w:name="_Toc3391100"/>
      <w:bookmarkStart w:id="2" w:name="_Toc3391770"/>
      <w:bookmarkStart w:id="3" w:name="_Toc3391832"/>
      <w:r>
        <w:rPr>
          <w:b/>
          <w:caps/>
          <w:sz w:val="22"/>
          <w:szCs w:val="22"/>
        </w:rPr>
        <w:t xml:space="preserve">Содержание:</w:t>
      </w:r>
      <w:bookmarkEnd w:id="1"/>
      <w:bookmarkEnd w:id="2"/>
      <w:bookmarkEnd w:id="3"/>
    </w:p>
    <w:p/>
    <w:p>
      <w:r>
        <w:t xml:space="preserve">1. Открытие и ведение счетов</w:t>
      </w:r>
      <w:r>
        <w:tab/>
        <w:t xml:space="preserve">……………………………………………………………. 3</w:t>
      </w:r>
    </w:p>
    <w:p>
      <w:r>
        <w:t xml:space="preserve">2. Кассовые операции</w:t>
      </w:r>
      <w:r>
        <w:tab/>
        <w:t xml:space="preserve"> …………………………………………………………………...22</w:t>
      </w:r>
    </w:p>
    <w:p>
      <w:r>
        <w:t xml:space="preserve">3. Выполнение функций агента валютного контроля</w:t>
      </w:r>
      <w:r>
        <w:tab/>
        <w:t xml:space="preserve">…………………………………… 26</w:t>
      </w:r>
    </w:p>
    <w:p>
      <w:r>
        <w:t xml:space="preserve">4. Операции с ценными бумагами</w:t>
      </w:r>
      <w:r>
        <w:tab/>
        <w:t xml:space="preserve">……………………………………………………………30</w:t>
      </w:r>
    </w:p>
    <w:p>
      <w:r>
        <w:t xml:space="preserve">5. Документарные операции</w:t>
      </w:r>
      <w:r>
        <w:tab/>
        <w:t xml:space="preserve">……………………………………………………………31</w:t>
      </w:r>
    </w:p>
    <w:p>
      <w:r>
        <w:t xml:space="preserve">6. Гарантийные операции</w:t>
      </w:r>
      <w:r>
        <w:tab/>
        <w:t xml:space="preserve">……………………………………………………………………37</w:t>
      </w:r>
    </w:p>
    <w:p>
      <w:r>
        <w:t xml:space="preserve">7. Дистанционное банковское обслуживание (ДБО)</w:t>
      </w:r>
      <w:r>
        <w:tab/>
        <w:t xml:space="preserve">…………………………………… 40</w:t>
      </w:r>
    </w:p>
    <w:p>
      <w:r>
        <w:t xml:space="preserve">8. Хранение ценностей клиентов в хранилище ценностей Банка</w:t>
      </w:r>
      <w:r>
        <w:tab/>
        <w:t xml:space="preserve">…………………… 45</w:t>
      </w:r>
    </w:p>
    <w:p>
      <w:r>
        <w:t xml:space="preserve">9. Операции по </w:t>
      </w:r>
      <w:r>
        <w:t xml:space="preserve">предоставлению клиентам в аренду индивидуальных сейфовых ячеек… 46</w:t>
      </w:r>
    </w:p>
    <w:p>
      <w:r>
        <w:t xml:space="preserve">10. Услуги инкассации по отдельному договору с Российским объединением </w:t>
      </w:r>
    </w:p>
    <w:p>
      <w:r>
        <w:t xml:space="preserve">       инкассации Банка России………………………………………………………………… 47</w:t>
      </w:r>
    </w:p>
    <w:p>
      <w:r>
        <w:t xml:space="preserve">11. Операции по покупкепродаже иностранной валюты</w:t>
      </w:r>
      <w:r>
        <w:tab/>
        <w:t xml:space="preserve">……………………</w:t>
      </w:r>
      <w:r>
        <w:t xml:space="preserve">………. 48</w:t>
      </w:r>
    </w:p>
    <w:p>
      <w:r>
        <w:t xml:space="preserve">12. Кредитные операции</w:t>
      </w:r>
      <w:r>
        <w:tab/>
        <w:t xml:space="preserve">……………………………………………………………………49</w:t>
      </w:r>
    </w:p>
    <w:p>
      <w:r>
        <w:t xml:space="preserve">13. Обслуживание торговосервисных предприятий, принимающих к оплате </w:t>
      </w:r>
    </w:p>
    <w:p>
      <w:r>
        <w:t xml:space="preserve">      платежные карты</w:t>
      </w:r>
      <w:r>
        <w:tab/>
        <w:t xml:space="preserve">……………………………………………………………………60</w:t>
      </w:r>
    </w:p>
    <w:p>
      <w:r>
        <w:t xml:space="preserve">14. Депозитарные услуги</w:t>
      </w:r>
      <w:r>
        <w:tab/>
        <w:t xml:space="preserve">……………………………………………………………………62</w:t>
      </w:r>
    </w:p>
    <w:p>
      <w:r>
        <w:t xml:space="preserve">15. Операции с монетами</w:t>
      </w:r>
      <w:r>
        <w:t xml:space="preserve"> из драгоценных металлов</w:t>
      </w:r>
      <w:r>
        <w:tab/>
        <w:t xml:space="preserve">…………………………………… 67</w:t>
      </w:r>
    </w:p>
    <w:p>
      <w:r>
        <w:t xml:space="preserve">16. Операции с драгоценными металлами …………………………………………………...67</w:t>
      </w:r>
    </w:p>
    <w:p>
      <w:r>
        <w:t xml:space="preserve">17.Обслуживание с использованием Торговой системы РСХБДилинг </w:t>
      </w:r>
    </w:p>
    <w:p>
      <w:r>
        <w:t xml:space="preserve">       АО «Россельхозбан</w:t>
      </w:r>
      <w:bookmarkStart w:id="4" w:name="_Toc421185893"/>
      <w:r>
        <w:t xml:space="preserve">к» ……………………………………………………………………. 68</w:t>
      </w:r>
    </w:p>
    <w:p>
      <w:r>
        <w:t xml:space="preserve">18. Операции с использованием </w:t>
      </w:r>
      <w:r>
        <w:t xml:space="preserve">цифрового рубля………………………………………….. 71</w:t>
      </w:r>
    </w:p>
    <w:p>
      <w:pPr>
        <w:tabs>
          <w:tab w:val="left" w:pos="426"/>
        </w:tabs>
        <w:jc w:val="center"/>
        <w:rPr>
          <w:b/>
          <w:sz w:val="22"/>
          <w:szCs w:val="22"/>
        </w:rPr>
      </w:pPr>
      <w:r>
        <w:br w:type="page" w:clear="all"/>
      </w:r>
      <w:r>
        <w:rPr>
          <w:b/>
          <w:sz w:val="22"/>
          <w:szCs w:val="22"/>
        </w:rPr>
        <w:t xml:space="preserve">1. Открытие и ведение счетов</w:t>
      </w:r>
      <w:bookmarkEnd w:id="4"/>
    </w:p>
    <w:p/>
    <w:tbl>
      <w:tblPr>
        <w:tblW w:w="507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18"/>
        <w:gridCol w:w="3614"/>
        <w:gridCol w:w="2281"/>
        <w:gridCol w:w="3460"/>
      </w:tblGrid>
      <w:tr>
        <w:trPr>
          <w:tblHeader/>
        </w:trPr>
        <w:tc>
          <w:tcPr>
            <w:tcW w:w="447" w:type="pct"/>
            <w:shd w:val="clear" w:color="auto" w:fill="fff2cc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</w:p>
        </w:tc>
        <w:tc>
          <w:tcPr>
            <w:tcW w:w="1759" w:type="pct"/>
            <w:shd w:val="clear" w:color="auto" w:fill="fff2cc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</w:p>
        </w:tc>
        <w:tc>
          <w:tcPr>
            <w:tcW w:w="1110" w:type="pct"/>
            <w:shd w:val="clear" w:color="auto" w:fill="fff2cc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</w:p>
        </w:tc>
        <w:tc>
          <w:tcPr>
            <w:tcW w:w="1684" w:type="pct"/>
            <w:shd w:val="clear" w:color="auto" w:fill="fff2cc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</w:p>
        </w:tc>
      </w:tr>
      <w:tr>
        <w:tc>
          <w:tcPr>
            <w:tcW w:w="5000" w:type="pct"/>
            <w:gridSpan w:val="4"/>
          </w:tcPr>
          <w:p>
            <w:pPr>
              <w:rPr>
                <w:b/>
                <w:sz w:val="20"/>
                <w:szCs w:val="20"/>
              </w:rPr>
            </w:pPr>
            <w:bookmarkStart w:id="5" w:name="_Toc3391101"/>
            <w:bookmarkStart w:id="6" w:name="_Toc3391771"/>
            <w:r>
              <w:rPr>
                <w:b/>
                <w:sz w:val="20"/>
                <w:szCs w:val="20"/>
              </w:rPr>
              <w:t xml:space="preserve">1.1. Открытие и ведение счетов в рублях РФ</w:t>
            </w:r>
            <w:bookmarkEnd w:id="5"/>
            <w:bookmarkEnd w:id="6"/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</w:t>
            </w:r>
          </w:p>
        </w:tc>
        <w:tc>
          <w:tcPr>
            <w:tcW w:w="1759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счета:</w:t>
            </w:r>
          </w:p>
        </w:tc>
        <w:tc>
          <w:tcPr>
            <w:tcW w:w="1110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2 500 руб.</w:t>
            </w:r>
          </w:p>
        </w:tc>
        <w:tc>
          <w:tcPr>
            <w:tcW w:w="1684" w:type="pct"/>
            <w:vMerge w:val="restar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взимается.</w:t>
            </w: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переходе на обслуживание из другого подразделения Банка и предъявлении клиентом Уведомления о закрытии счета в подразделении Банка, выд</w:t>
            </w:r>
            <w:r>
              <w:rPr>
                <w:sz w:val="20"/>
                <w:szCs w:val="20"/>
              </w:rPr>
              <w:t xml:space="preserve">анного в течение 3х месяцев с даты закрытия счета</w:t>
            </w:r>
          </w:p>
        </w:tc>
        <w:tc>
          <w:tcPr>
            <w:tcW w:w="1110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</w:p>
        </w:tc>
        <w:tc>
          <w:tcPr>
            <w:tcW w:w="1684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накопительного счета, счета с особым режимом, счета по депозиту</w:t>
            </w:r>
          </w:p>
        </w:tc>
        <w:tc>
          <w:tcPr>
            <w:tcW w:w="1110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</w:p>
        </w:tc>
        <w:tc>
          <w:tcPr>
            <w:tcW w:w="1684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 для</w:t>
            </w:r>
            <w:r>
              <w:rPr>
                <w:sz w:val="20"/>
                <w:szCs w:val="20"/>
              </w:rPr>
              <w:t xml:space="preserve"> клиентов, в отношении которых введена любая из процедур, применяемых в деле о банкротстве в соответствии с Федеральным законом от 26.10.2002 № 127-ФЗ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«О несостоятельности (банкротстве)» или находящихся в процессе ликвидации.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110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2 500 руб.</w:t>
            </w:r>
          </w:p>
        </w:tc>
        <w:tc>
          <w:tcPr>
            <w:tcW w:w="1684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клиентам,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 21.07.2007 № 185ФЗ «О Фонде содействия реформировани</w:t>
            </w:r>
            <w:r>
              <w:rPr>
                <w:sz w:val="20"/>
                <w:szCs w:val="20"/>
              </w:rPr>
              <w:t xml:space="preserve">ю жилищнокоммунального хозяйства» в рамках заключенных договоров специального банковского счета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110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клиентам, заключившим договор специального банковского счета для формирования фонда капитального ремонта в рамках требований Жилищного кодекса РФ от 29.12.2004 № 188ФЗ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110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на счета физических лиц взимается в соответствии с п. 1.1.8 Тарифов.</w:t>
            </w: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номинального банковского счета, открываемого организациям, на которые возлагается исполнение обязанностей опекунов и</w:t>
            </w:r>
            <w:r>
              <w:rPr>
                <w:sz w:val="20"/>
                <w:szCs w:val="20"/>
              </w:rPr>
              <w:t xml:space="preserve">ли попечителей</w:t>
            </w:r>
          </w:p>
        </w:tc>
        <w:tc>
          <w:tcPr>
            <w:tcW w:w="1110" w:type="pct"/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1684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клиентам</w:t>
            </w:r>
            <w:r>
              <w:rPr>
                <w:sz w:val="20"/>
                <w:szCs w:val="20"/>
              </w:rPr>
              <w:t xml:space="preserve">, являющимся садоводческими или огородническими некоммерческими товариществами в соответствии с Федеральным законом от 29.07.2017 №</w:t>
            </w:r>
            <w:r>
              <w:rPr>
                <w:sz w:val="20"/>
                <w:szCs w:val="20"/>
                <w:lang w:val="en-US"/>
              </w:rPr>
              <w:t xml:space="preserve"> </w:t>
            </w:r>
            <w:r>
              <w:rPr>
                <w:sz w:val="20"/>
                <w:szCs w:val="20"/>
              </w:rPr>
              <w:t xml:space="preserve">217ФЗ «О ведении гражданами садоводства и огородничества для собственных нужд и о вн</w:t>
            </w:r>
            <w:r>
              <w:rPr>
                <w:sz w:val="20"/>
                <w:szCs w:val="20"/>
              </w:rPr>
              <w:t xml:space="preserve">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 15.04.1998 № 66ФЗ «О садоводческих, огороднич</w:t>
            </w:r>
            <w:r>
              <w:rPr>
                <w:sz w:val="20"/>
                <w:szCs w:val="20"/>
              </w:rPr>
              <w:t xml:space="preserve">еских и дачных некоммерческих объединениях граждан</w:t>
            </w:r>
          </w:p>
          <w:p>
            <w:pPr>
              <w:spacing w:before="40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pct"/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</w:p>
        </w:tc>
        <w:tc>
          <w:tcPr>
            <w:tcW w:w="1684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специального счета участника закупки для обеспечения заявок на участие в конкурсах и аукционах</w:t>
            </w:r>
          </w:p>
        </w:tc>
        <w:tc>
          <w:tcPr>
            <w:tcW w:w="1110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  не взимается</w:t>
            </w:r>
          </w:p>
        </w:tc>
        <w:tc>
          <w:tcPr>
            <w:tcW w:w="1684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зачисления возмещения по операциям с использованием платежных карт в рамках договора эквайринга, заключенного </w:t>
            </w:r>
            <w:r>
              <w:rPr>
                <w:sz w:val="20"/>
                <w:szCs w:val="20"/>
              </w:rPr>
              <w:t xml:space="preserve">с АО «Россельхозбанк»</w:t>
            </w:r>
          </w:p>
        </w:tc>
        <w:tc>
          <w:tcPr>
            <w:tcW w:w="1110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pct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не взимается при одновременном соблюдении следующих условий:</w:t>
            </w:r>
          </w:p>
          <w:p>
            <w:pPr>
              <w:pStyle w:val="a3"/>
              <w:numPr>
                <w:numId w:val="21"/>
                <w:ilvl w:val="0"/>
              </w:numPr>
              <w:tabs>
                <w:tab w:val="left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Наличие у клиента действующего дог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овора о выпуске и обслуживании бизнес-карты к расчетному счету (бизнес-карта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обслуживается в рамках тарифного плана «Корпоративный Плюс»)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</w:t>
            </w:r>
          </w:p>
          <w:p>
            <w:pPr>
              <w:pStyle w:val="a3"/>
              <w:numPr>
                <w:numId w:val="21"/>
                <w:ilvl w:val="0"/>
              </w:numPr>
              <w:tabs>
                <w:tab w:val="left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Подписание с клиентом договора эквайринга 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договора о выпуске и обслуживании бизнес-карты к расчетному счету в одном региональном филиале Банка.</w:t>
            </w:r>
          </w:p>
          <w:p>
            <w:pPr>
              <w:tabs>
                <w:tab w:val="left" w:pos="447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Выполнение условий подтверждается надписью на заявлении на открытие счета «Счет для зачисления возмещения по операциям с использованием платежных карт в р</w:t>
            </w:r>
            <w:r>
              <w:rPr>
                <w:color w:val="000000"/>
                <w:sz w:val="20"/>
                <w:szCs w:val="20"/>
              </w:rPr>
              <w:t xml:space="preserve">амках договора эквайринга, заключенного с </w:t>
            </w:r>
            <w:r>
              <w:rPr>
                <w:color w:val="000000"/>
                <w:sz w:val="20"/>
                <w:szCs w:val="20"/>
              </w:rPr>
              <w:br/>
              <w:t xml:space="preserve">АО «Россельхозбанк», сделанной сотрудником регионального филиала Банка.</w:t>
            </w:r>
          </w:p>
          <w:p>
            <w:pPr>
              <w:tabs>
                <w:tab w:val="left" w:pos="447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 несоблюдении любого из указанных условий комиссия взимается в стандартном размере.</w:t>
            </w:r>
          </w:p>
          <w:p>
            <w:pPr>
              <w:tabs>
                <w:tab w:val="left" w:pos="447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Если бизнес-карты обслуживается в рамках тарифного пла</w:t>
            </w:r>
            <w:r>
              <w:rPr>
                <w:color w:val="000000"/>
                <w:sz w:val="20"/>
                <w:szCs w:val="20"/>
              </w:rPr>
              <w:t xml:space="preserve">на «Корпоративный» комиссия взимается в стандартном размере.</w:t>
            </w: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«Россельхозбанк» </w:t>
            </w:r>
            <w:r>
              <w:rPr>
                <w:sz w:val="20"/>
                <w:szCs w:val="20"/>
              </w:rPr>
              <w:br/>
              <w:t xml:space="preserve">по кредитным сделкам***, </w:t>
            </w:r>
            <w:r>
              <w:rPr>
                <w:sz w:val="20"/>
                <w:szCs w:val="20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 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находящихся в процессе ликвидации</w:t>
            </w:r>
          </w:p>
        </w:tc>
        <w:tc>
          <w:tcPr>
            <w:tcW w:w="1110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1684" w:type="pct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«Россельхозбанк»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по кредитным сделкам в полном объеме</w:t>
            </w:r>
            <w:r>
              <w:rPr>
                <w:bCs/>
                <w:sz w:val="20"/>
                <w:szCs w:val="20"/>
              </w:rPr>
              <w:t xml:space="preserve">, комиссия взимается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в стандартном размере.</w:t>
            </w: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1.1.2.</w:t>
            </w:r>
          </w:p>
        </w:tc>
        <w:tc>
          <w:tcPr>
            <w:tcW w:w="1759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</w:p>
        </w:tc>
        <w:tc>
          <w:tcPr>
            <w:tcW w:w="1110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</w:p>
        </w:tc>
        <w:tc>
          <w:tcPr>
            <w:tcW w:w="1684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1.1.3.</w:t>
            </w:r>
          </w:p>
        </w:tc>
        <w:tc>
          <w:tcPr>
            <w:tcW w:w="1759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</w:t>
            </w:r>
          </w:p>
        </w:tc>
        <w:tc>
          <w:tcPr>
            <w:tcW w:w="1110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 руб.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</w:t>
            </w:r>
          </w:p>
        </w:tc>
        <w:tc>
          <w:tcPr>
            <w:tcW w:w="1684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для клиентов, включенных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</w:t>
            </w:r>
            <w:r>
              <w:rPr>
                <w:sz w:val="20"/>
                <w:szCs w:val="20"/>
              </w:rPr>
              <w:t xml:space="preserve">тствии с Федеральным законом от 21.07.2007 № 185ФЗ «О Фонде содействия реформированию жилищнокоммунального хозяйства» в рамках заключенных договоров специального банковского счета  </w:t>
            </w:r>
          </w:p>
        </w:tc>
        <w:tc>
          <w:tcPr>
            <w:tcW w:w="1110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</w:p>
        </w:tc>
        <w:tc>
          <w:tcPr>
            <w:tcW w:w="1684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использовании клиентом системы дистанционного банков</w:t>
            </w:r>
            <w:r>
              <w:rPr>
                <w:sz w:val="20"/>
                <w:szCs w:val="20"/>
              </w:rPr>
              <w:t xml:space="preserve">ского </w:t>
            </w:r>
            <w:r>
              <w:rPr>
                <w:sz w:val="20"/>
                <w:szCs w:val="20"/>
              </w:rPr>
              <w:t xml:space="preserve">обслуживания</w:t>
            </w:r>
          </w:p>
        </w:tc>
        <w:tc>
          <w:tcPr>
            <w:tcW w:w="1110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 руб.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</w:t>
            </w:r>
          </w:p>
        </w:tc>
        <w:tc>
          <w:tcPr>
            <w:tcW w:w="1684" w:type="pct"/>
          </w:tcPr>
          <w:p>
            <w:pPr>
              <w:spacing w:before="40"/>
              <w:ind w:left="3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Кроме месяца, в котором установлена система </w:t>
            </w:r>
            <w:r>
              <w:rPr>
                <w:sz w:val="20"/>
                <w:szCs w:val="20"/>
                <w:lang w:eastAsia="en-US"/>
              </w:rPr>
              <w:t xml:space="preserve">дистанционного банковского обслуживания.</w:t>
            </w:r>
          </w:p>
          <w:p>
            <w:pPr>
              <w:spacing w:before="40"/>
              <w:ind w:left="3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случ</w:t>
            </w:r>
            <w:r>
              <w:rPr>
                <w:sz w:val="20"/>
                <w:szCs w:val="20"/>
                <w:lang w:eastAsia="en-US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sz w:val="20"/>
                <w:szCs w:val="20"/>
                <w:lang w:eastAsia="en-US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>
            <w:pPr>
              <w:spacing w:before="40"/>
              <w:ind w:left="3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sz w:val="20"/>
                <w:szCs w:val="20"/>
                <w:lang w:eastAsia="en-US"/>
              </w:rPr>
              <w:t xml:space="preserve">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для</w:t>
            </w:r>
            <w:r>
              <w:rPr>
                <w:sz w:val="20"/>
                <w:szCs w:val="20"/>
              </w:rPr>
              <w:t xml:space="preserve"> клиентов, в отношении которых введена любая из процедур, применяемых в деле о банкротстве в соответствии с Федеральным законом от 26.10.2002 № 127-ФЗ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«О несостоятельности (банкротстве)» или находящихся в процессе ликвидации</w:t>
            </w:r>
          </w:p>
        </w:tc>
        <w:tc>
          <w:tcPr>
            <w:tcW w:w="1110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  2200 руб. в месяц пр</w:t>
            </w:r>
            <w:r>
              <w:rPr>
                <w:sz w:val="20"/>
                <w:szCs w:val="20"/>
                <w:lang w:eastAsia="en-US"/>
              </w:rPr>
              <w:t xml:space="preserve">и использовании клиентом системы дистанционного банковского обслуживания;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5000 руб. в месяц без использования клиентом системы дистанционного банковского обслуживания</w:t>
            </w:r>
          </w:p>
        </w:tc>
        <w:tc>
          <w:tcPr>
            <w:tcW w:w="1684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клиентам, заключившим договор специального банковского счета для формирования фонда капитального ремонта в рамках требований Жилищного кодекса РФ от 29.12.2004 № 188ФЗ, в том числе при использовании клиентом системы дистанционного банковского обслуживания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1110" w:type="pct"/>
          </w:tcPr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1684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клиентам, являющимся садоводческими или огородническими </w:t>
            </w:r>
            <w:r>
              <w:rPr>
                <w:bCs/>
                <w:sz w:val="20"/>
                <w:szCs w:val="20"/>
              </w:rPr>
              <w:t xml:space="preserve">некоммерческими товариществами в соответствии с Федеральным законом от 29.07.2017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№ 217ФЗ 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</w:t>
            </w:r>
            <w:r>
              <w:rPr>
                <w:bCs/>
                <w:sz w:val="20"/>
                <w:szCs w:val="20"/>
              </w:rPr>
              <w:t xml:space="preserve"> в соответствии с Федеральным законом от 15.04.1998 № 66ФЗ 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1110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1684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при отсутств</w:t>
            </w:r>
            <w:r>
              <w:rPr>
                <w:sz w:val="20"/>
                <w:szCs w:val="20"/>
                <w:lang w:eastAsia="en-US"/>
              </w:rPr>
              <w:t xml:space="preserve">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1110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взимается</w:t>
            </w:r>
          </w:p>
        </w:tc>
        <w:tc>
          <w:tcPr>
            <w:tcW w:w="1684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признаются операциями по счету: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причисление процентов к счету;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взимание комиссий Банка; 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 зачисление/списание со счета ошибочно зачисле</w:t>
            </w:r>
            <w:r>
              <w:rPr>
                <w:sz w:val="20"/>
                <w:szCs w:val="20"/>
                <w:lang w:eastAsia="en-US"/>
              </w:rPr>
              <w:t xml:space="preserve">нных Банком денежных средств.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Перечисление/выдача остатка денежных средств при закрытии счета признается операцией по счету.</w:t>
            </w:r>
          </w:p>
          <w:p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1.1.3, но не более остатка на счете при условии отсутствия </w:t>
            </w:r>
            <w:r>
              <w:rPr>
                <w:sz w:val="20"/>
                <w:szCs w:val="20"/>
                <w:lang w:eastAsia="en-US"/>
              </w:rPr>
              <w:br/>
              <w:t xml:space="preserve">в Банке на дату взимания комиссии предусмотренных законодательс</w:t>
            </w:r>
            <w:r>
              <w:rPr>
                <w:sz w:val="20"/>
                <w:szCs w:val="20"/>
                <w:lang w:eastAsia="en-US"/>
              </w:rPr>
              <w:t xml:space="preserve">твом Российской Федерации действующих решений уполномоченных органов </w:t>
            </w:r>
            <w:r>
              <w:rPr>
                <w:sz w:val="20"/>
                <w:szCs w:val="20"/>
                <w:lang w:eastAsia="en-US"/>
              </w:rPr>
              <w:br/>
              <w:t xml:space="preserve">об ограничении прав клиента </w:t>
            </w:r>
            <w:r>
              <w:rPr>
                <w:sz w:val="20"/>
                <w:szCs w:val="20"/>
                <w:lang w:eastAsia="en-US"/>
              </w:rPr>
              <w:br/>
              <w:t xml:space="preserve">на распоряжение денежными средствами по счету.</w:t>
            </w: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специального счета участника закупки для обеспечения заявок на участие в конкурсах и аукционах</w:t>
            </w:r>
          </w:p>
        </w:tc>
        <w:tc>
          <w:tcPr>
            <w:tcW w:w="1110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  не взимае</w:t>
            </w:r>
            <w:r>
              <w:rPr>
                <w:sz w:val="20"/>
                <w:szCs w:val="20"/>
                <w:lang w:eastAsia="en-US"/>
              </w:rPr>
              <w:t xml:space="preserve">тся</w:t>
            </w:r>
          </w:p>
        </w:tc>
        <w:tc>
          <w:tcPr>
            <w:tcW w:w="1684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>
            <w:pPr>
              <w:ind w:left="7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открытого для зачисления возмещения по операциям с использованием платежных карт в рамках договора эквайринга, заключенного </w:t>
            </w:r>
            <w:r>
              <w:rPr>
                <w:sz w:val="20"/>
                <w:szCs w:val="20"/>
              </w:rPr>
              <w:t xml:space="preserve">с АО «Россельхозбанк», при использовании клиентом системы дистанционного банковского обслуживания</w:t>
            </w:r>
          </w:p>
        </w:tc>
        <w:tc>
          <w:tcPr>
            <w:tcW w:w="1110" w:type="pct"/>
          </w:tcPr>
          <w:p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  <w:p>
            <w:pPr>
              <w:ind w:left="74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pct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за ведение счета не взимается при одновременном выполнении следующих условий:</w:t>
            </w:r>
          </w:p>
          <w:p>
            <w:pPr>
              <w:pStyle w:val="a3"/>
              <w:numPr>
                <w:numId w:val="22"/>
                <w:ilvl w:val="0"/>
              </w:numPr>
              <w:tabs>
                <w:tab w:val="left" w:pos="4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Наличие у клиента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Банке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действующего договора о выпуске и обслуживании бизнес-карты к расчетному счету, заключенного ранее чем открыт счет для зачисления денежных средств по договору эквайринга (бизнес-карта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обслуживается в рамках тарифного плана «Корпоративный Плюс»)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</w:t>
            </w:r>
          </w:p>
          <w:p>
            <w:pPr>
              <w:pStyle w:val="a3"/>
              <w:numPr>
                <w:numId w:val="22"/>
                <w:ilvl w:val="0"/>
              </w:numPr>
              <w:tabs>
                <w:tab w:val="left" w:pos="4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Наличие у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клиента действующего договора эквайринга, заключенного 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Банком.</w:t>
            </w:r>
          </w:p>
          <w:p>
            <w:pPr>
              <w:pStyle w:val="a3"/>
              <w:numPr>
                <w:numId w:val="22"/>
                <w:ilvl w:val="0"/>
              </w:numPr>
              <w:tabs>
                <w:tab w:val="left" w:pos="4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Использование клиентом системы дистанционного банковского обслуживания.</w:t>
            </w:r>
          </w:p>
          <w:p>
            <w:pPr>
              <w:tabs>
                <w:tab w:val="left" w:pos="434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несоблюдения любого из указанных условий комиссия взимается в стандартном размере.</w:t>
            </w:r>
          </w:p>
          <w:p>
            <w:pPr>
              <w:tabs>
                <w:tab w:val="left" w:pos="434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Если бизнес-карта обслужива</w:t>
            </w:r>
            <w:r>
              <w:rPr>
                <w:bCs/>
                <w:sz w:val="20"/>
                <w:szCs w:val="20"/>
              </w:rPr>
              <w:t xml:space="preserve">ется в рамках тарифного плана «Корпоративный», комиссия взимается в стандартном размере.</w:t>
            </w: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«Россельхозбанк» </w:t>
            </w:r>
            <w:r>
              <w:rPr>
                <w:sz w:val="20"/>
                <w:szCs w:val="20"/>
              </w:rPr>
              <w:br/>
              <w:t xml:space="preserve">по кредитным сделкам***, </w:t>
            </w:r>
            <w:r>
              <w:rPr>
                <w:sz w:val="20"/>
                <w:szCs w:val="20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 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находящихся в процессе ликвидации</w:t>
            </w:r>
          </w:p>
        </w:tc>
        <w:tc>
          <w:tcPr>
            <w:tcW w:w="1110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1684" w:type="pct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«Россельхозбанк»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по кредитным сделкам в полном объеме</w:t>
            </w:r>
            <w:r>
              <w:rPr>
                <w:bCs/>
                <w:sz w:val="20"/>
                <w:szCs w:val="20"/>
              </w:rPr>
              <w:t xml:space="preserve">, комиссия взимается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в стандартном размере.</w:t>
            </w: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1.1.4.</w:t>
            </w:r>
          </w:p>
        </w:tc>
        <w:tc>
          <w:tcPr>
            <w:tcW w:w="1759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процентов на остатки средств</w:t>
            </w:r>
          </w:p>
        </w:tc>
        <w:tc>
          <w:tcPr>
            <w:tcW w:w="1110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</w:p>
        </w:tc>
        <w:tc>
          <w:tcPr>
            <w:tcW w:w="1684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банковского счета.</w:t>
            </w: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</w:t>
            </w:r>
          </w:p>
        </w:tc>
        <w:tc>
          <w:tcPr>
            <w:tcW w:w="1759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при закр</w:t>
            </w:r>
            <w:r>
              <w:rPr>
                <w:sz w:val="20"/>
                <w:szCs w:val="20"/>
              </w:rPr>
              <w:t xml:space="preserve">ытии счета клиента) на счета юридических лиц, субъектов Российской Федерации, муниципальных образований, индивидуальных предпринимателей и физических лиц, занимающихся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установленном законодательством Российской Федерации порядке частной практикой,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Тарифов:</w:t>
            </w:r>
          </w:p>
        </w:tc>
        <w:tc>
          <w:tcPr>
            <w:tcW w:w="1110" w:type="pct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pct"/>
            <w:vMerge w:val="restar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в оплату вознаграждения Банку не взимается.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</w:t>
            </w:r>
            <w:r>
              <w:rPr>
                <w:sz w:val="20"/>
                <w:szCs w:val="20"/>
              </w:rPr>
              <w:t xml:space="preserve">ревод денежных средств со счета клиента (в том числе при закрытии счета клиента) на счета физических лиц, открытые в АО «Россельхозбанк» и/или в других кредитных организациях, взимается в соответствии с п. 1.1.8 Тарифов.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не взимается при исполнени</w:t>
            </w:r>
            <w:r>
              <w:rPr>
                <w:sz w:val="20"/>
                <w:szCs w:val="20"/>
                <w:lang w:eastAsia="en-US"/>
              </w:rPr>
              <w:t xml:space="preserve">и</w:t>
            </w:r>
            <w:r>
              <w:rPr>
                <w:sz w:val="20"/>
                <w:szCs w:val="20"/>
              </w:rPr>
              <w:t xml:space="preserve">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расчетных документов по осуществлению обязательных платежей в бюджетную систему Российской Федерации (налоги, сборы, страховые взносы, пени, штрафы);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расчетных документов по оплате страховых взносов на счета Фонда пенсионного и социального страхования Российской Федерации, Федерального Фонда и территориальных фондов обязательного медицинского страхования;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- расчетных документов по счетам клиентов, </w:t>
            </w:r>
            <w:r>
              <w:rPr>
                <w:sz w:val="20"/>
                <w:szCs w:val="20"/>
              </w:rPr>
              <w:t xml:space="preserve">им</w:t>
            </w:r>
            <w:r>
              <w:rPr>
                <w:sz w:val="20"/>
                <w:szCs w:val="20"/>
              </w:rPr>
              <w:t xml:space="preserve">еющих обязательства перед АО «Россельхозбанк» по кредитным сделкам***, в отношении которых введена любая </w:t>
            </w:r>
            <w:r>
              <w:rPr>
                <w:sz w:val="20"/>
                <w:szCs w:val="20"/>
              </w:rPr>
              <w:br/>
              <w:t xml:space="preserve">из процедур, применяемых в деле 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 127-ФЗ «О несостоятельности (банкротстве)» или нах</w:t>
            </w:r>
            <w:r>
              <w:rPr>
                <w:sz w:val="20"/>
                <w:szCs w:val="20"/>
              </w:rPr>
              <w:t xml:space="preserve">одящихся в процессе ликвидации;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инкассовых поручений, составленных Банком на основании исполнительных документов, должником по которым является клиент.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осуществление платежа, ранее отправленного по системе дистанционного банковского обслуживания и пом</w:t>
            </w:r>
            <w:r>
              <w:rPr>
                <w:sz w:val="20"/>
                <w:szCs w:val="20"/>
              </w:rPr>
              <w:t xml:space="preserve">ещенного в </w:t>
            </w:r>
            <w:r>
              <w:rPr>
                <w:sz w:val="20"/>
                <w:szCs w:val="20"/>
              </w:rPr>
              <w:t xml:space="preserve">картотеку изза отсутствия денежных средств на счете или приостановления операций по счету налоговым органом/таможенным органом, частично платежным ордером или полностью платежным поручением взимается комиссионное вознаграждение как если бы докум</w:t>
            </w:r>
            <w:r>
              <w:rPr>
                <w:sz w:val="20"/>
                <w:szCs w:val="20"/>
              </w:rPr>
              <w:t xml:space="preserve">ент был представлен на бумажном носителе.</w:t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за совершение платежа на основании платежного требования, поступившего в Банк в электронном виде, взимается, как если бы документ был отправлен по системе дистанционного банковского обслуживания (при налич</w:t>
            </w:r>
            <w:r>
              <w:rPr>
                <w:bCs/>
                <w:sz w:val="20"/>
                <w:szCs w:val="20"/>
              </w:rPr>
              <w:t xml:space="preserve">ии акцепта плательщика). При исполнении платежного требования, поступившего в Банк в электронном виде, помещенного в картотеку </w:t>
            </w:r>
            <w:r>
              <w:rPr>
                <w:sz w:val="20"/>
                <w:szCs w:val="20"/>
                <w:lang w:eastAsia="en-US"/>
              </w:rPr>
              <w:t xml:space="preserve">из-за отсутствия денежных средств на счете или приостановления операций по счету налоговым органом/таможенным органом, частично п</w:t>
            </w:r>
            <w:r>
              <w:rPr>
                <w:sz w:val="20"/>
                <w:szCs w:val="20"/>
                <w:lang w:eastAsia="en-US"/>
              </w:rPr>
              <w:t xml:space="preserve">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</w:t>
            </w:r>
            <w:r>
              <w:rPr>
                <w:color w:val="000000"/>
                <w:sz w:val="20"/>
                <w:szCs w:val="20"/>
              </w:rPr>
              <w:t xml:space="preserve"> в случае недостаточности денежных средств</w:t>
            </w:r>
            <w:r>
              <w:rPr>
                <w:color w:val="000000"/>
                <w:sz w:val="20"/>
                <w:szCs w:val="20"/>
              </w:rPr>
              <w:t xml:space="preserve">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</w:t>
            </w:r>
            <w:r>
              <w:rPr>
                <w:color w:val="000000"/>
                <w:sz w:val="20"/>
                <w:szCs w:val="20"/>
              </w:rPr>
              <w:t xml:space="preserve">етствии со статьей 855 ГК РФ, платежных поручений 5 группы очередности на перечисление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</w:t>
            </w:r>
            <w:r>
              <w:rPr>
                <w:color w:val="000000"/>
                <w:sz w:val="20"/>
                <w:szCs w:val="20"/>
              </w:rPr>
              <w:t xml:space="preserve">в и сумм налоговых платежей, платежных требований и инкассовых поручений)</w:t>
            </w:r>
          </w:p>
        </w:tc>
      </w:tr>
      <w:tr>
        <w:tc>
          <w:tcPr>
            <w:tcW w:w="447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1.1.5.1.</w:t>
            </w:r>
          </w:p>
        </w:tc>
        <w:tc>
          <w:tcPr>
            <w:tcW w:w="1759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Открытые в АО «Россельхозбанк»: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на основании расчетного документа на бумажном носителе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отправленный клиентом по системе дистанционного банковского обслуживания</w:t>
            </w:r>
          </w:p>
        </w:tc>
        <w:tc>
          <w:tcPr>
            <w:tcW w:w="1110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550 руб.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8 руб.</w:t>
            </w:r>
          </w:p>
        </w:tc>
        <w:tc>
          <w:tcPr>
            <w:tcW w:w="1684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47" w:type="pct"/>
          </w:tcPr>
          <w:p>
            <w:pPr>
              <w:spacing w:before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1.1.5.2.</w:t>
            </w:r>
          </w:p>
        </w:tc>
        <w:tc>
          <w:tcPr>
            <w:tcW w:w="1759" w:type="pct"/>
          </w:tcPr>
          <w:p>
            <w:pPr>
              <w:spacing w:before="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Открытые в других кредитных организациях на территории Российской Федерации: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на основании расчетного документа на бумажном носителе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отправленный клиентом по системе дистанционного банковского обслуживания</w:t>
            </w:r>
          </w:p>
        </w:tc>
        <w:tc>
          <w:tcPr>
            <w:tcW w:w="1110" w:type="pct"/>
          </w:tcPr>
          <w:p>
            <w:pPr>
              <w:spacing w:before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550 руб.</w:t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руб. если сумма платежа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100 млн руб. (включительно).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200 руб.</w:t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если сумма платежа свыше 100 млн.руб.</w:t>
            </w:r>
          </w:p>
        </w:tc>
        <w:tc>
          <w:tcPr>
            <w:tcW w:w="1684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47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59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 отправленный клиентом, включенным в региональную адресную программу по проведению капитального ремонта мног</w:t>
            </w:r>
            <w:r>
              <w:rPr>
                <w:bCs/>
                <w:sz w:val="20"/>
                <w:szCs w:val="20"/>
              </w:rPr>
              <w:t xml:space="preserve">оквартирных домов, переселения граждан из аварийного жилищного фонда в соответствии с Федеральным законом от 21.07.2007 № 185ФЗ «О Фонде содействия реформированию жилищнокоммунального хозяйства» в рамках заключенных договоров специального банковского счета</w:t>
            </w:r>
          </w:p>
        </w:tc>
        <w:tc>
          <w:tcPr>
            <w:tcW w:w="1110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взимается*</w:t>
            </w:r>
          </w:p>
        </w:tc>
        <w:tc>
          <w:tcPr>
            <w:tcW w:w="1684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47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59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отправленный клиентом, заключившим договор номинального </w:t>
            </w:r>
            <w:r>
              <w:rPr>
                <w:sz w:val="20"/>
                <w:szCs w:val="20"/>
              </w:rPr>
              <w:t xml:space="preserve">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1110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взимается</w:t>
            </w:r>
          </w:p>
        </w:tc>
        <w:tc>
          <w:tcPr>
            <w:tcW w:w="1684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1.1.6.</w:t>
            </w:r>
          </w:p>
        </w:tc>
        <w:tc>
          <w:tcPr>
            <w:tcW w:w="1759" w:type="pct"/>
          </w:tcPr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Перевод денежных средств со </w:t>
            </w:r>
            <w:r>
              <w:rPr>
                <w:rFonts w:eastAsia="Calibri"/>
                <w:sz w:val="20"/>
                <w:szCs w:val="20"/>
              </w:rPr>
              <w:t xml:space="preserve">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дистанционнобанковского обслуживания и имеющего признак «Срочно»</w:t>
            </w:r>
          </w:p>
        </w:tc>
        <w:tc>
          <w:tcPr>
            <w:tcW w:w="1110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 руб. за каждый расчетный документ</w:t>
            </w:r>
          </w:p>
        </w:tc>
        <w:tc>
          <w:tcPr>
            <w:tcW w:w="1684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</w:t>
            </w:r>
            <w:r>
              <w:rPr>
                <w:sz w:val="20"/>
                <w:szCs w:val="20"/>
              </w:rPr>
              <w:t xml:space="preserve">ествляется при условии заключения  дополнительного соглашения к договору банковского счета, состоящего из Условий проведения в АО «Россельхозбанк» операций по срочному переводу платежей клиентов Банка, являющихся юридическими лицами, индивидуальными предпр</w:t>
            </w:r>
            <w:r>
              <w:rPr>
                <w:sz w:val="20"/>
                <w:szCs w:val="20"/>
              </w:rPr>
              <w:t xml:space="preserve">инимателями и физическими лицами, занимающимися в установленном законодательством Российской Федерации порядке </w:t>
            </w:r>
            <w:r>
              <w:rPr>
                <w:sz w:val="20"/>
                <w:szCs w:val="20"/>
              </w:rPr>
              <w:t xml:space="preserve">частной практикой и Заявления о присоединении к Условиям.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услуга не применяется в отношении налоговых и иных обязательных переводов ден</w:t>
            </w:r>
            <w:r>
              <w:rPr>
                <w:sz w:val="20"/>
                <w:szCs w:val="20"/>
              </w:rPr>
              <w:t xml:space="preserve">ежных средств в бюджеты различных уровней и государственные внебюджетные фонды (в т.ч. переводов, возникающих в результате отношений, подпадающих под действие Федерального закона «Об организации предоставления государственных и муниципальных услуг» от 27.0</w:t>
            </w:r>
            <w:r>
              <w:rPr>
                <w:sz w:val="20"/>
                <w:szCs w:val="20"/>
              </w:rPr>
              <w:t xml:space="preserve">7.2010 № 210ФЗ). </w:t>
            </w:r>
            <w:r>
              <w:rPr>
                <w:rFonts w:eastAsia="Calibri"/>
                <w:sz w:val="20"/>
                <w:szCs w:val="20"/>
              </w:rPr>
              <w:t xml:space="preserve">Комиссионное вознаграждение взимается Банком дополнительно к комиссии, указанной в  п. 1.1.5 Тарифов</w:t>
            </w: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1.1.7.</w:t>
            </w:r>
          </w:p>
        </w:tc>
        <w:tc>
          <w:tcPr>
            <w:tcW w:w="1759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денежных средств на счета физических лиц  клиентов Банка</w:t>
            </w:r>
          </w:p>
        </w:tc>
        <w:tc>
          <w:tcPr>
            <w:tcW w:w="1110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</w:p>
        </w:tc>
        <w:tc>
          <w:tcPr>
            <w:tcW w:w="1684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счета.</w:t>
            </w: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1.1.7.1.</w:t>
            </w:r>
          </w:p>
        </w:tc>
        <w:tc>
          <w:tcPr>
            <w:tcW w:w="1759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кредитных денежных средств на счета заемщиков Банка- юридических лиц, субъектов Российской Федерации, муниципальных образований, индивидуальн</w:t>
            </w:r>
            <w:r>
              <w:rPr>
                <w:sz w:val="20"/>
                <w:szCs w:val="20"/>
              </w:rPr>
              <w:t xml:space="preserve">ых предпринимателей и физических лиц, занимающихся в установленном законодательством Российской Федерации порядке частной практикой</w:t>
            </w:r>
          </w:p>
        </w:tc>
        <w:tc>
          <w:tcPr>
            <w:tcW w:w="1110" w:type="pct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</w:p>
        </w:tc>
        <w:tc>
          <w:tcPr>
            <w:tcW w:w="1684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счета</w:t>
            </w:r>
          </w:p>
        </w:tc>
      </w:tr>
      <w:tr>
        <w:tc>
          <w:tcPr>
            <w:tcW w:w="447" w:type="pct"/>
            <w:tcBorders>
              <w:bottom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  <w:vMerge w:val="restart"/>
            <w:vAlign w:val="center"/>
          </w:tcPr>
          <w:p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при закрытии счета клиента) на счета физических лиц, открытые в АО «Россельхозбанк» и/или в других кредитных организациях.</w:t>
            </w:r>
          </w:p>
        </w:tc>
        <w:tc>
          <w:tcPr>
            <w:tcW w:w="1110" w:type="pct"/>
            <w:vMerge w:val="restart"/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 ОБЩЕЙ СУММЕ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150 000,00 руб. (включительно);</w:t>
            </w:r>
          </w:p>
          <w:p>
            <w:pPr>
              <w:spacing w:before="12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</w:t>
            </w:r>
            <w:r>
              <w:rPr>
                <w:sz w:val="20"/>
                <w:szCs w:val="20"/>
              </w:rPr>
              <w:t xml:space="preserve"> ОБЩЕЙ СУММЕ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150 000,01 руб. до 300 000,00 руб. (включительно);</w:t>
            </w:r>
          </w:p>
          <w:p>
            <w:pPr>
              <w:spacing w:before="12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1,7%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 ОБЩЕЙ СУММЕ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300 000,01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2 000 000,00 руб. (включительно);</w:t>
            </w:r>
          </w:p>
          <w:p>
            <w:pPr>
              <w:spacing w:before="12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3,7%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 ОБЩЕЙ СУММЕ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2 000 000,01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5 000 000,00 руб. (включительно);</w:t>
            </w:r>
          </w:p>
          <w:p>
            <w:pPr>
              <w:spacing w:before="12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6% от 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 ОБЩЕЙ СУММЕ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свыше 5 000 000,00 руб.</w:t>
            </w:r>
          </w:p>
        </w:tc>
        <w:tc>
          <w:tcPr>
            <w:tcW w:w="1684" w:type="pct"/>
            <w:vMerge w:val="restart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Комиссия взимается при переводе денежных средств на счета физических лиц, в том числе: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текущие счета и счета вкладов;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счета, открытые для расчетов с использованием карт;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счета кредитных организаций </w:t>
            </w:r>
            <w:r>
              <w:rPr>
                <w:sz w:val="20"/>
                <w:szCs w:val="20"/>
              </w:rPr>
              <w:t xml:space="preserve">с балансовой позицией 30102, 30109, 30111, 30232, 30301, 30302, 47422 для последующего зачисления денежных средств на счета физических лиц.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При осуществлении следующих операций комиссия взимается согласно п. 1.1.5 Тарифов: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со </w:t>
            </w:r>
            <w:r>
              <w:rPr>
                <w:sz w:val="20"/>
                <w:szCs w:val="20"/>
              </w:rPr>
              <w:t xml:space="preserve">счетов страховых и управляющих компаний;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 расчетного счета застройщика;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перечисление заработной платы и приравненных к ней платежей (вне рамок отдельных договоров/дополнительных соглашений к договору банковского счета, заключе</w:t>
            </w:r>
            <w:r>
              <w:rPr>
                <w:sz w:val="20"/>
                <w:szCs w:val="20"/>
              </w:rPr>
              <w:t xml:space="preserve">нных клиентами с АО «Россельхозбанк»);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перечисление алиментов, пенсий,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стипендий, иных социальных выплат;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перечисление дохода лицам, занимающимся частной практикой;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со счетов, источниками формирования денежных средств на кот</w:t>
            </w:r>
            <w:r>
              <w:rPr>
                <w:sz w:val="20"/>
                <w:szCs w:val="20"/>
              </w:rPr>
              <w:t xml:space="preserve">орых являются средства фондов </w:t>
            </w:r>
            <w:r>
              <w:rPr>
                <w:sz w:val="20"/>
                <w:szCs w:val="20"/>
              </w:rPr>
              <w:t xml:space="preserve">капитального ремонта общего имущества в многоквартирных домах;</w:t>
            </w:r>
          </w:p>
          <w:p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исполнение инкассовых поручений, составленных Банком на основании исполнительных документов, должником по которым является клиент.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2 настоящего примечани</w:t>
            </w:r>
            <w:r>
              <w:rPr>
                <w:sz w:val="20"/>
                <w:szCs w:val="20"/>
              </w:rPr>
              <w:t xml:space="preserve">я применяется, если в поле «Назначение платежа» указывается четкая информация о цели осуществления перевода и данная информация соответствует одной из операций, указанных в п. 2 настоящего примечания (выплата зарплаты, пенсий, стипендий, алиментов и т.д.).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указании в поле «Назначение платежа» нескольких оснований для перевода денежных средств, комиссионное вознаграждение взимается согласно п. 1.1.5 Тарифов только в том случае, если все указанные в поле «Назначение платежа» основания соответствуют операц</w:t>
            </w:r>
            <w:r>
              <w:rPr>
                <w:sz w:val="20"/>
                <w:szCs w:val="20"/>
              </w:rPr>
              <w:t xml:space="preserve">иям, перечисленным в п. 2 настоящего примечания.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Комиссия не взимается за перевод денежных средств: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номинального банковского счета, открываемого организациям, на которые возлагается исполнение обязанностей опекунов или попечителей, в том числе при и</w:t>
            </w:r>
            <w:r>
              <w:rPr>
                <w:sz w:val="20"/>
                <w:szCs w:val="20"/>
              </w:rPr>
              <w:t xml:space="preserve">спользовании клиентом системы дистанционного банковского обслуживания;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благотворительных целях (при наличии решения АО «Россельхозбанк» о приеме и перечислении переводов денежных средств в пользу конкретных физических лиц).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t xml:space="preserve">- </w:t>
            </w:r>
            <w:r>
              <w:rPr>
                <w:sz w:val="20"/>
                <w:szCs w:val="20"/>
              </w:rPr>
              <w:t xml:space="preserve">со счетов клиентов, имеющи</w:t>
            </w:r>
            <w:r>
              <w:rPr>
                <w:sz w:val="20"/>
                <w:szCs w:val="20"/>
              </w:rPr>
              <w:t xml:space="preserve">х обязательства перед АО «Россельхозбанк» </w:t>
            </w:r>
            <w:r>
              <w:rPr>
                <w:sz w:val="20"/>
                <w:szCs w:val="20"/>
              </w:rPr>
              <w:br/>
              <w:t xml:space="preserve">по кредитным сделкам***, в отношении которых введена любая из процедур, применяемых </w:t>
            </w:r>
            <w:r>
              <w:rPr>
                <w:sz w:val="20"/>
                <w:szCs w:val="20"/>
              </w:rPr>
              <w:br/>
              <w:t xml:space="preserve">в деле о банкротстве в соответствии с Федеральным законом от 26.10.2002 № 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</w:t>
            </w:r>
            <w:r>
              <w:rPr>
                <w:sz w:val="20"/>
                <w:szCs w:val="20"/>
              </w:rPr>
              <w:t xml:space="preserve">щихся в процессе ликвидации.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При переводе сумм заработной платы, пенсионных, страховых и иных выплат на счета физических лиц согласно условиям отдельных договоров/дополнительных соглашений к договору банковского счета, заключенных клиентами с АО «Россел</w:t>
            </w:r>
            <w:r>
              <w:rPr>
                <w:sz w:val="20"/>
                <w:szCs w:val="20"/>
              </w:rPr>
              <w:t xml:space="preserve">ьхозбанк», комиссионное вознаграждение взимается в соответствии с п. 1.1.7 Тарифов.</w:t>
            </w:r>
          </w:p>
          <w:p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совершенных переводов клиентом в текущем кале</w:t>
            </w:r>
            <w:r>
              <w:rPr>
                <w:sz w:val="20"/>
                <w:szCs w:val="20"/>
              </w:rPr>
              <w:t xml:space="preserve">ндарном месяце и размера перевода денежных средств, по которому рассчитывается комиссия.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</w:p>
          <w:p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опред</w:t>
            </w:r>
            <w:r>
              <w:rPr>
                <w:sz w:val="20"/>
                <w:szCs w:val="20"/>
              </w:rPr>
              <w:t xml:space="preserve">елении тарифа в расчет принимаются переводы денежных средств, совершенные по одному счету клиента.</w:t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ОБЩЕЙ СУММЫ не учитываются операции, указанные в пунктах 2, 3, 4 настоящего примечания.</w:t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</w:t>
            </w:r>
            <w:r>
              <w:rPr>
                <w:sz w:val="20"/>
                <w:szCs w:val="20"/>
              </w:rPr>
              <w:t xml:space="preserve">умента</w:t>
            </w:r>
            <w:r>
              <w:rPr>
                <w:color w:val="000000"/>
                <w:sz w:val="20"/>
                <w:szCs w:val="20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 (за исключением перевод</w:t>
            </w:r>
            <w:r>
              <w:rPr>
                <w:color w:val="000000"/>
                <w:sz w:val="20"/>
                <w:szCs w:val="20"/>
              </w:rPr>
              <w:t xml:space="preserve">ов, отнесенных к 1-4 очередности платежа в соответствии со статьей 855 ГК РФ, платежных требований и инкассовых поручений).</w:t>
            </w:r>
          </w:p>
        </w:tc>
      </w:tr>
      <w:tr>
        <w:tc>
          <w:tcPr>
            <w:tcW w:w="447" w:type="pct"/>
            <w:tcBorders>
              <w:top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1.1.8.</w:t>
            </w:r>
          </w:p>
        </w:tc>
        <w:tc>
          <w:tcPr>
            <w:tcW w:w="1759" w:type="pct"/>
            <w:vMerge w:val="continue"/>
            <w:vAlign w:val="center"/>
          </w:tcPr>
          <w:p>
            <w:pPr>
              <w:widowControl w:val="off"/>
              <w:spacing w:before="240"/>
              <w:rPr>
                <w:sz w:val="20"/>
                <w:szCs w:val="20"/>
              </w:rPr>
            </w:pPr>
          </w:p>
        </w:tc>
        <w:tc>
          <w:tcPr>
            <w:tcW w:w="1110" w:type="pct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84" w:type="pct"/>
            <w:vMerge w:val="continue"/>
          </w:tcPr>
          <w:p>
            <w:pPr>
              <w:ind w:left="34"/>
              <w:jc w:val="both"/>
              <w:rPr>
                <w:sz w:val="20"/>
                <w:szCs w:val="20"/>
              </w:rPr>
            </w:pP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1.1.9.</w:t>
            </w:r>
          </w:p>
        </w:tc>
        <w:tc>
          <w:tcPr>
            <w:tcW w:w="1759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на инкассо платежных требований/инкассовых поручений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110" w:type="pct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pct"/>
            <w:vMerge w:val="restar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>
        <w:tc>
          <w:tcPr>
            <w:tcW w:w="447" w:type="pct"/>
          </w:tcPr>
          <w:p>
            <w:p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1759" w:type="pct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бумажном носителе</w:t>
            </w:r>
          </w:p>
        </w:tc>
        <w:tc>
          <w:tcPr>
            <w:tcW w:w="1110" w:type="pct"/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 руб. за один расчетный документ</w:t>
            </w:r>
          </w:p>
        </w:tc>
        <w:tc>
          <w:tcPr>
            <w:tcW w:w="1684" w:type="pct"/>
            <w:vMerge w:val="continue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</w:tr>
      <w:tr>
        <w:tc>
          <w:tcPr>
            <w:tcW w:w="447" w:type="pct"/>
          </w:tcPr>
          <w:p>
            <w:p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1759" w:type="pct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использованием системы дистанционного банковского обслуживания (ДБО)</w:t>
            </w:r>
          </w:p>
        </w:tc>
        <w:tc>
          <w:tcPr>
            <w:tcW w:w="1110" w:type="pct"/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руб. за один расчетный документ»</w:t>
            </w:r>
          </w:p>
        </w:tc>
        <w:tc>
          <w:tcPr>
            <w:tcW w:w="1684" w:type="pct"/>
            <w:vMerge w:val="continue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1.1.10.</w:t>
            </w:r>
          </w:p>
        </w:tc>
        <w:tc>
          <w:tcPr>
            <w:tcW w:w="1759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Направление запроса в банк-корреспондент на проведение розыска платежа, уточнение реквизитов платежа по заявлению Клиента (за исключением </w:t>
            </w:r>
            <w:r>
              <w:rPr>
                <w:bCs/>
                <w:sz w:val="20"/>
                <w:szCs w:val="20"/>
              </w:rPr>
              <w:t xml:space="preserve">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</w:p>
        </w:tc>
        <w:tc>
          <w:tcPr>
            <w:tcW w:w="1110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300 руб.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по каждому платежу</w:t>
            </w:r>
          </w:p>
        </w:tc>
        <w:tc>
          <w:tcPr>
            <w:tcW w:w="1684" w:type="pct"/>
            <w:vMerge w:val="restar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платежам внутри АО «Россельхозбанк» производится бесплатно.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>
            <w:pPr>
              <w:keepNext/>
              <w:jc w:val="both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Направление запроса в банк-корреспондент на проведение розыска платежа, уточнение р</w:t>
            </w:r>
            <w:r>
              <w:rPr>
                <w:bCs/>
                <w:sz w:val="20"/>
                <w:szCs w:val="20"/>
              </w:rPr>
              <w:t xml:space="preserve">еквизитов платежа по заявлению Клиента (по переводу денежных средств в валюте Российской Федерации на счет, открытый в банке-нерезиденте)</w:t>
            </w:r>
          </w:p>
        </w:tc>
        <w:tc>
          <w:tcPr>
            <w:tcW w:w="1110" w:type="pct"/>
          </w:tcPr>
          <w:p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eastAsia="en-US"/>
              </w:rPr>
              <w:t xml:space="preserve">500 руб.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по каждому платежу</w:t>
            </w:r>
          </w:p>
        </w:tc>
        <w:tc>
          <w:tcPr>
            <w:tcW w:w="1684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1.1.11.</w:t>
            </w:r>
          </w:p>
        </w:tc>
        <w:tc>
          <w:tcPr>
            <w:tcW w:w="1759" w:type="pct"/>
          </w:tcPr>
          <w:p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Отзыв расчетного документа о переводе денежных средств (за исключением расчетного документа о переводе денежных средств в валюте </w:t>
            </w:r>
            <w:r>
              <w:rPr>
                <w:bCs/>
                <w:sz w:val="20"/>
                <w:szCs w:val="20"/>
              </w:rPr>
              <w:t xml:space="preserve">Российской Федерации на счет, открытый в банке-нерезиденте) по письменному заявлению клиента</w:t>
            </w:r>
          </w:p>
        </w:tc>
        <w:tc>
          <w:tcPr>
            <w:tcW w:w="1110" w:type="pct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30</w:t>
            </w:r>
            <w:r>
              <w:rPr>
                <w:bCs/>
                <w:sz w:val="20"/>
                <w:szCs w:val="20"/>
              </w:rPr>
              <w:t xml:space="preserve">0 руб.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4" w:type="pct"/>
            <w:vMerge w:val="restar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</w:t>
            </w:r>
            <w:r>
              <w:rPr>
                <w:sz w:val="20"/>
                <w:szCs w:val="20"/>
              </w:rPr>
              <w:t xml:space="preserve">достаточности денежных средств для оплаты комиссионного вознаграждения услуга не оказывается, если иное не </w:t>
            </w:r>
            <w:r>
              <w:rPr>
                <w:sz w:val="20"/>
                <w:szCs w:val="20"/>
              </w:rPr>
              <w:t xml:space="preserve">предусмотрено договорами и (или) соглашениями с клиентом.</w:t>
            </w: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>
            <w:pPr>
              <w:keepNext/>
              <w:jc w:val="both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 </w:t>
            </w:r>
          </w:p>
        </w:tc>
        <w:tc>
          <w:tcPr>
            <w:tcW w:w="1110" w:type="pct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bCs/>
                <w:sz w:val="20"/>
                <w:szCs w:val="20"/>
                <w:lang w:val="en-US"/>
              </w:rPr>
              <w:t xml:space="preserve">0</w:t>
            </w:r>
            <w:r>
              <w:rPr>
                <w:bCs/>
                <w:sz w:val="20"/>
                <w:szCs w:val="20"/>
              </w:rPr>
              <w:t xml:space="preserve">0 руб.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каждый запрос</w:t>
            </w:r>
          </w:p>
        </w:tc>
        <w:tc>
          <w:tcPr>
            <w:tcW w:w="1684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1.1.12.</w:t>
            </w:r>
          </w:p>
        </w:tc>
        <w:tc>
          <w:tcPr>
            <w:tcW w:w="1759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</w:p>
        </w:tc>
        <w:tc>
          <w:tcPr>
            <w:tcW w:w="1110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 руб.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расчетный документ</w:t>
            </w:r>
          </w:p>
        </w:tc>
        <w:tc>
          <w:tcPr>
            <w:tcW w:w="1684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указываются в распоряжении клиента о периодическом перечислении денежных средств (дополнительном соглашении, заключаемом  к договору банковского счета). 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совершении перевода дене</w:t>
            </w:r>
            <w:r>
              <w:rPr>
                <w:sz w:val="20"/>
                <w:szCs w:val="20"/>
              </w:rPr>
              <w:t xml:space="preserve">жных средств дополнительно к указанному тарифу взимается комиссионное вознаграждение, указанное в пунктах 1.1.5 или 1.1.7 Тарифов.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</w:t>
            </w:r>
            <w:r>
              <w:rPr>
                <w:sz w:val="20"/>
                <w:szCs w:val="20"/>
              </w:rPr>
              <w:t xml:space="preserve">о договорами и (или) соглашениями с клиентом.</w:t>
            </w:r>
          </w:p>
        </w:tc>
      </w:tr>
      <w:tr>
        <w:tc>
          <w:tcPr>
            <w:tcW w:w="447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1.1.12.1.</w:t>
            </w:r>
          </w:p>
        </w:tc>
        <w:tc>
          <w:tcPr>
            <w:tcW w:w="1759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АО «Россельхозбанк» (ООО «Мое дело» ИНН 7701889831, ООО «Юридические решения» ИНН 9718083320)</w:t>
            </w:r>
          </w:p>
        </w:tc>
        <w:tc>
          <w:tcPr>
            <w:tcW w:w="1110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взимается</w:t>
            </w:r>
          </w:p>
        </w:tc>
        <w:tc>
          <w:tcPr>
            <w:tcW w:w="1684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За осуществление платежа комиссионное вознаграждение, указанное в пункте 1.1.5 Тарифов, не взимается</w:t>
            </w: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1.1.13.</w:t>
            </w:r>
          </w:p>
        </w:tc>
        <w:tc>
          <w:tcPr>
            <w:tcW w:w="1759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дополнительного соглашения </w:t>
            </w:r>
            <w:r>
              <w:rPr>
                <w:sz w:val="20"/>
                <w:szCs w:val="20"/>
              </w:rPr>
              <w:t xml:space="preserve">на списание денежных средств в пользу третьих лиц без дополнительного распоряжения клиента</w:t>
            </w:r>
          </w:p>
        </w:tc>
        <w:tc>
          <w:tcPr>
            <w:tcW w:w="1110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 руб.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каждое дополнительное соглашение</w:t>
            </w:r>
          </w:p>
        </w:tc>
        <w:tc>
          <w:tcPr>
            <w:tcW w:w="1684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1.1.14</w:t>
            </w:r>
          </w:p>
        </w:tc>
        <w:tc>
          <w:tcPr>
            <w:tcW w:w="1759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банковского сопровождения контракта в рамках требований постано</w:t>
            </w:r>
            <w:r>
              <w:rPr>
                <w:sz w:val="20"/>
                <w:szCs w:val="20"/>
              </w:rPr>
              <w:t xml:space="preserve">вления Правительства Российской Федерации от 20.09.2014     № 963 «Об осуществлении банковского сопровождения контрактов»</w:t>
            </w:r>
          </w:p>
        </w:tc>
        <w:tc>
          <w:tcPr>
            <w:tcW w:w="1110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1684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отношении клиентов Банка, заключивших Договор банковского сопровождения и обслуживания отдельного сче</w:t>
            </w:r>
            <w:r>
              <w:rPr>
                <w:sz w:val="20"/>
                <w:szCs w:val="20"/>
              </w:rPr>
              <w:t xml:space="preserve">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заказчика</w:t>
            </w: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1.1.15.</w:t>
            </w:r>
          </w:p>
        </w:tc>
        <w:tc>
          <w:tcPr>
            <w:tcW w:w="1759" w:type="pct"/>
          </w:tcPr>
          <w:p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денежных средств в валюте Российской Федерации со с</w:t>
            </w:r>
            <w:r>
              <w:rPr>
                <w:bCs/>
                <w:sz w:val="20"/>
                <w:szCs w:val="20"/>
              </w:rPr>
              <w:t xml:space="preserve">чета клиента на счет, открытый в банке-нерезиденте, с которым у Банка установлены прямые корреспондентские отношения:</w:t>
            </w:r>
          </w:p>
        </w:tc>
        <w:tc>
          <w:tcPr>
            <w:tcW w:w="1110" w:type="pct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4" w:type="pct"/>
            <w:vMerge w:val="restart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за каждую операцию.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проведении операции в случае недостаточности денежных ср</w:t>
            </w:r>
            <w:r>
              <w:rPr>
                <w:sz w:val="20"/>
                <w:szCs w:val="20"/>
              </w:rPr>
              <w:t xml:space="preserve">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</w:t>
            </w:r>
            <w:r>
              <w:rPr>
                <w:sz w:val="20"/>
                <w:szCs w:val="20"/>
              </w:rPr>
              <w:t xml:space="preserve">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«Россельхозбанк».</w:t>
            </w: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>
            <w:pPr>
              <w:keepNext/>
              <w:jc w:val="both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на основании расчетного документа на бумажном носителе</w:t>
            </w:r>
          </w:p>
        </w:tc>
        <w:tc>
          <w:tcPr>
            <w:tcW w:w="1110" w:type="pct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1% от сумм</w:t>
            </w:r>
            <w:r>
              <w:rPr>
                <w:bCs/>
                <w:sz w:val="20"/>
                <w:szCs w:val="20"/>
              </w:rPr>
              <w:t xml:space="preserve">ы перевода, минимум 1000 руб., максимум 50 000 руб.</w:t>
            </w:r>
          </w:p>
        </w:tc>
        <w:tc>
          <w:tcPr>
            <w:tcW w:w="1684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>
            <w:pPr>
              <w:keepNext/>
              <w:jc w:val="both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</w:p>
        </w:tc>
        <w:tc>
          <w:tcPr>
            <w:tcW w:w="1110" w:type="pct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1% от суммы перевода, минимум 1000 руб., максимум 50 000 руб.</w:t>
            </w:r>
          </w:p>
        </w:tc>
        <w:tc>
          <w:tcPr>
            <w:tcW w:w="1684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5000" w:type="pct"/>
            <w:gridSpan w:val="4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1.2. Открытие и ведение счетов в иностранной валюте</w:t>
            </w: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1.2.1.</w:t>
            </w:r>
          </w:p>
        </w:tc>
        <w:tc>
          <w:tcPr>
            <w:tcW w:w="1759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</w:t>
            </w:r>
          </w:p>
        </w:tc>
        <w:tc>
          <w:tcPr>
            <w:tcW w:w="1110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3000 руб.</w:t>
            </w:r>
          </w:p>
        </w:tc>
        <w:tc>
          <w:tcPr>
            <w:tcW w:w="1684" w:type="pct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</w:t>
            </w:r>
            <w:r>
              <w:rPr>
                <w:sz w:val="20"/>
                <w:szCs w:val="20"/>
              </w:rPr>
              <w:t xml:space="preserve"> подразделении Банка, выданного в течение 3-х месяцев с даты закрытия счета</w:t>
            </w:r>
          </w:p>
        </w:tc>
        <w:tc>
          <w:tcPr>
            <w:tcW w:w="1110" w:type="pct"/>
          </w:tcPr>
          <w:p>
            <w:pPr>
              <w:spacing w:before="40" w:after="40"/>
              <w:jc w:val="center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1684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транзитного счета, счета по депозиту</w:t>
            </w:r>
          </w:p>
        </w:tc>
        <w:tc>
          <w:tcPr>
            <w:tcW w:w="1110" w:type="pct"/>
          </w:tcPr>
          <w:p>
            <w:pPr>
              <w:spacing w:before="40" w:after="40"/>
              <w:jc w:val="center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1684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1.2.2.</w:t>
            </w:r>
          </w:p>
        </w:tc>
        <w:tc>
          <w:tcPr>
            <w:tcW w:w="1759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</w:p>
        </w:tc>
        <w:tc>
          <w:tcPr>
            <w:tcW w:w="1110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</w:p>
        </w:tc>
        <w:tc>
          <w:tcPr>
            <w:tcW w:w="1684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47" w:type="pct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</w:t>
            </w:r>
          </w:p>
        </w:tc>
        <w:tc>
          <w:tcPr>
            <w:tcW w:w="1759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Ведение счета</w:t>
            </w:r>
            <w:r>
              <w:rPr>
                <w:sz w:val="20"/>
                <w:szCs w:val="20"/>
              </w:rPr>
              <w:t xml:space="preserve">, кроме счета в евро, долларах США, а также отдельных иностранных валютах, предусмотренных в п.1.2.3.3:</w:t>
            </w:r>
          </w:p>
        </w:tc>
        <w:tc>
          <w:tcPr>
            <w:tcW w:w="1110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2500 руб. в месяц</w:t>
            </w:r>
          </w:p>
        </w:tc>
        <w:tc>
          <w:tcPr>
            <w:tcW w:w="1684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</w:t>
            </w:r>
            <w:r>
              <w:rPr>
                <w:sz w:val="20"/>
                <w:szCs w:val="20"/>
              </w:rPr>
              <w:t xml:space="preserve">мается по ставке тарифа, действующей на дату начисления комиссии.</w:t>
            </w:r>
          </w:p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47" w:type="pct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использовании клиентом  системы дистанционного банковского обслуживания</w:t>
            </w:r>
          </w:p>
        </w:tc>
        <w:tc>
          <w:tcPr>
            <w:tcW w:w="1110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 руб. в месяц</w:t>
            </w:r>
          </w:p>
        </w:tc>
        <w:tc>
          <w:tcPr>
            <w:tcW w:w="1684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случ</w:t>
            </w:r>
            <w:r>
              <w:rPr>
                <w:sz w:val="20"/>
                <w:szCs w:val="20"/>
                <w:lang w:eastAsia="en-US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 Тарифов в размере, пред</w:t>
            </w:r>
            <w:r>
              <w:rPr>
                <w:sz w:val="20"/>
                <w:szCs w:val="20"/>
                <w:lang w:eastAsia="en-US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 Тарифов комиссия за ведение счета взимается в размере, предусмотренном при испол</w:t>
            </w:r>
            <w:r>
              <w:rPr>
                <w:sz w:val="20"/>
                <w:szCs w:val="20"/>
                <w:lang w:eastAsia="en-US"/>
              </w:rPr>
              <w:t xml:space="preserve">ьзовании Клиентом системы дистанционного банковского обслуживания в полном объеме вне зависимости от даты возобновления.</w:t>
            </w:r>
          </w:p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47" w:type="pct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>
            <w:pPr>
              <w:spacing w:before="40" w:after="40"/>
              <w:ind w:left="74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1110" w:type="pct"/>
          </w:tcPr>
          <w:p>
            <w:pPr>
              <w:spacing w:before="40" w:after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Не взимается</w:t>
            </w:r>
          </w:p>
        </w:tc>
        <w:tc>
          <w:tcPr>
            <w:tcW w:w="1684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признаются операциями по счету: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 причисление процентов к счету;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 взимание комиссий Банка; 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 зачисление/списание со счета </w:t>
            </w:r>
            <w:r>
              <w:rPr>
                <w:sz w:val="20"/>
                <w:szCs w:val="20"/>
                <w:lang w:eastAsia="en-US"/>
              </w:rPr>
              <w:t xml:space="preserve">ошибочно зачисленных Банком денежных средств.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Перечисление/выдача остатка денежных средств при закрытии счета признается операцией по счету.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1.2.3, но не более остатка н</w:t>
            </w:r>
            <w:r>
              <w:rPr>
                <w:sz w:val="20"/>
                <w:szCs w:val="20"/>
                <w:lang w:eastAsia="en-US"/>
              </w:rPr>
              <w:t xml:space="preserve">а счете при условии отсутствия </w:t>
            </w:r>
            <w:r>
              <w:rPr>
                <w:sz w:val="20"/>
                <w:szCs w:val="20"/>
                <w:lang w:eastAsia="en-US"/>
              </w:rPr>
              <w:br/>
              <w:t xml:space="preserve">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sz w:val="20"/>
                <w:szCs w:val="20"/>
                <w:lang w:eastAsia="en-US"/>
              </w:rPr>
              <w:br/>
              <w:t xml:space="preserve">об ограничении прав клиента </w:t>
            </w:r>
            <w:r>
              <w:rPr>
                <w:sz w:val="20"/>
                <w:szCs w:val="20"/>
                <w:lang w:eastAsia="en-US"/>
              </w:rPr>
              <w:br/>
              <w:t xml:space="preserve">на распоряжение денежными средствами по счету.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1.2.3.1</w:t>
            </w:r>
          </w:p>
        </w:tc>
        <w:tc>
          <w:tcPr>
            <w:tcW w:w="1759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Веден</w:t>
            </w:r>
            <w:r>
              <w:rPr>
                <w:sz w:val="20"/>
                <w:szCs w:val="20"/>
              </w:rPr>
              <w:t xml:space="preserve">ие счета в евро</w:t>
            </w:r>
            <w:r>
              <w:rPr>
                <w:sz w:val="20"/>
                <w:szCs w:val="20"/>
                <w:lang w:eastAsia="en-US"/>
              </w:rPr>
              <w:t xml:space="preserve">:</w:t>
            </w:r>
          </w:p>
        </w:tc>
        <w:tc>
          <w:tcPr>
            <w:tcW w:w="1110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4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</w:tr>
      <w:tr>
        <w:trPr>
          <w:trHeight w:val="8981"/>
        </w:trPr>
        <w:tc>
          <w:tcPr>
            <w:tcW w:w="447" w:type="pct"/>
            <w:vMerge w:val="restart"/>
            <w:tcBorders>
              <w:bottom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59" w:type="pct"/>
            <w:tcBorders>
              <w:bottom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при совокупном среднедневном остатке до 100 000 евро (включительно)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0" w:type="pct"/>
            <w:tcBorders>
              <w:bottom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2750 руб. в месяц</w:t>
            </w:r>
          </w:p>
        </w:tc>
        <w:tc>
          <w:tcPr>
            <w:tcW w:w="1684" w:type="pct"/>
            <w:vMerge w:val="restar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с расчетного счета в евро.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не взимается если совокупный среднедневной остаток равен нулю.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 в евро остатка, достаточног</w:t>
            </w:r>
            <w:r>
              <w:rPr>
                <w:sz w:val="20"/>
                <w:szCs w:val="20"/>
              </w:rPr>
              <w:t xml:space="preserve">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При расчете совокупного среднедневн</w:t>
            </w:r>
            <w:r>
              <w:rPr>
                <w:sz w:val="20"/>
                <w:szCs w:val="20"/>
                <w:lang w:eastAsia="en-US"/>
              </w:rPr>
              <w:t xml:space="preserve">ого остатка учитываются остатки на расчетном счете в евро и соответствующем ему транзитном счете.</w:t>
            </w:r>
          </w:p>
          <w:p>
            <w:pPr>
              <w:tabs>
                <w:tab w:val="left" w:pos="708"/>
                <w:tab w:val="left" w:pos="1810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</w:t>
            </w:r>
            <w:r>
              <w:rPr>
                <w:sz w:val="20"/>
                <w:szCs w:val="20"/>
                <w:lang w:eastAsia="en-US"/>
              </w:rPr>
              <w:t xml:space="preserve">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</w:t>
            </w:r>
            <w:r>
              <w:rPr>
                <w:sz w:val="20"/>
                <w:szCs w:val="20"/>
                <w:lang w:eastAsia="en-US"/>
              </w:rPr>
              <w:t xml:space="preserve">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</w:t>
            </w:r>
            <w:r>
              <w:rPr>
                <w:sz w:val="20"/>
                <w:szCs w:val="20"/>
                <w:lang w:eastAsia="en-US"/>
              </w:rPr>
              <w:t xml:space="preserve">рый производится расчет </w:t>
            </w:r>
            <w:r>
              <w:rPr>
                <w:sz w:val="20"/>
                <w:szCs w:val="20"/>
                <w:lang w:eastAsia="en-US"/>
              </w:rPr>
              <w:t xml:space="preserve">совокупного среднедневного остатка.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</w:t>
            </w: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Кроме месяца, в котором установлена система дистанционного банковского обслуживания.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случае</w:t>
            </w:r>
            <w:r>
              <w:rPr>
                <w:sz w:val="20"/>
                <w:szCs w:val="20"/>
                <w:lang w:eastAsia="en-US"/>
              </w:rPr>
              <w:t xml:space="preserve">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1.2.3.1 Тарифов в размере, пред</w:t>
            </w:r>
            <w:r>
              <w:rPr>
                <w:sz w:val="20"/>
                <w:szCs w:val="20"/>
                <w:lang w:eastAsia="en-US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1.2.3.1 Тарифов комиссия за ведение счета взимается в размере, предусмотренном при исп</w:t>
            </w:r>
            <w:r>
              <w:rPr>
                <w:sz w:val="20"/>
                <w:szCs w:val="20"/>
                <w:lang w:eastAsia="en-US"/>
              </w:rPr>
              <w:t xml:space="preserve">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>
        <w:trPr>
          <w:trHeight w:val="531"/>
        </w:trPr>
        <w:tc>
          <w:tcPr>
            <w:tcW w:w="447" w:type="pct"/>
            <w:vMerge w:val="continue"/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759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при совокупном среднедневном остатке до 100 000 евро (включительно) и при условии использования клиентом системы дистанционного б</w:t>
            </w:r>
            <w:r>
              <w:rPr>
                <w:sz w:val="20"/>
                <w:szCs w:val="20"/>
                <w:lang w:eastAsia="en-US"/>
              </w:rPr>
              <w:t xml:space="preserve">анковского обслуживания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0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900 руб. в месяц</w:t>
            </w:r>
          </w:p>
        </w:tc>
        <w:tc>
          <w:tcPr>
            <w:tcW w:w="1684" w:type="pct"/>
            <w:vMerge w:val="continue"/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</w:tr>
      <w:tr>
        <w:trPr>
          <w:trHeight w:val="531"/>
        </w:trPr>
        <w:tc>
          <w:tcPr>
            <w:tcW w:w="447" w:type="pct"/>
            <w:vMerge w:val="continue"/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759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при совокупном среднедневном остатке более 100 000 евро</w:t>
            </w:r>
          </w:p>
        </w:tc>
        <w:tc>
          <w:tcPr>
            <w:tcW w:w="1110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0,25% от совокупного среднедневного остатка </w:t>
            </w:r>
          </w:p>
        </w:tc>
        <w:tc>
          <w:tcPr>
            <w:tcW w:w="1684" w:type="pct"/>
            <w:vMerge w:val="continue"/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</w:tr>
      <w:tr>
        <w:trPr>
          <w:trHeight w:val="531"/>
        </w:trPr>
        <w:tc>
          <w:tcPr>
            <w:tcW w:w="447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1.2.3.2.</w:t>
            </w:r>
          </w:p>
        </w:tc>
        <w:tc>
          <w:tcPr>
            <w:tcW w:w="1759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Ведение счета в долларах США</w:t>
            </w:r>
            <w:r>
              <w:rPr>
                <w:sz w:val="20"/>
                <w:szCs w:val="20"/>
                <w:lang w:eastAsia="en-US"/>
              </w:rPr>
              <w:t xml:space="preserve">:</w:t>
            </w:r>
          </w:p>
        </w:tc>
        <w:tc>
          <w:tcPr>
            <w:tcW w:w="1110" w:type="pct"/>
          </w:tcPr>
          <w:p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84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</w:tr>
      <w:tr>
        <w:trPr>
          <w:trHeight w:val="531"/>
        </w:trPr>
        <w:tc>
          <w:tcPr>
            <w:tcW w:w="447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59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при совокупном среднедневном остатке до 100 000 долларов США (включительно)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0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2750 руб. в месяц</w:t>
            </w:r>
          </w:p>
        </w:tc>
        <w:tc>
          <w:tcPr>
            <w:tcW w:w="1684" w:type="pct"/>
            <w:vMerge w:val="restar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с расчетного счета в долларах США.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ежемесячно в последний рабочий день месяца/в день закрытия счета, включая месяц, в кот</w:t>
            </w:r>
            <w:r>
              <w:rPr>
                <w:sz w:val="20"/>
                <w:szCs w:val="20"/>
                <w:lang w:eastAsia="en-US"/>
              </w:rPr>
              <w:t xml:space="preserve">ором открыт счет.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не взимается если совокупный среднедневной остаток равен нулю.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</w:t>
            </w:r>
            <w:r>
              <w:rPr>
                <w:sz w:val="20"/>
                <w:szCs w:val="20"/>
              </w:rPr>
              <w:t xml:space="preserve"> в долларах США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Совокупный среднедневной остаток рассчитывается как отношение суммы остатков денежных средств на </w:t>
            </w:r>
            <w:r>
              <w:rPr>
                <w:sz w:val="20"/>
                <w:szCs w:val="20"/>
                <w:lang w:eastAsia="en-US"/>
              </w:rPr>
              <w:t xml:space="preserve">расчетном и транз</w:t>
            </w:r>
            <w:r>
              <w:rPr>
                <w:sz w:val="20"/>
                <w:szCs w:val="20"/>
                <w:lang w:eastAsia="en-US"/>
              </w:rPr>
              <w:t xml:space="preserve">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</w:t>
            </w:r>
            <w:r>
              <w:rPr>
                <w:sz w:val="20"/>
                <w:szCs w:val="20"/>
                <w:lang w:eastAsia="en-US"/>
              </w:rPr>
              <w:t xml:space="preserve">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</w:t>
            </w:r>
            <w:r>
              <w:rPr>
                <w:sz w:val="20"/>
                <w:szCs w:val="20"/>
                <w:lang w:eastAsia="en-US"/>
              </w:rPr>
              <w:t xml:space="preserve">ие) остатков денежных средств на счете(ах) и за который производится расчет совокупного среднедневного остатка.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</w:t>
            </w: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Кроме месяца, в котором установлена система дистанционного банковского обслуживания.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</w:t>
            </w:r>
            <w:r>
              <w:rPr>
                <w:sz w:val="20"/>
                <w:szCs w:val="20"/>
                <w:lang w:eastAsia="en-US"/>
              </w:rPr>
              <w:t xml:space="preserve">онное вознаграждение за ведение счета взимается в соответствии с п. 1.2.3.2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</w:t>
            </w:r>
            <w:r>
              <w:rPr>
                <w:sz w:val="20"/>
                <w:szCs w:val="20"/>
                <w:lang w:eastAsia="en-US"/>
              </w:rPr>
              <w:t xml:space="preserve">риостановлено использования Клиентом системы дистанционного банковского обслуживания «Свой бизнес».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</w:t>
            </w:r>
            <w:r>
              <w:rPr>
                <w:sz w:val="20"/>
                <w:szCs w:val="20"/>
                <w:lang w:eastAsia="en-US"/>
              </w:rPr>
              <w:t xml:space="preserve">ждения по п. 1.2.3.2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>
        <w:trPr>
          <w:trHeight w:val="531"/>
        </w:trPr>
        <w:tc>
          <w:tcPr>
            <w:tcW w:w="447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59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при совокупном среднедневном о</w:t>
            </w:r>
            <w:r>
              <w:rPr>
                <w:sz w:val="20"/>
                <w:szCs w:val="20"/>
                <w:lang w:eastAsia="en-US"/>
              </w:rPr>
              <w:t xml:space="preserve">статке до 100 000 долларов США (включительно) и при условии использования клиентом системы дистанционного банковского обслуживания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0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900 руб.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в месяц</w:t>
            </w:r>
          </w:p>
        </w:tc>
        <w:tc>
          <w:tcPr>
            <w:tcW w:w="1684" w:type="pct"/>
            <w:vMerge w:val="continue"/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>
        <w:trPr>
          <w:trHeight w:val="531"/>
        </w:trPr>
        <w:tc>
          <w:tcPr>
            <w:tcW w:w="447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59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при совокупном среднедневном остатке более 100 000 долларов США</w:t>
            </w:r>
          </w:p>
        </w:tc>
        <w:tc>
          <w:tcPr>
            <w:tcW w:w="1110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0,6% от совокупного среднедневного остатка </w:t>
            </w:r>
          </w:p>
        </w:tc>
        <w:tc>
          <w:tcPr>
            <w:tcW w:w="1684" w:type="pct"/>
            <w:vMerge w:val="continue"/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</w:tr>
      <w:tr>
        <w:trPr>
          <w:trHeight w:val="531"/>
        </w:trPr>
        <w:tc>
          <w:tcPr>
            <w:tcW w:w="447" w:type="pct"/>
            <w:vMerge w:val="restar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1.2.3.3.</w:t>
            </w:r>
          </w:p>
        </w:tc>
        <w:tc>
          <w:tcPr>
            <w:tcW w:w="1759" w:type="pct"/>
          </w:tcPr>
          <w:p>
            <w:pPr>
              <w:spacing w:before="40" w:after="40"/>
              <w:ind w:left="-52" w:firstLine="52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отдельных иностранных валютах**:</w:t>
            </w:r>
          </w:p>
        </w:tc>
        <w:tc>
          <w:tcPr>
            <w:tcW w:w="1110" w:type="pct"/>
          </w:tcPr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0,25% от совокупного среднедневного остатка</w:t>
            </w:r>
          </w:p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4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с расчетного счета в соответствующей иностранной валюте.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не взимается если совокупный среднедневной ост</w:t>
            </w:r>
            <w:r>
              <w:rPr>
                <w:sz w:val="20"/>
                <w:szCs w:val="20"/>
                <w:lang w:eastAsia="en-US"/>
              </w:rPr>
              <w:t xml:space="preserve">аток равен нулю.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 в иностранной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</w:t>
            </w:r>
            <w:r>
              <w:rPr>
                <w:sz w:val="20"/>
                <w:szCs w:val="20"/>
              </w:rPr>
              <w:t xml:space="preserve">ется доступный остаток, достаточный для оплаты комиссии.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При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</w:p>
          <w:p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Совокупный среднедневной остаток рассчитывается как </w:t>
            </w:r>
            <w:r>
              <w:rPr>
                <w:sz w:val="20"/>
                <w:szCs w:val="20"/>
                <w:lang w:eastAsia="en-US"/>
              </w:rPr>
              <w:t xml:space="preserve">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месяце, в том числе </w:t>
            </w:r>
            <w:r>
              <w:rPr>
                <w:sz w:val="20"/>
                <w:szCs w:val="20"/>
                <w:lang w:eastAsia="en-US"/>
              </w:rPr>
              <w:t xml:space="preserve">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</w:t>
            </w:r>
            <w:r>
              <w:rPr>
                <w:sz w:val="20"/>
                <w:szCs w:val="20"/>
                <w:lang w:eastAsia="en-US"/>
              </w:rPr>
              <w:t xml:space="preserve">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</w:p>
        </w:tc>
      </w:tr>
      <w:tr>
        <w:trPr>
          <w:trHeight w:val="531"/>
        </w:trPr>
        <w:tc>
          <w:tcPr>
            <w:tcW w:w="447" w:type="pct"/>
            <w:vMerge w:val="continue"/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59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1110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взимается</w:t>
            </w:r>
          </w:p>
        </w:tc>
        <w:tc>
          <w:tcPr>
            <w:tcW w:w="1684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признаются операциями по счету: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 причисление процентов к счету;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 взимание комиссий Банка; 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 зачисление/списание со счета ош</w:t>
            </w:r>
            <w:r>
              <w:rPr>
                <w:sz w:val="20"/>
                <w:szCs w:val="20"/>
                <w:lang w:eastAsia="en-US"/>
              </w:rPr>
              <w:t xml:space="preserve">ибочно зачисленных Банком денежных средств.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Перечисление/выдача остатка денежных средств при закрытии счета признается операцией по счету.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</w:t>
            </w:r>
            <w:r>
              <w:rPr>
                <w:sz w:val="20"/>
                <w:szCs w:val="20"/>
                <w:lang w:eastAsia="en-US"/>
              </w:rPr>
              <w:t xml:space="preserve">ере согласно п. 1.2.3.3 Тарифов, но не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уполномоченных органов об ограничении прав клиента на распор</w:t>
            </w:r>
            <w:r>
              <w:rPr>
                <w:sz w:val="20"/>
                <w:szCs w:val="20"/>
                <w:lang w:eastAsia="en-US"/>
              </w:rPr>
              <w:t xml:space="preserve">яжение денежными средствами по счету.</w:t>
            </w:r>
          </w:p>
        </w:tc>
      </w:tr>
      <w:tr>
        <w:trPr>
          <w:trHeight w:val="1025"/>
        </w:trP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1.2.4.</w:t>
            </w:r>
          </w:p>
        </w:tc>
        <w:tc>
          <w:tcPr>
            <w:tcW w:w="1759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Начисление процентов на остатки средств по текущему счету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0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</w:p>
        </w:tc>
        <w:tc>
          <w:tcPr>
            <w:tcW w:w="1684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банковского счета.</w:t>
            </w:r>
          </w:p>
        </w:tc>
      </w:tr>
      <w:tr>
        <w:tc>
          <w:tcPr>
            <w:tcW w:w="447" w:type="pct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Переводы денежных средств со счета клиента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0" w:type="pct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0,33%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 долл. США,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pct"/>
            <w:vMerge w:val="restart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</w:t>
            </w:r>
            <w:r>
              <w:rPr>
                <w:color w:val="000000"/>
                <w:sz w:val="20"/>
                <w:szCs w:val="20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</w:t>
            </w:r>
            <w:r>
              <w:rPr>
                <w:sz w:val="20"/>
                <w:szCs w:val="20"/>
              </w:rPr>
              <w:t xml:space="preserve">.</w:t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оказывается при налич</w:t>
            </w:r>
            <w:r>
              <w:rPr>
                <w:bCs/>
                <w:sz w:val="20"/>
                <w:szCs w:val="20"/>
              </w:rPr>
              <w:t xml:space="preserve">ии технической возможности у Банка.</w:t>
            </w:r>
          </w:p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47" w:type="pct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  <w:tcBorders>
              <w:bottom w:val="non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 счета, открытые в других кредитных организациях</w:t>
            </w:r>
          </w:p>
        </w:tc>
        <w:tc>
          <w:tcPr>
            <w:tcW w:w="1110" w:type="pct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47" w:type="pct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non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10" w:type="pct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4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1.2.5.1.1</w:t>
            </w:r>
          </w:p>
        </w:tc>
        <w:tc>
          <w:tcPr>
            <w:tcW w:w="1759" w:type="pct"/>
            <w:tcBorders>
              <w:top w:val="non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</w:p>
        </w:tc>
        <w:tc>
          <w:tcPr>
            <w:tcW w:w="1110" w:type="pct"/>
            <w:vAlign w:val="center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20 долл. США </w:t>
            </w:r>
            <w:r>
              <w:rPr>
                <w:sz w:val="20"/>
                <w:szCs w:val="20"/>
              </w:rPr>
              <w:br w:type="textWrapping" w:clear="all"/>
            </w:r>
          </w:p>
        </w:tc>
        <w:tc>
          <w:tcPr>
            <w:tcW w:w="1684" w:type="pct"/>
            <w:vAlign w:val="center"/>
          </w:tcPr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Банка взимается в день совершения операции отдельно от суммы перевода.</w:t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дополнительно к комиссии, указанной в п. 1.2.5.1 настоящих Тарифов.</w:t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при одновременном выполнении следующих условий:</w:t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Валюта перевод</w:t>
            </w:r>
            <w:r>
              <w:rPr>
                <w:sz w:val="20"/>
                <w:szCs w:val="20"/>
              </w:rPr>
              <w:t xml:space="preserve">а – доллары США.</w:t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Счет бенефициара открыт в кредитной организации, которая не находится на территории США.</w:t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Наличие в платежном поручении инструкции «OUR» в поле «71» и инструкции «/PPRO/» в поле «70» или «72».</w:t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оказывается при наличии техническо</w:t>
            </w:r>
            <w:r>
              <w:rPr>
                <w:bCs/>
                <w:sz w:val="20"/>
                <w:szCs w:val="20"/>
              </w:rPr>
              <w:t xml:space="preserve">й возможности у Банка.</w:t>
            </w: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1.2.5.2</w:t>
            </w:r>
          </w:p>
        </w:tc>
        <w:tc>
          <w:tcPr>
            <w:tcW w:w="1759" w:type="pct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счета, открытые в АО «Россельхозбанк»</w:t>
            </w:r>
          </w:p>
        </w:tc>
        <w:tc>
          <w:tcPr>
            <w:tcW w:w="1110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Не взимается</w:t>
            </w:r>
          </w:p>
        </w:tc>
        <w:tc>
          <w:tcPr>
            <w:tcW w:w="1684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1.2.6.</w:t>
            </w:r>
          </w:p>
        </w:tc>
        <w:tc>
          <w:tcPr>
            <w:tcW w:w="1759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банк-корреспондент на проведение розыска платежа  по заявлению Клиента по переводам в иностранной валюте давностью:</w:t>
            </w:r>
          </w:p>
        </w:tc>
        <w:tc>
          <w:tcPr>
            <w:tcW w:w="1110" w:type="pct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pct"/>
            <w:vMerge w:val="restar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 трех месяцев</w:t>
            </w:r>
          </w:p>
        </w:tc>
        <w:tc>
          <w:tcPr>
            <w:tcW w:w="1110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 долл. США за каждый перевод</w:t>
            </w:r>
          </w:p>
        </w:tc>
        <w:tc>
          <w:tcPr>
            <w:tcW w:w="1684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свыше трех месяцев</w:t>
            </w:r>
          </w:p>
        </w:tc>
        <w:tc>
          <w:tcPr>
            <w:tcW w:w="1110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долл. США за каждый перевод</w:t>
            </w:r>
          </w:p>
        </w:tc>
        <w:tc>
          <w:tcPr>
            <w:tcW w:w="1684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1.2.7.</w:t>
            </w:r>
          </w:p>
        </w:tc>
        <w:tc>
          <w:tcPr>
            <w:tcW w:w="1759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(аннулирование), возврат перевода по письменному заявлению клиента </w:t>
            </w:r>
          </w:p>
        </w:tc>
        <w:tc>
          <w:tcPr>
            <w:tcW w:w="1110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долл. США</w:t>
            </w:r>
          </w:p>
        </w:tc>
        <w:tc>
          <w:tcPr>
            <w:tcW w:w="1684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</w:t>
            </w:r>
            <w:r>
              <w:rPr>
                <w:sz w:val="20"/>
                <w:szCs w:val="20"/>
              </w:rPr>
              <w:t xml:space="preserve">говорами и (или) соглашениями с клиентом.</w:t>
            </w:r>
          </w:p>
        </w:tc>
      </w:tr>
      <w:tr>
        <w:tc>
          <w:tcPr>
            <w:tcW w:w="5000" w:type="pct"/>
            <w:gridSpan w:val="4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1.3. Предоставление дополнительных услуг по счетам, открытым в Банке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(в рублях Российской Федерации и иностранной валюте)</w:t>
            </w: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1.3.1.</w:t>
            </w:r>
          </w:p>
        </w:tc>
        <w:tc>
          <w:tcPr>
            <w:tcW w:w="1759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счету </w:t>
            </w:r>
          </w:p>
        </w:tc>
        <w:tc>
          <w:tcPr>
            <w:tcW w:w="1110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</w:p>
        </w:tc>
        <w:tc>
          <w:tcPr>
            <w:tcW w:w="1684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1.3.2.</w:t>
            </w:r>
          </w:p>
        </w:tc>
        <w:tc>
          <w:tcPr>
            <w:tcW w:w="1759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об открытии счета в момент его открытия </w:t>
            </w:r>
          </w:p>
        </w:tc>
        <w:tc>
          <w:tcPr>
            <w:tcW w:w="1110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</w:p>
        </w:tc>
        <w:tc>
          <w:tcPr>
            <w:tcW w:w="1684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47" w:type="pct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</w:t>
            </w:r>
          </w:p>
        </w:tc>
        <w:tc>
          <w:tcPr>
            <w:tcW w:w="1759" w:type="pct"/>
            <w:vAlign w:val="center"/>
          </w:tcPr>
          <w:p>
            <w:pPr>
              <w:spacing w:before="40"/>
              <w:ind w:left="-3" w:firstLine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справки по письменному заявлению клиента </w:t>
            </w:r>
          </w:p>
        </w:tc>
        <w:tc>
          <w:tcPr>
            <w:tcW w:w="1110" w:type="pct"/>
            <w:vAlign w:val="center"/>
          </w:tcPr>
          <w:p>
            <w:pPr>
              <w:spacing w:before="40"/>
              <w:ind w:left="-3" w:firstLine="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500 руб.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за документ </w:t>
            </w:r>
          </w:p>
        </w:tc>
        <w:tc>
          <w:tcPr>
            <w:tcW w:w="1684" w:type="pct"/>
            <w:vMerge w:val="restar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</w:t>
            </w:r>
            <w:r>
              <w:rPr>
                <w:sz w:val="20"/>
                <w:szCs w:val="20"/>
              </w:rPr>
              <w:t xml:space="preserve">предусмотрено договорами и (или) соглашениями с клиентом.</w:t>
            </w:r>
          </w:p>
        </w:tc>
      </w:tr>
      <w:tr>
        <w:tc>
          <w:tcPr>
            <w:tcW w:w="447" w:type="pct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  <w:vAlign w:val="center"/>
          </w:tcPr>
          <w:p>
            <w:pPr>
              <w:spacing w:before="40"/>
              <w:ind w:left="-6" w:firstLine="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справки по письменному заявлению клиента по счету </w:t>
            </w:r>
            <w:r>
              <w:rPr>
                <w:bCs/>
                <w:sz w:val="20"/>
                <w:szCs w:val="20"/>
              </w:rPr>
              <w:t xml:space="preserve">крестьянского (фермерского) хозяйства (с целью оформления субсидии на возмещение затрат по уплате процентов по кредиту)</w:t>
            </w:r>
          </w:p>
        </w:tc>
        <w:tc>
          <w:tcPr>
            <w:tcW w:w="1110" w:type="pct"/>
            <w:vAlign w:val="center"/>
          </w:tcPr>
          <w:p>
            <w:pPr>
              <w:spacing w:before="40"/>
              <w:ind w:left="-3" w:firstLine="3"/>
              <w:jc w:val="center"/>
              <w:rPr>
                <w:bCs/>
                <w:sz w:val="20"/>
                <w:szCs w:val="20"/>
              </w:rPr>
            </w:pPr>
          </w:p>
          <w:p>
            <w:pPr>
              <w:spacing w:before="40"/>
              <w:ind w:left="-3" w:firstLine="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200 руб.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за документ </w:t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</w:p>
        </w:tc>
        <w:tc>
          <w:tcPr>
            <w:tcW w:w="1684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1.3.3.1</w:t>
            </w:r>
          </w:p>
        </w:tc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Срочная выдача справки по письменному заявлению клиента при обращении в офис Банка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40"/>
              <w:ind w:left="-3" w:firstLine="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500 руб. за документ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осуществляется в день обращения клиента в офис Банка, при наличии технической возможности у Банка.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дополнительно к комиссии, указанной в п. 1.3.3.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</w:t>
            </w:r>
            <w:r>
              <w:rPr>
                <w:sz w:val="20"/>
                <w:szCs w:val="20"/>
              </w:rPr>
              <w:t xml:space="preserve"> которого взимается дополнительно.</w:t>
            </w: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1.3.4.</w:t>
            </w:r>
          </w:p>
        </w:tc>
        <w:tc>
          <w:tcPr>
            <w:tcW w:w="1759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запросов об операциях по счету для аудиторских фирм  клиента</w:t>
            </w:r>
          </w:p>
        </w:tc>
        <w:tc>
          <w:tcPr>
            <w:tcW w:w="1110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 руб.                          за каждый запрос</w:t>
            </w:r>
          </w:p>
        </w:tc>
        <w:tc>
          <w:tcPr>
            <w:tcW w:w="1684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1.3.5.</w:t>
            </w:r>
          </w:p>
        </w:tc>
        <w:tc>
          <w:tcPr>
            <w:tcW w:w="1759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дубликата выписки по счету по заявлению клиента:</w:t>
            </w:r>
          </w:p>
        </w:tc>
        <w:tc>
          <w:tcPr>
            <w:tcW w:w="1110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 руб.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лист, но не более 2000 руб.</w:t>
            </w:r>
          </w:p>
        </w:tc>
        <w:tc>
          <w:tcPr>
            <w:tcW w:w="1684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  <w:vAlign w:val="center"/>
          </w:tcPr>
          <w:p>
            <w:pPr>
              <w:ind w:left="-3" w:firstLine="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по счету крестьянского (фермерского) хозяйства</w:t>
            </w:r>
            <w:r>
              <w:rPr>
                <w:bCs/>
                <w:sz w:val="20"/>
                <w:szCs w:val="20"/>
              </w:rPr>
              <w:t xml:space="preserve"> (с целью оформления субсидии на возмещение затрат по уплате процентов по кредиту)</w:t>
            </w:r>
          </w:p>
        </w:tc>
        <w:tc>
          <w:tcPr>
            <w:tcW w:w="1110" w:type="pct"/>
            <w:vAlign w:val="center"/>
          </w:tcPr>
          <w:p>
            <w:pPr>
              <w:ind w:left="-3" w:firstLin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 руб. </w:t>
            </w:r>
          </w:p>
          <w:p>
            <w:pPr>
              <w:ind w:left="-3" w:firstLin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лист, но не более 500 руб.</w:t>
            </w:r>
          </w:p>
        </w:tc>
        <w:tc>
          <w:tcPr>
            <w:tcW w:w="1684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1.3.6.</w:t>
            </w:r>
          </w:p>
        </w:tc>
        <w:tc>
          <w:tcPr>
            <w:tcW w:w="1759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дубликатов счетовфактур</w:t>
            </w:r>
          </w:p>
        </w:tc>
        <w:tc>
          <w:tcPr>
            <w:tcW w:w="1110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 руб. за документ</w:t>
            </w:r>
          </w:p>
        </w:tc>
        <w:tc>
          <w:tcPr>
            <w:tcW w:w="1684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1.3.7.</w:t>
            </w:r>
          </w:p>
        </w:tc>
        <w:tc>
          <w:tcPr>
            <w:tcW w:w="1759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бумажной копии электронного платежного документа, полученного Банком по системе дистанционного банковского обслуживания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 заявлению клиента)</w:t>
            </w:r>
          </w:p>
        </w:tc>
        <w:tc>
          <w:tcPr>
            <w:tcW w:w="1110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руб.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лист»</w:t>
            </w:r>
          </w:p>
        </w:tc>
        <w:tc>
          <w:tcPr>
            <w:tcW w:w="1684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</w:t>
            </w:r>
            <w:r>
              <w:rPr>
                <w:sz w:val="20"/>
                <w:szCs w:val="20"/>
              </w:rPr>
              <w:t xml:space="preserve">не оказывается, если иное не предусмотрено договорами и (или) соглашениями с клиентом.</w:t>
            </w: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1.3.8.</w:t>
            </w:r>
          </w:p>
        </w:tc>
        <w:tc>
          <w:tcPr>
            <w:tcW w:w="1759" w:type="pct"/>
          </w:tcPr>
          <w:p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копии платежного документа по заявлению клиента</w:t>
            </w:r>
          </w:p>
          <w:p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копии платежного документа по заявлению клиента по счету крестьянского (фермерского) хозяйства (с ц</w:t>
            </w:r>
            <w:r>
              <w:rPr>
                <w:bCs/>
                <w:sz w:val="20"/>
                <w:szCs w:val="20"/>
              </w:rPr>
              <w:t xml:space="preserve">елью оформления субсидии на возмещение затрат по уплате процентов по кредиту):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10" w:type="pct"/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 xml:space="preserve">300 руб. за документ</w:t>
            </w:r>
          </w:p>
        </w:tc>
        <w:tc>
          <w:tcPr>
            <w:tcW w:w="1684" w:type="pct"/>
            <w:vMerge w:val="restar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</w:t>
            </w:r>
            <w:r>
              <w:rPr>
                <w:sz w:val="20"/>
                <w:szCs w:val="20"/>
              </w:rPr>
              <w:t xml:space="preserve">ями с клиентом.</w:t>
            </w: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давностью до трех месяцев</w:t>
            </w:r>
          </w:p>
        </w:tc>
        <w:tc>
          <w:tcPr>
            <w:tcW w:w="1110" w:type="pct"/>
          </w:tcPr>
          <w:p>
            <w:pPr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50 руб. за документ</w:t>
            </w:r>
          </w:p>
        </w:tc>
        <w:tc>
          <w:tcPr>
            <w:tcW w:w="1684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давностью свыше трех месяцев</w:t>
            </w:r>
          </w:p>
        </w:tc>
        <w:tc>
          <w:tcPr>
            <w:tcW w:w="1110" w:type="pct"/>
          </w:tcPr>
          <w:p>
            <w:pPr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100 руб. за документ</w:t>
            </w:r>
          </w:p>
          <w:p>
            <w:pPr>
              <w:spacing w:before="40"/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84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1.3.9.</w:t>
            </w:r>
          </w:p>
        </w:tc>
        <w:tc>
          <w:tcPr>
            <w:tcW w:w="1759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Банком карточки с образцами подписей и оттиска печати, подтверждение подлинности подписи (при наличии в Банке расчетного/текущего счета клиента)</w:t>
            </w:r>
          </w:p>
        </w:tc>
        <w:tc>
          <w:tcPr>
            <w:tcW w:w="1110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 руб. за одну подпись</w:t>
            </w:r>
          </w:p>
        </w:tc>
        <w:tc>
          <w:tcPr>
            <w:tcW w:w="1684" w:type="pct"/>
            <w:vMerge w:val="restar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Услуга облагается НДС, сумма которого взимается дополнительно.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государственным и бюджетным учреждениям, не имеющим расчетного счета в Банке</w:t>
            </w:r>
          </w:p>
        </w:tc>
        <w:tc>
          <w:tcPr>
            <w:tcW w:w="1110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</w:t>
            </w:r>
            <w:r>
              <w:rPr>
                <w:sz w:val="20"/>
                <w:szCs w:val="20"/>
              </w:rPr>
              <w:t xml:space="preserve">атно</w:t>
            </w:r>
          </w:p>
        </w:tc>
        <w:tc>
          <w:tcPr>
            <w:tcW w:w="1684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для клиентов, включенных в региональную адресную программу по проведению капитального ремонта </w:t>
            </w:r>
            <w:r>
              <w:rPr>
                <w:sz w:val="20"/>
                <w:szCs w:val="20"/>
              </w:rPr>
              <w:t xml:space="preserve">мног</w:t>
            </w:r>
            <w:r>
              <w:rPr>
                <w:sz w:val="20"/>
                <w:szCs w:val="20"/>
              </w:rPr>
              <w:t xml:space="preserve">оквартирных домов, переселения граждан из аварийного жилищного фонда в соответствии с Федеральным законом от 21.07.2007 № 185ФЗ «О Фонде содействия реформированию жилищнокоммунального хозяйства» в рамках заключенных договоров специального банковского счета</w:t>
            </w:r>
          </w:p>
        </w:tc>
        <w:tc>
          <w:tcPr>
            <w:tcW w:w="1110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</w:p>
        </w:tc>
        <w:tc>
          <w:tcPr>
            <w:tcW w:w="1684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1.3.10.</w:t>
            </w:r>
          </w:p>
        </w:tc>
        <w:tc>
          <w:tcPr>
            <w:tcW w:w="1759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клиенту по его запросу заверенной Банком копии карточки клиента с образцами подписей и оттиска печати</w:t>
            </w:r>
          </w:p>
        </w:tc>
        <w:tc>
          <w:tcPr>
            <w:tcW w:w="1110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 руб.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одну копию</w:t>
            </w:r>
          </w:p>
        </w:tc>
        <w:tc>
          <w:tcPr>
            <w:tcW w:w="1684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</w:t>
            </w:r>
            <w:r>
              <w:rPr>
                <w:sz w:val="20"/>
                <w:szCs w:val="20"/>
              </w:rPr>
              <w:t xml:space="preserve">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1.3.11.</w:t>
            </w:r>
          </w:p>
        </w:tc>
        <w:tc>
          <w:tcPr>
            <w:tcW w:w="1759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платежного документа по просьбе клиента</w:t>
            </w:r>
          </w:p>
        </w:tc>
        <w:tc>
          <w:tcPr>
            <w:tcW w:w="1110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 руб.                               за документ</w:t>
            </w:r>
          </w:p>
        </w:tc>
        <w:tc>
          <w:tcPr>
            <w:tcW w:w="1684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1.3.12.</w:t>
            </w:r>
          </w:p>
        </w:tc>
        <w:tc>
          <w:tcPr>
            <w:tcW w:w="1759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Ксерокопирова</w:t>
            </w:r>
            <w:r>
              <w:rPr>
                <w:sz w:val="20"/>
                <w:szCs w:val="20"/>
              </w:rPr>
              <w:t xml:space="preserve">ние документов клиента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110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руб.   за один лист с односторонним расположением текста</w:t>
            </w:r>
          </w:p>
        </w:tc>
        <w:tc>
          <w:tcPr>
            <w:tcW w:w="1684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</w:t>
            </w:r>
            <w:r>
              <w:rPr>
                <w:sz w:val="20"/>
                <w:szCs w:val="20"/>
              </w:rPr>
              <w:t xml:space="preserve">ое не предусмотрено договорами и (или) соглашениями с клиентом.</w:t>
            </w: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для открытия банковского счета/счета по депозиту при отсутствии банковского счета клиента в Банке</w:t>
            </w:r>
          </w:p>
        </w:tc>
        <w:tc>
          <w:tcPr>
            <w:tcW w:w="1110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1684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1.3.13.</w:t>
            </w:r>
          </w:p>
        </w:tc>
        <w:tc>
          <w:tcPr>
            <w:tcW w:w="1759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Установление Банком соответствия оригинала документа клиента его копии</w:t>
            </w:r>
          </w:p>
        </w:tc>
        <w:tc>
          <w:tcPr>
            <w:tcW w:w="1110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</w:p>
        </w:tc>
        <w:tc>
          <w:tcPr>
            <w:tcW w:w="1684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</w:t>
            </w:r>
            <w:r>
              <w:rPr>
                <w:sz w:val="20"/>
                <w:szCs w:val="20"/>
              </w:rPr>
              <w:t xml:space="preserve">я услуга не оказывается, если иное не предусмотрено договорами и (или) соглашениями с клиентом.</w:t>
            </w:r>
          </w:p>
        </w:tc>
      </w:tr>
      <w:tr>
        <w:tc>
          <w:tcPr>
            <w:tcW w:w="447" w:type="pct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Заверение Банком копии документа клиента</w:t>
            </w:r>
          </w:p>
        </w:tc>
        <w:tc>
          <w:tcPr>
            <w:tcW w:w="1110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</w:p>
        </w:tc>
        <w:tc>
          <w:tcPr>
            <w:tcW w:w="1684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47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1.3.1</w:t>
            </w:r>
            <w:r>
              <w:rPr>
                <w:sz w:val="20"/>
                <w:szCs w:val="20"/>
                <w:lang w:val="en-US" w:eastAsia="en-US"/>
              </w:rPr>
              <w:t xml:space="preserve">4</w:t>
            </w:r>
          </w:p>
        </w:tc>
        <w:tc>
          <w:tcPr>
            <w:tcW w:w="1759" w:type="pct"/>
          </w:tcPr>
          <w:p>
            <w:pPr>
              <w:spacing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письменных запросов Клиента, содержащих (но не ограничиваясь этим) предоставление выписок по счету в запрашиваем</w:t>
            </w:r>
            <w:r>
              <w:rPr>
                <w:color w:val="000000"/>
                <w:sz w:val="20"/>
                <w:szCs w:val="20"/>
              </w:rPr>
              <w:t xml:space="preserve">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0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</w:p>
        </w:tc>
        <w:tc>
          <w:tcPr>
            <w:tcW w:w="1684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оказывается на основании соответствующего соглашения, заключенного между Банк</w:t>
            </w:r>
            <w:r>
              <w:rPr>
                <w:sz w:val="20"/>
                <w:szCs w:val="20"/>
                <w:lang w:eastAsia="en-US"/>
              </w:rPr>
              <w:t xml:space="preserve">ом и Клиентом. 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в соответствии с порядком и сроками, определенными соглашением Сторон. 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облагается НДС. При предоставлении данной услуги комиссионное вознаграждение по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пп. 1.3.1-1.3.3, 1.3.5-1.3.13 Тарифов не взимается.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</w:tr>
      <w:tr>
        <w:trPr>
          <w:trHeight w:val="3082"/>
        </w:trPr>
        <w:tc>
          <w:tcPr>
            <w:tcW w:w="447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1.3.15.</w:t>
            </w:r>
          </w:p>
        </w:tc>
        <w:tc>
          <w:tcPr>
            <w:tcW w:w="1759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Предоставление услуг по расширенному банковскому сопровождению счета</w:t>
            </w:r>
          </w:p>
        </w:tc>
        <w:tc>
          <w:tcPr>
            <w:tcW w:w="1110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</w:p>
        </w:tc>
        <w:tc>
          <w:tcPr>
            <w:tcW w:w="1684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оказывается на основании соответствующего договора/соглашения, заключенного Банком и Клиентом.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соглашением к нему.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облагается НДС.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Срок действия  до 31 декабря 2025 года  (включительно).</w:t>
      </w:r>
    </w:p>
    <w:p>
      <w:pPr>
        <w:tabs>
          <w:tab w:val="left" w:pos="1080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 Комисс</w:t>
      </w:r>
      <w:r>
        <w:rPr>
          <w:i/>
          <w:sz w:val="16"/>
          <w:szCs w:val="16"/>
        </w:rPr>
        <w:t xml:space="preserve">ия по п.1.2.3.3 взимается за ведение счетов в следующих иностранных валютах:</w:t>
      </w:r>
    </w:p>
    <w:p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Австралийский доллар;</w:t>
      </w:r>
    </w:p>
    <w:p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Багамский доллар;</w:t>
      </w:r>
    </w:p>
    <w:p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Болгарский лев;</w:t>
      </w:r>
    </w:p>
    <w:p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Венгерский форинт;</w:t>
      </w:r>
    </w:p>
    <w:p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Вон Республики Корея;</w:t>
      </w:r>
    </w:p>
    <w:p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Гонконгский доллар;</w:t>
      </w:r>
    </w:p>
    <w:p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Датская крона;</w:t>
      </w:r>
    </w:p>
    <w:p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Исландская крона;</w:t>
      </w:r>
    </w:p>
    <w:p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Канадский доллар;</w:t>
      </w:r>
    </w:p>
    <w:p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Албанский лек;</w:t>
      </w:r>
    </w:p>
    <w:p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Македонский денар;</w:t>
      </w:r>
    </w:p>
    <w:p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Новозеландский доллар;</w:t>
      </w:r>
    </w:p>
    <w:p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Норвежская крона;</w:t>
      </w:r>
    </w:p>
    <w:p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Польский злотый;</w:t>
      </w:r>
    </w:p>
    <w:p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Румынский лей;</w:t>
      </w:r>
    </w:p>
    <w:p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Сингапурский доллар;</w:t>
      </w:r>
    </w:p>
    <w:p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Украинская гривна;</w:t>
      </w:r>
    </w:p>
    <w:p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Фунт стерлингов Соединенного королевства;</w:t>
      </w:r>
    </w:p>
    <w:p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Хорватская куна;</w:t>
      </w:r>
    </w:p>
    <w:p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Чешская крона;</w:t>
      </w:r>
    </w:p>
    <w:p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Шведская крона;</w:t>
      </w:r>
    </w:p>
    <w:p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Швейцарский франк;</w:t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- Японская йена.</w:t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Примечания: </w:t>
      </w:r>
    </w:p>
    <w:p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1. Без взимания комиссии в Банке открываются и обслуживаются:</w:t>
      </w:r>
    </w:p>
    <w:p>
      <w:pPr>
        <w:tabs>
          <w:tab w:val="left" w:pos="1134"/>
        </w:tabs>
        <w:ind w:firstLine="709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бюджетные счета (счета, открываемые на балансовых позициях 401-404);</w:t>
      </w:r>
    </w:p>
    <w:p>
      <w:pPr>
        <w:tabs>
          <w:tab w:val="left" w:pos="1134"/>
        </w:tabs>
        <w:ind w:firstLine="709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счета бюджетных у</w:t>
      </w:r>
      <w:r>
        <w:rPr>
          <w:bCs/>
          <w:i/>
          <w:sz w:val="16"/>
          <w:szCs w:val="16"/>
        </w:rPr>
        <w:t xml:space="preserve">чреждений/казенных учреждений/автономных учреждений;</w:t>
      </w:r>
    </w:p>
    <w:p>
      <w:pPr>
        <w:tabs>
          <w:tab w:val="left" w:pos="1134"/>
        </w:tabs>
        <w:ind w:firstLine="709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депозитные счета нотариусов</w:t>
      </w:r>
    </w:p>
    <w:p>
      <w:pPr>
        <w:tabs>
          <w:tab w:val="left" w:pos="1134"/>
        </w:tabs>
        <w:ind w:firstLine="709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отдельные счета головного исполнителя;</w:t>
      </w:r>
    </w:p>
    <w:p>
      <w:pPr>
        <w:tabs>
          <w:tab w:val="left" w:pos="1134"/>
        </w:tabs>
        <w:ind w:firstLine="709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отдельные счета исполнителя государственного оборонного заказа;</w:t>
      </w:r>
    </w:p>
    <w:p>
      <w:pPr>
        <w:tabs>
          <w:tab w:val="left" w:pos="1134"/>
        </w:tabs>
        <w:ind w:firstLine="709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специальные банковские счета для размещения саморегулируемыми ор</w:t>
      </w:r>
      <w:r>
        <w:rPr>
          <w:bCs/>
          <w:i/>
          <w:sz w:val="16"/>
          <w:szCs w:val="16"/>
        </w:rPr>
        <w:t xml:space="preserve">ганизациями средств компенсационного фонда;</w:t>
      </w:r>
    </w:p>
    <w:p>
      <w:pPr>
        <w:tabs>
          <w:tab w:val="left" w:pos="1134"/>
        </w:tabs>
        <w:ind w:firstLine="709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</w:p>
    <w:p>
      <w:pPr>
        <w:tabs>
          <w:tab w:val="left" w:pos="1134"/>
        </w:tabs>
        <w:ind w:firstLine="709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</w:t>
      </w:r>
      <w:r>
        <w:rPr>
          <w:bCs/>
          <w:i/>
          <w:sz w:val="16"/>
          <w:szCs w:val="16"/>
        </w:rPr>
        <w:t xml:space="preserve"> компенсационного фонда обеспечения договорных обязательств;</w:t>
      </w:r>
    </w:p>
    <w:p>
      <w:pPr>
        <w:tabs>
          <w:tab w:val="left" w:pos="1134"/>
        </w:tabs>
        <w:ind w:firstLine="709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публичные депозитные счета;</w:t>
      </w:r>
    </w:p>
    <w:p>
      <w:pPr>
        <w:tabs>
          <w:tab w:val="left" w:pos="1134"/>
        </w:tabs>
        <w:ind w:firstLine="709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счета эскроу для расчетов по договору участия в долевом строительстве.</w:t>
      </w:r>
    </w:p>
    <w:p>
      <w:pPr>
        <w:tabs>
          <w:tab w:val="left" w:pos="1134"/>
        </w:tabs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Применяется при предоставлении услуг, указанных в разделе 1 «Открытие и ведение счетов» настоящих тарифов.</w:t>
      </w:r>
    </w:p>
    <w:p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 Дополнительно к указанным Тарифам Банк может взимать без предварительного уведомления клиента суммы в возмещение фактических расходов, понесенных </w:t>
      </w:r>
      <w:r>
        <w:rPr>
          <w:i/>
          <w:sz w:val="16"/>
          <w:szCs w:val="16"/>
        </w:rPr>
        <w:t xml:space="preserve">Банком при совершении операции по счету клиента, в том числе уплаченных банкамкорреспондентам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 1.1.5, 1.1.8, 1.1.12,.</w:t>
      </w:r>
      <w:r>
        <w:rPr>
          <w:i/>
          <w:sz w:val="16"/>
          <w:szCs w:val="16"/>
        </w:rPr>
        <w:t xml:space="preserve">Тарифов).</w:t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 Комиссии взимаются Банком в день оказания соответствующих услуг, если иной порядок не указан в примечании к Тарифу.</w:t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4. Сумма комиссионного вознаграждения в иностранной валюте, может быть выражена в рублевом эквиваленте, пересчитанном по курсу </w:t>
      </w:r>
      <w:r>
        <w:rPr>
          <w:i/>
          <w:sz w:val="16"/>
          <w:szCs w:val="16"/>
        </w:rPr>
        <w:t xml:space="preserve">Банка России, действующему на дату взимания комиссионного вознаграждения.</w:t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5.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</w:t>
      </w:r>
      <w:r>
        <w:rPr>
          <w:i/>
          <w:sz w:val="16"/>
          <w:szCs w:val="16"/>
        </w:rPr>
        <w:t xml:space="preserve">ия комиссионного вознаграждения.</w:t>
      </w:r>
    </w:p>
    <w:p>
      <w:pPr>
        <w:rPr>
          <w:i/>
          <w:sz w:val="16"/>
          <w:szCs w:val="16"/>
        </w:rPr>
      </w:pPr>
    </w:p>
    <w:p>
      <w:pPr>
        <w:pStyle w:val="1112111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 Под обязательствами перед АО «Россельхозбанк» по кредитным сделкам понимаются:</w:t>
      </w:r>
    </w:p>
    <w:p>
      <w:pPr>
        <w:pStyle w:val="1112111"/>
        <w:ind w:firstLine="70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обя</w:t>
      </w:r>
      <w:r>
        <w:rPr>
          <w:i/>
          <w:sz w:val="16"/>
          <w:szCs w:val="16"/>
        </w:rPr>
        <w:t xml:space="preserve">зательства по договорам и соглашениям, заключенным в обеспечение обязательств перед АО «Россельхозбанк» по вышеуказанным договорам, в том числе </w:t>
      </w:r>
      <w:r>
        <w:rPr>
          <w:i/>
          <w:sz w:val="16"/>
          <w:szCs w:val="16"/>
        </w:rPr>
        <w:br w:type="textWrapping" w:clear="all"/>
      </w:r>
      <w:r>
        <w:rPr>
          <w:i/>
          <w:sz w:val="16"/>
          <w:szCs w:val="16"/>
        </w:rPr>
        <w:t xml:space="preserve">по договорам залога, договорам поручительства (в том числе прекратившим свое действие).</w:t>
      </w:r>
    </w:p>
    <w:p/>
    <w:p>
      <w:pPr>
        <w:tabs>
          <w:tab w:val="left" w:pos="426"/>
        </w:tabs>
        <w:jc w:val="center"/>
        <w:rPr>
          <w:b/>
          <w:sz w:val="22"/>
          <w:szCs w:val="22"/>
        </w:rPr>
      </w:pPr>
      <w:bookmarkStart w:id="7" w:name="_Toc421185894"/>
    </w:p>
    <w:p>
      <w:pPr>
        <w:tabs>
          <w:tab w:val="left" w:pos="426"/>
        </w:tabs>
        <w:jc w:val="center"/>
        <w:rPr>
          <w:b/>
          <w:sz w:val="22"/>
          <w:szCs w:val="22"/>
        </w:rPr>
      </w:pPr>
    </w:p>
    <w:p>
      <w:pPr>
        <w:tabs>
          <w:tab w:val="left" w:pos="426"/>
        </w:tabs>
        <w:jc w:val="center"/>
        <w:rPr>
          <w:b/>
          <w:sz w:val="22"/>
          <w:szCs w:val="22"/>
        </w:rPr>
      </w:pPr>
    </w:p>
    <w:p>
      <w:pPr>
        <w:tabs>
          <w:tab w:val="left" w:pos="426"/>
        </w:tabs>
        <w:jc w:val="center"/>
        <w:rPr>
          <w:b/>
          <w:sz w:val="22"/>
          <w:szCs w:val="22"/>
        </w:rPr>
      </w:pPr>
    </w:p>
    <w:p>
      <w:pPr>
        <w:tabs>
          <w:tab w:val="left" w:pos="426"/>
        </w:tabs>
        <w:jc w:val="center"/>
        <w:rPr>
          <w:b/>
          <w:sz w:val="22"/>
          <w:szCs w:val="22"/>
        </w:rPr>
      </w:pPr>
    </w:p>
    <w:p>
      <w:pPr>
        <w:tabs>
          <w:tab w:val="left" w:pos="426"/>
        </w:tabs>
        <w:jc w:val="center"/>
        <w:rPr>
          <w:b/>
          <w:sz w:val="22"/>
          <w:szCs w:val="22"/>
        </w:rPr>
      </w:pPr>
    </w:p>
    <w:p>
      <w:pPr>
        <w:tabs>
          <w:tab w:val="left" w:pos="42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Кассовые опер</w:t>
      </w:r>
      <w:r>
        <w:rPr>
          <w:b/>
          <w:sz w:val="22"/>
          <w:szCs w:val="22"/>
        </w:rPr>
        <w:t xml:space="preserve">ации*</w:t>
      </w:r>
      <w:bookmarkEnd w:id="7"/>
    </w:p>
    <w:p/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31"/>
        <w:gridCol w:w="140"/>
        <w:gridCol w:w="3741"/>
        <w:gridCol w:w="1940"/>
        <w:gridCol w:w="277"/>
        <w:gridCol w:w="3186"/>
      </w:tblGrid>
      <w:tr>
        <w:trPr>
          <w:tblHeader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</w:p>
        </w:tc>
        <w:tc>
          <w:tcPr>
            <w:tcW w:w="19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</w:p>
        </w:tc>
        <w:tc>
          <w:tcPr>
            <w:tcW w:w="17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</w:p>
        </w:tc>
      </w:tr>
      <w:t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</w:t>
            </w:r>
          </w:p>
        </w:tc>
        <w:tc>
          <w:tcPr>
            <w:tcW w:w="19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денежной чековой книжки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 листов  200руб.,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листов  300 руб.</w:t>
            </w:r>
          </w:p>
        </w:tc>
        <w:tc>
          <w:tcPr>
            <w:tcW w:w="17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2.2. Выдача денежной наличности с банковского счета в валюте Российской Федерации (в том числе при закрытии счета)</w:t>
            </w:r>
          </w:p>
        </w:tc>
      </w:tr>
      <w:tr>
        <w:tc>
          <w:tcPr>
            <w:tcW w:w="4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2.2.1.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/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Юридическим лицам, 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 на заработную плату и выплаты социального характера (кассовый си</w:t>
            </w:r>
            <w:r>
              <w:rPr>
                <w:bCs/>
                <w:sz w:val="20"/>
                <w:szCs w:val="20"/>
              </w:rPr>
              <w:t xml:space="preserve">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заявке**</w:t>
            </w:r>
          </w:p>
        </w:tc>
        <w:tc>
          <w:tcPr>
            <w:tcW w:w="10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0,9% от суммы,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минимум 500 руб.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 0,3 процентных пункта.       Комиссионное вознаграждение за услугу по выдаче денежной наличности с банковского счета юридического лица в валюте Российской Федераци</w:t>
            </w:r>
            <w:r>
              <w:rPr>
                <w:sz w:val="20"/>
                <w:szCs w:val="20"/>
              </w:rPr>
              <w:t xml:space="preserve">и на заработную плату и выплаты социального характера (кассовый символ 40):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взимается в соответствии с пунктом 2.2.1 при наличии в Банке в момент совершения операции надлежащим образом оформленного платежного поручения клиента, подтверждающего перечислени</w:t>
            </w:r>
            <w:r>
              <w:rPr>
                <w:sz w:val="20"/>
                <w:szCs w:val="20"/>
              </w:rPr>
              <w:t xml:space="preserve">е в бюджет со счетов, открытых в Банке, соответствующих сумм налога на доходы физических лиц, удержанных из заработной платы работников, за отчетный период**** (в случае применения указанного условия/тарифа в первый календарный месяц с даты введения его в </w:t>
            </w:r>
            <w:r>
              <w:rPr>
                <w:sz w:val="20"/>
                <w:szCs w:val="20"/>
              </w:rPr>
              <w:t xml:space="preserve">действие или в первый календарный месяц обслуживания клиента в Банке платежное поручение предоставляется с отметкой обслуживающего банка (в том числе иного) об исполнении);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взимается в соответствии с пунктом 2.2.1.1. при отсутствии в Банке в момент соверш</w:t>
            </w:r>
            <w:r>
              <w:rPr>
                <w:sz w:val="20"/>
                <w:szCs w:val="20"/>
              </w:rPr>
              <w:t xml:space="preserve">ения операции указанного документа.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>
        <w:tc>
          <w:tcPr>
            <w:tcW w:w="4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2.2.1.1.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after="120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 заработную плату и выплаты социально</w:t>
            </w:r>
            <w:r>
              <w:rPr>
                <w:sz w:val="20"/>
                <w:szCs w:val="20"/>
                <w:lang w:eastAsia="en-US"/>
              </w:rPr>
              <w:t xml:space="preserve">го характера (кассовый символ 40) по предварительной заявке**</w:t>
            </w:r>
          </w:p>
        </w:tc>
        <w:tc>
          <w:tcPr>
            <w:tcW w:w="10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after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3% от суммы до 5 000 000,00 руб. (включительно);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spacing w:after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10% от суммы с 5 000 000,01 руб. и выше 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after="12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выдаче денежной наличности без предварительной заявки** указанный тариф увеличивается на 0,3 процентных пункта</w:t>
            </w:r>
          </w:p>
        </w:tc>
      </w:tr>
      <w:tr>
        <w:tc>
          <w:tcPr>
            <w:tcW w:w="4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2.2.2.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Юридическим лицам и индивидуальным предпринимателям на другие цели, за исключением целей, связанных с выдачей денежной наличности на </w:t>
            </w:r>
            <w:r>
              <w:rPr>
                <w:bCs/>
                <w:sz w:val="20"/>
                <w:szCs w:val="20"/>
              </w:rPr>
              <w:t xml:space="preserve">покупку лома и отходов цветных и (или) черных металлов у физических лиц*****, за календарный месяц совокупно по всем счетам клиента в </w:t>
            </w:r>
            <w:r>
              <w:rPr>
                <w:bCs/>
                <w:sz w:val="20"/>
                <w:szCs w:val="20"/>
              </w:rPr>
              <w:t xml:space="preserve">рамках подразделения Банка*** по предварительной заявке**</w:t>
            </w:r>
          </w:p>
        </w:tc>
        <w:tc>
          <w:tcPr>
            <w:tcW w:w="10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2% от суммы </w:t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 300 000 руб. (включительно)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в течение календарного месяца;</w:t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3,5% от суммы </w:t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 300 000,01 руб. </w:t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 1 500 000,00 руб. </w:t>
            </w:r>
            <w:r>
              <w:rPr>
                <w:bCs/>
                <w:sz w:val="20"/>
                <w:szCs w:val="20"/>
              </w:rPr>
              <w:t xml:space="preserve">(включительно)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в течение календарного месяца;</w:t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6,5% от суммы </w:t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 1 500 000,01 руб. </w:t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 4 000 000,00 руб. (включительно)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в течение календарного месяца;</w:t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10% от суммы</w:t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 4 000 000,01 руб.</w:t>
            </w:r>
          </w:p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 выше в течение календарного месяц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определения размера тарифа по каждой операции рассчитывается ОБЩАЯ СУММА денежных средств, равная совокупности размера уже выданных клиенту в текущем календарном месяце средств и размера вновь зая</w:t>
            </w:r>
            <w:r>
              <w:rPr>
                <w:sz w:val="20"/>
                <w:szCs w:val="20"/>
              </w:rPr>
              <w:t xml:space="preserve">вленной к выдаче суммы.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 2.2.1, в расчет общей суммы средств, выданных клиенту в течение указанного месяца, не включаются.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 опера</w:t>
            </w:r>
            <w:r>
              <w:rPr>
                <w:sz w:val="20"/>
                <w:szCs w:val="20"/>
              </w:rPr>
              <w:t xml:space="preserve">ции соответствует ставке, указанной к суммовой градации, в интервал которой относится рассчитанная ОБЩАЯ СУММА денежных средств.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 0,5 процентных пункта </w:t>
            </w:r>
          </w:p>
        </w:tc>
      </w:tr>
      <w:tr>
        <w:tc>
          <w:tcPr>
            <w:tcW w:w="4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2.2.3.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 агропромышленному комплексу****, на</w:t>
            </w:r>
            <w:r>
              <w:rPr>
                <w:bCs/>
                <w:sz w:val="20"/>
                <w:szCs w:val="20"/>
              </w:rPr>
              <w:t xml:space="preserve">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совокупно по всем счетам клиента в рамках подразделения Банка***</w:t>
            </w:r>
          </w:p>
        </w:tc>
        <w:tc>
          <w:tcPr>
            <w:tcW w:w="10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1,3% от суммы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 1 000 000,00 руб.</w:t>
            </w:r>
            <w:r>
              <w:rPr>
                <w:sz w:val="20"/>
                <w:szCs w:val="20"/>
              </w:rPr>
              <w:t xml:space="preserve"> (включительно) в течение календарного месяца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от суммы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 1 000 000,01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 2 000 000,00 руб. (включительно) в течение календарного месяца,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 от суммы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 2 000 000,01 руб.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 5 000 000,00 руб. (включительно) в течение календарного месяца;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5% от суммы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 5</w:t>
            </w:r>
            <w:r>
              <w:rPr>
                <w:sz w:val="20"/>
                <w:szCs w:val="20"/>
              </w:rPr>
              <w:t xml:space="preserve"> 000 000,01 руб.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 10 000 000,00 руб. (включительно) в течение календарного месяца;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10 % от суммы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 10 000 000,01 руб. и выше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календарного месяца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  <w:tab w:val="left" w:pos="1134"/>
              </w:tabs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</w:p>
          <w:p>
            <w:pPr>
              <w:tabs>
                <w:tab w:val="left" w:pos="0"/>
                <w:tab w:val="left" w:pos="1134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этом денежные средства, выда</w:t>
            </w:r>
            <w:r>
              <w:rPr>
                <w:bCs/>
                <w:sz w:val="20"/>
                <w:szCs w:val="20"/>
              </w:rPr>
              <w:t xml:space="preserve">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тарифа по каждой операции соответствует ставке, указанной к суммовой градации,</w:t>
            </w:r>
            <w:r>
              <w:rPr>
                <w:bCs/>
                <w:sz w:val="20"/>
                <w:szCs w:val="20"/>
              </w:rPr>
              <w:t xml:space="preserve"> в интервал которой относится рассчитанная ОБЩАЯ СУММА денежных средств.</w:t>
            </w:r>
          </w:p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остатка денежной наличности при закрытии счета </w:t>
            </w:r>
          </w:p>
        </w:tc>
        <w:tc>
          <w:tcPr>
            <w:tcW w:w="10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отдельно не тарифицируется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соответствии с п. 2.2 Тарифов</w:t>
            </w:r>
          </w:p>
        </w:tc>
      </w:tr>
      <w:tr>
        <w:tc>
          <w:tcPr>
            <w:tcW w:w="480" w:type="pct"/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и пересчет денежной наличности в валюте Российской Федерации для зачисления на банковский счет клиента:</w:t>
            </w:r>
          </w:p>
        </w:tc>
        <w:tc>
          <w:tcPr>
            <w:tcW w:w="1096" w:type="pct"/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 наличных средств в уставный капитал/паевый фонд осуществляется бесплатно.</w:t>
            </w:r>
          </w:p>
          <w:p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от суммы денежной наличности, поступившей по о</w:t>
            </w:r>
            <w:r>
              <w:rPr>
                <w:bCs/>
                <w:sz w:val="20"/>
                <w:szCs w:val="20"/>
              </w:rPr>
              <w:t xml:space="preserve">дному сопроводительному документу.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вносимой суммы) и комиссии за пересчет монет (% от в</w:t>
            </w:r>
            <w:r>
              <w:rPr>
                <w:color w:val="000000"/>
                <w:sz w:val="20"/>
                <w:szCs w:val="20"/>
              </w:rPr>
              <w:t xml:space="preserve">носимой суммы). При этом, если </w:t>
            </w:r>
            <w:r>
              <w:rPr>
                <w:color w:val="000000"/>
                <w:sz w:val="20"/>
                <w:szCs w:val="20"/>
              </w:rPr>
              <w:t xml:space="preserve">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руб.).</w:t>
            </w:r>
          </w:p>
        </w:tc>
      </w:tr>
      <w:tr>
        <w:tc>
          <w:tcPr>
            <w:tcW w:w="480" w:type="pct"/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2.4.1.</w:t>
            </w:r>
          </w:p>
        </w:tc>
        <w:tc>
          <w:tcPr>
            <w:tcW w:w="1849" w:type="pc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по объявлению на взнос наличными (банкноты)</w:t>
            </w:r>
          </w:p>
        </w:tc>
        <w:tc>
          <w:tcPr>
            <w:tcW w:w="1096" w:type="pct"/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0,09% от суммы,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250 руб.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5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80" w:type="pct"/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2.4.2.</w:t>
            </w:r>
          </w:p>
        </w:tc>
        <w:tc>
          <w:tcPr>
            <w:tcW w:w="1849" w:type="pc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в инкассаторских сумках или других средствах для</w:t>
            </w:r>
            <w:r>
              <w:rPr>
                <w:bCs/>
                <w:sz w:val="20"/>
                <w:szCs w:val="20"/>
              </w:rPr>
              <w:t xml:space="preserve">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</w:p>
        </w:tc>
        <w:tc>
          <w:tcPr>
            <w:tcW w:w="1096" w:type="pct"/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суммы,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минимум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250 руб.</w:t>
            </w:r>
          </w:p>
        </w:tc>
        <w:tc>
          <w:tcPr>
            <w:tcW w:w="1575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80" w:type="pct"/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2.4.3.</w:t>
            </w:r>
          </w:p>
        </w:tc>
        <w:tc>
          <w:tcPr>
            <w:tcW w:w="1849" w:type="pc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в инкассаторских сумках или других средствах для упаковки денежной наличности, доставленных инкассаторскими работниками АО «Россельхозбанк» (банкноты)</w:t>
            </w:r>
          </w:p>
        </w:tc>
        <w:tc>
          <w:tcPr>
            <w:tcW w:w="1096" w:type="pct"/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0,09% от суммы,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минимум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250 руб.</w:t>
            </w:r>
          </w:p>
        </w:tc>
        <w:tc>
          <w:tcPr>
            <w:tcW w:w="1575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80" w:type="pct"/>
            <w:gridSpan w:val="2"/>
            <w:tcBorders>
              <w:top w:val="non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2.4.4.</w:t>
            </w:r>
          </w:p>
        </w:tc>
        <w:tc>
          <w:tcPr>
            <w:tcW w:w="1849" w:type="pct"/>
            <w:tcBorders>
              <w:top w:val="non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и пересчет монет</w:t>
            </w:r>
          </w:p>
        </w:tc>
        <w:tc>
          <w:tcPr>
            <w:tcW w:w="1096" w:type="pct"/>
            <w:gridSpan w:val="2"/>
            <w:tcBorders>
              <w:top w:val="non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минимум 250 руб.</w:t>
            </w:r>
          </w:p>
        </w:tc>
        <w:tc>
          <w:tcPr>
            <w:tcW w:w="1575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2.5.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пересчет денежной наличности в валюте Российской Федерации для зачисления на банковский счет клиента, открытый в другом подразделении Банка*** </w:t>
            </w:r>
          </w:p>
        </w:tc>
        <w:tc>
          <w:tcPr>
            <w:tcW w:w="10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суммы,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 руб.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2.6.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Повторный пересчет денежной наличности в валюте Российской Федерации в результате образовавшегося излишка или недостачи по вине клиента </w:t>
            </w:r>
          </w:p>
        </w:tc>
        <w:tc>
          <w:tcPr>
            <w:tcW w:w="10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от суммы,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 50 руб.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2.7.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денежных знаков Банка России, вызывающих сомнение в подлинности, для направ</w:t>
            </w:r>
            <w:r>
              <w:rPr>
                <w:sz w:val="20"/>
                <w:szCs w:val="20"/>
              </w:rPr>
              <w:t xml:space="preserve">ления на экспертизу </w:t>
            </w:r>
          </w:p>
        </w:tc>
        <w:tc>
          <w:tcPr>
            <w:tcW w:w="10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2.8.</w:t>
            </w:r>
          </w:p>
        </w:tc>
        <w:tc>
          <w:tcPr>
            <w:tcW w:w="1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Обмен ветхих банкнот и дефектной монеты Банка России на годные к обращению </w:t>
            </w:r>
          </w:p>
        </w:tc>
        <w:tc>
          <w:tcPr>
            <w:tcW w:w="10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</w:p>
        </w:tc>
        <w:tc>
          <w:tcPr>
            <w:tcW w:w="1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2.9. Размен банкнот/монет Банка России</w:t>
            </w:r>
          </w:p>
        </w:tc>
      </w:tr>
      <w:t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2.9.1.</w:t>
            </w:r>
          </w:p>
        </w:tc>
        <w:tc>
          <w:tcPr>
            <w:tcW w:w="19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 Банка России на банкноты Банка России другого достоинства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но не менее 250 руб.</w:t>
            </w:r>
          </w:p>
        </w:tc>
        <w:tc>
          <w:tcPr>
            <w:tcW w:w="171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банкнот/монет, требуемых для размена.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</w:t>
            </w:r>
            <w:r>
              <w:rPr>
                <w:sz w:val="20"/>
                <w:szCs w:val="20"/>
              </w:rPr>
              <w:t xml:space="preserve">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2.9.2.</w:t>
            </w:r>
          </w:p>
        </w:tc>
        <w:tc>
          <w:tcPr>
            <w:tcW w:w="19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 Банка России на монету Банка России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 от суммы, но не менее 250 руб.</w:t>
            </w:r>
          </w:p>
        </w:tc>
        <w:tc>
          <w:tcPr>
            <w:tcW w:w="1712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2.9.3.</w:t>
            </w:r>
          </w:p>
        </w:tc>
        <w:tc>
          <w:tcPr>
            <w:tcW w:w="19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монет Банка России на банкноты Банка России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 от суммы, но не менее 250 руб.</w:t>
            </w:r>
          </w:p>
        </w:tc>
        <w:tc>
          <w:tcPr>
            <w:tcW w:w="1712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2.9.4.</w:t>
            </w:r>
          </w:p>
        </w:tc>
        <w:tc>
          <w:tcPr>
            <w:tcW w:w="19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монет Банка России на монету Банка России другого достоинства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 от суммы, но не менее 250 руб.</w:t>
            </w:r>
          </w:p>
        </w:tc>
        <w:tc>
          <w:tcPr>
            <w:tcW w:w="1712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2.10.</w:t>
            </w:r>
          </w:p>
        </w:tc>
        <w:tc>
          <w:tcPr>
            <w:tcW w:w="19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клиента Банка разменной монетой на постоянной основе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0,5% от суммы,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 50 руб.</w:t>
            </w:r>
          </w:p>
        </w:tc>
        <w:tc>
          <w:tcPr>
            <w:tcW w:w="1712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письменной предварительной заявке** за 3 рабочих дня до получения разменной монеты.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</w:t>
            </w:r>
            <w:r>
              <w:rPr>
                <w:sz w:val="20"/>
                <w:szCs w:val="20"/>
              </w:rPr>
              <w:t xml:space="preserve">ния услуга не оказывается, если иное не предусмотрено договорами и (или) соглашениями с клиентом.</w:t>
            </w:r>
          </w:p>
        </w:tc>
      </w:tr>
      <w:t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2.11.</w:t>
            </w:r>
          </w:p>
        </w:tc>
        <w:tc>
          <w:tcPr>
            <w:tcW w:w="19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денежной наличности в иностранной валюте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2,5% от суммы,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 300 руб.</w:t>
            </w:r>
          </w:p>
        </w:tc>
        <w:tc>
          <w:tcPr>
            <w:tcW w:w="17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2.12.</w:t>
            </w:r>
          </w:p>
        </w:tc>
        <w:tc>
          <w:tcPr>
            <w:tcW w:w="19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наличной иностранной валюты (за исключением монет)******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3,5% от суммы,</w:t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минимум 200 руб.</w:t>
            </w:r>
          </w:p>
        </w:tc>
        <w:tc>
          <w:tcPr>
            <w:tcW w:w="17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2.13.</w:t>
            </w:r>
          </w:p>
        </w:tc>
        <w:tc>
          <w:tcPr>
            <w:tcW w:w="19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банкнот иностранного государства (группы иностранных го</w:t>
            </w:r>
            <w:r>
              <w:rPr>
                <w:sz w:val="20"/>
                <w:szCs w:val="20"/>
              </w:rPr>
              <w:t xml:space="preserve">сударств), вызывающих сомнение в подлинности, для направления на экспертизу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</w:p>
        </w:tc>
        <w:tc>
          <w:tcPr>
            <w:tcW w:w="17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2.14</w:t>
            </w:r>
          </w:p>
        </w:tc>
        <w:tc>
          <w:tcPr>
            <w:tcW w:w="19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Покупюрный подбор при выдаче наличных денежных средств со счета </w:t>
            </w:r>
            <w:r>
              <w:rPr>
                <w:sz w:val="20"/>
                <w:szCs w:val="20"/>
              </w:rPr>
              <w:t xml:space="preserve">клиента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 выдачи</w:t>
            </w:r>
          </w:p>
        </w:tc>
        <w:tc>
          <w:tcPr>
            <w:tcW w:w="17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Комиссионное вознаграждение взимается Банком в день получения </w:t>
            </w:r>
            <w:r>
              <w:rPr>
                <w:sz w:val="20"/>
                <w:szCs w:val="20"/>
                <w:lang w:eastAsia="en-US"/>
              </w:rPr>
              <w:t xml:space="preserve">наличных денежных средств, дополнительно к комиссии, указанной в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п.п. 2.2.1-2.2.3 Тарифов.</w:t>
            </w:r>
          </w:p>
          <w:p>
            <w:pPr>
              <w:spacing w:before="40" w:after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оказывается только для предварительно заказанных сумм.</w:t>
            </w:r>
          </w:p>
        </w:tc>
      </w:tr>
      <w:t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2.15</w:t>
            </w:r>
          </w:p>
        </w:tc>
        <w:tc>
          <w:tcPr>
            <w:tcW w:w="19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Подготовка денежных средств для выдачи по предварительной заявке (комиссия взимается в случае не</w:t>
            </w:r>
            <w:r>
              <w:rPr>
                <w:bCs/>
                <w:sz w:val="20"/>
                <w:szCs w:val="20"/>
              </w:rPr>
              <w:t xml:space="preserve">получения клиентом заказанных наличных денежных средств)</w:t>
            </w:r>
          </w:p>
          <w:p>
            <w:pPr>
              <w:rPr>
                <w:bCs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</w:p>
        </w:tc>
        <w:tc>
          <w:tcPr>
            <w:tcW w:w="17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Комиссионное вознаграждение взимается в день, на который была оформлена предварительная заявка, в случае неполучения предварительно заказанных наличных денежных средств</w:t>
            </w:r>
            <w:r>
              <w:rPr>
                <w:sz w:val="20"/>
                <w:szCs w:val="20"/>
              </w:rPr>
              <w:t xml:space="preserve">.</w:t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Примечания:</w:t>
      </w:r>
    </w:p>
    <w:p>
      <w:pPr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Операции по обслуживанию бюджетных счетов (счета, открываемые на балансовых позициях 401-404)</w:t>
      </w:r>
      <w:r>
        <w:rPr>
          <w:i/>
          <w:sz w:val="16"/>
          <w:szCs w:val="16"/>
        </w:rPr>
        <w:t xml:space="preserve">, </w:t>
      </w:r>
      <w:r>
        <w:rPr>
          <w:bCs/>
          <w:i/>
          <w:sz w:val="16"/>
          <w:szCs w:val="16"/>
        </w:rPr>
        <w:t xml:space="preserve">счетов, открытых бюджетным учреждениям/казенным учреждениям/ автономным учреждениям, отдельных счетов головного исполнителя, исполнителя государственного оборонн</w:t>
      </w:r>
      <w:r>
        <w:rPr>
          <w:bCs/>
          <w:i/>
          <w:sz w:val="16"/>
          <w:szCs w:val="16"/>
        </w:rPr>
        <w:t xml:space="preserve">ого заказа, депозитных счетов нотариусов, публичных депозитных счетов, счетов эскроу для расчетов по договору участия в долевом строительстве осуществляются без взимания Банком комиссии. Применяется при предоставлении услуг, указанных в разделе 2 «Кассовые</w:t>
      </w:r>
      <w:r>
        <w:rPr>
          <w:bCs/>
          <w:i/>
          <w:sz w:val="16"/>
          <w:szCs w:val="16"/>
        </w:rPr>
        <w:t xml:space="preserve"> операции» настоящих тарифов.</w:t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*) Плата за услуги Банка взимается в момент совершения операции, если конкретным пунктом Тарифов не предусмотрено иное.</w:t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**) Предварительная заявка клиента – это письменное заявление клиента о намерении получить денежную наличн</w:t>
      </w:r>
      <w:r>
        <w:rPr>
          <w:i/>
          <w:sz w:val="16"/>
          <w:szCs w:val="16"/>
        </w:rPr>
        <w:t xml:space="preserve">ость со своего банковского счета, представленное в подразделение Банка накануне дня планируемого получения клиентом денежной наличности, либо заявка в виде формализованного электронного документа на получение денежной наличности,  направленная в Банк с исп</w:t>
      </w:r>
      <w:r>
        <w:rPr>
          <w:i/>
          <w:sz w:val="16"/>
          <w:szCs w:val="16"/>
        </w:rPr>
        <w:t xml:space="preserve">ользованием информационной системы «Цифровой канал обслуживания юридических лиц «Свой бизнес» в соответствии с Приложением 4 к Условиям открытия банковских счетов и расчетно-кассового обслуживания клиента в АО «Россельхозбанк», если конкретным пунктом Тари</w:t>
      </w:r>
      <w:r>
        <w:rPr>
          <w:i/>
          <w:sz w:val="16"/>
          <w:szCs w:val="16"/>
        </w:rPr>
        <w:t xml:space="preserve">фов не предусмотрено иное.</w:t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***) Под подразделением Банка понимается региональный филиал, включая его дополнительные офисы, либо головной офис Банка, включая его внутренние структурные подразделения.</w:t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 Под отчетным периодом понимается последний календарн</w:t>
      </w:r>
      <w:r>
        <w:rPr>
          <w:i/>
          <w:sz w:val="16"/>
          <w:szCs w:val="16"/>
        </w:rPr>
        <w:t xml:space="preserve">ый месяц, за который произведен окончательный расчет с работниками по заработной плате в порядке, предусмотренном законодательством Российской Федерации.</w:t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*****) Принадлежность Клиента к агропромышленному комплексу (АПК) определяется по видам экономической </w:t>
      </w:r>
      <w:r>
        <w:rPr>
          <w:i/>
          <w:sz w:val="16"/>
          <w:szCs w:val="16"/>
        </w:rPr>
        <w:t xml:space="preserve">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</w:p>
    <w:p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01 - Растениеводство и животноводство, охота и предоставление соответствующих услуг в этих областях (включая</w:t>
      </w:r>
      <w:r>
        <w:rPr>
          <w:i/>
          <w:sz w:val="16"/>
          <w:szCs w:val="16"/>
        </w:rPr>
        <w:t xml:space="preserve"> все подклассы, группы, подгруппы, виды).</w:t>
      </w:r>
    </w:p>
    <w:p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10 - Производство пищевых продуктов (включая все подклассы, группы, подгруппы, виды).</w:t>
      </w:r>
    </w:p>
    <w:p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11 - Производство напитков (включая все подклассы, группы, подгруппы, виды).</w:t>
      </w:r>
    </w:p>
    <w:p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12 - Производство табачных изделий (включая все под</w:t>
      </w:r>
      <w:r>
        <w:rPr>
          <w:i/>
          <w:sz w:val="16"/>
          <w:szCs w:val="16"/>
        </w:rPr>
        <w:t xml:space="preserve">классы, группы, подгруппы, виды).</w:t>
      </w:r>
    </w:p>
    <w:p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46.2 - Торговля оптовая сельскохозяйственным сырьем и живыми животными.</w:t>
      </w:r>
    </w:p>
    <w:p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46.21 - Торговля оптовая зерном, необработанным табаком, семенами и кормами для сельскохозяйственных животных.</w:t>
      </w:r>
    </w:p>
    <w:p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46.21.1 - Торговля оптовая зерном, семенами и кормами для животных.</w:t>
      </w:r>
    </w:p>
    <w:p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46.21.11 - Торговля оптовая зерном.</w:t>
      </w:r>
    </w:p>
    <w:p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46.21.12 - Торговля оптовая семенами, кроме семян масличных культур.</w:t>
      </w:r>
    </w:p>
    <w:p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46.21.13 - Торговля оптовая масличными семенами и маслосодержащими плодами.</w:t>
      </w:r>
    </w:p>
    <w:p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46.21.14 - Торговля оптовая кормами для сельскохозяйственных животных.</w:t>
      </w:r>
    </w:p>
    <w:p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46.21.19 - Торговля оптовая сельскохозяйственным сырьем, не включенным в другие группировки.</w:t>
      </w:r>
    </w:p>
    <w:p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46.22 - Торговля оптовая цветами и растениями.</w:t>
      </w:r>
    </w:p>
    <w:p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46.23 - Торговля оптовая живыми животными.</w:t>
      </w:r>
    </w:p>
    <w:p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</w:t>
      </w:r>
      <w:r>
        <w:rPr>
          <w:i/>
          <w:sz w:val="16"/>
          <w:szCs w:val="16"/>
        </w:rPr>
        <w:t xml:space="preserve">.31 - Торговля оптовая фруктами и овощами.</w:t>
      </w:r>
    </w:p>
    <w:p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46.31.1 - Торговля оптовая свежими овощами, фруктами и орехами.</w:t>
      </w:r>
    </w:p>
    <w:p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46.31.11 - Торговля оптовая свежим картофелем.</w:t>
      </w:r>
    </w:p>
    <w:p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46.31.12 - Торговля оптовая прочими свежими овощами.</w:t>
      </w:r>
    </w:p>
    <w:p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46.31.13 - Торговля оптовая свежими фруктами и ор</w:t>
      </w:r>
      <w:r>
        <w:rPr>
          <w:i/>
          <w:sz w:val="16"/>
          <w:szCs w:val="16"/>
        </w:rPr>
        <w:t xml:space="preserve">ехами.</w:t>
      </w:r>
    </w:p>
    <w:p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46.32 - Торговля оптовая мясом и мясными продуктами.</w:t>
      </w:r>
    </w:p>
    <w:p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46.32.1 - Торговля оптовая мясом и мясом птицы, включая субпродукты.</w:t>
      </w:r>
    </w:p>
    <w:p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46.32.2 - Торговля оптовая продуктами из мяса и мяса птицы.</w:t>
      </w:r>
    </w:p>
    <w:p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46.32.3 - Торговля оптовая консервами из мяса и мяса птицы.</w:t>
      </w:r>
    </w:p>
    <w:p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46.33 -</w:t>
      </w:r>
      <w:r>
        <w:rPr>
          <w:i/>
          <w:sz w:val="16"/>
          <w:szCs w:val="16"/>
        </w:rPr>
        <w:t xml:space="preserve"> Торговля оптовая молочными продуктами, яйцами и пищевыми маслами, и жирами.</w:t>
      </w:r>
    </w:p>
    <w:p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46.33.1 - Торговля оптовая молочными продуктами.</w:t>
      </w:r>
    </w:p>
    <w:p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46.33.2 - Торговля оптовая яйцами.</w:t>
      </w:r>
    </w:p>
    <w:p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46.33.3 - Торговля оптовая пищевыми маслами и жирами.</w:t>
      </w:r>
    </w:p>
    <w:p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47.21 - Торговля розничная фруктами и ово</w:t>
      </w:r>
      <w:r>
        <w:rPr>
          <w:i/>
          <w:sz w:val="16"/>
          <w:szCs w:val="16"/>
        </w:rPr>
        <w:t xml:space="preserve">щами в специализированных магазинах.</w:t>
      </w:r>
    </w:p>
    <w:p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47.21.1 - Торговля розничная свежими фруктами, овощами, картофелем и орехами в специализированных магазинах.</w:t>
      </w:r>
    </w:p>
    <w:p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47.21.2 - Торговля розничная консервированными фруктами и овощами, и орехами в специализированных магазинах.</w:t>
      </w:r>
    </w:p>
    <w:p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</w:t>
      </w:r>
      <w:r>
        <w:rPr>
          <w:i/>
          <w:sz w:val="16"/>
          <w:szCs w:val="16"/>
        </w:rPr>
        <w:t xml:space="preserve">7.22 - Торговля розничная мясом и мясными продуктами в специализированных магазинах.</w:t>
      </w:r>
    </w:p>
    <w:p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47.22.1 - Торговля розничная мясом и мясом птицы, включая субпродукты в специализированных магазинах.</w:t>
      </w:r>
    </w:p>
    <w:p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47.22.2 - Торговля розничная продуктами из мяса и мяса птицы в специа</w:t>
      </w:r>
      <w:r>
        <w:rPr>
          <w:i/>
          <w:sz w:val="16"/>
          <w:szCs w:val="16"/>
        </w:rPr>
        <w:t xml:space="preserve">лизированных магазинах.</w:t>
      </w:r>
    </w:p>
    <w:p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47.22.3 - Торговля розничная консервами из мяса и мяса птицы в специализированных магазинах.</w:t>
      </w:r>
    </w:p>
    <w:p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47.29.1 - Торговля розничная молочными продуктами и яйцами в специализированных магазинах.</w:t>
      </w:r>
    </w:p>
    <w:p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47.29.11 - Торговля розничная молочными продуктами в специализированных магазинах.</w:t>
      </w:r>
    </w:p>
    <w:p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47.29.12 - Торговля розничная яйцами в специализированных магазинах.</w:t>
      </w:r>
    </w:p>
    <w:p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47.29.2 - Торговля розничная пищевыми маслами и жирами в специализированных магазинах.</w:t>
      </w:r>
    </w:p>
    <w:p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47.29.21 - Торгов</w:t>
      </w:r>
      <w:r>
        <w:rPr>
          <w:i/>
          <w:sz w:val="16"/>
          <w:szCs w:val="16"/>
        </w:rPr>
        <w:t xml:space="preserve">ля розничная животными маслами и жирами в специализированных магазинах.</w:t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47.29.22 - Торговля розничная растительными маслами в специализированных магазинах.</w:t>
      </w:r>
    </w:p>
    <w:p>
      <w:pPr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*****) В соответствии с Федеральным законом от 10 июля 2023 года № 304-ФЗ </w:t>
      </w:r>
      <w:r>
        <w:rPr>
          <w:bCs/>
          <w:i/>
          <w:sz w:val="16"/>
          <w:szCs w:val="16"/>
        </w:rPr>
        <w:br/>
        <w:t xml:space="preserve">«О внесении изменения в с</w:t>
      </w:r>
      <w:r>
        <w:rPr>
          <w:bCs/>
          <w:i/>
          <w:sz w:val="16"/>
          <w:szCs w:val="16"/>
        </w:rPr>
        <w:t xml:space="preserve">татью 13.1 Федерального закона «Об отходах производства и потребления», начиная с 01 октября 2023 года Банк не осуществляет выдачу денежной наличности на цели, связанные с покупкой лома и отходов цветных и (или) черных металлов у физических лиц. При снятии</w:t>
      </w:r>
      <w:r>
        <w:rPr>
          <w:bCs/>
          <w:i/>
          <w:sz w:val="16"/>
          <w:szCs w:val="16"/>
        </w:rPr>
        <w:t xml:space="preserve"> наличных денежных средств на другие цели, Клиент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лиц.</w:t>
      </w:r>
    </w:p>
    <w:p>
      <w:pPr>
        <w:rPr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******) Банк не принимает поврежденные банкнот</w:t>
      </w:r>
      <w:r>
        <w:rPr>
          <w:bCs/>
          <w:i/>
          <w:sz w:val="16"/>
          <w:szCs w:val="16"/>
        </w:rPr>
        <w:t xml:space="preserve">ы иностранных государств.</w:t>
      </w:r>
    </w:p>
    <w:p>
      <w:pPr>
        <w:pStyle w:val="1"/>
        <w:jc w:val="center"/>
        <w:rPr>
          <w:sz w:val="24"/>
          <w:szCs w:val="24"/>
        </w:rPr>
      </w:pPr>
      <w:bookmarkStart w:id="8" w:name="_Toc3391772"/>
      <w:bookmarkStart w:id="9" w:name="_Toc3391833"/>
    </w:p>
    <w:p>
      <w:pPr>
        <w:pStyle w:val="1"/>
        <w:jc w:val="center"/>
        <w:rPr>
          <w:bCs w:val="0"/>
          <w:sz w:val="22"/>
          <w:szCs w:val="22"/>
        </w:rPr>
      </w:pPr>
      <w:r>
        <w:rPr>
          <w:sz w:val="24"/>
          <w:szCs w:val="24"/>
        </w:rPr>
        <w:t xml:space="preserve">3</w:t>
      </w:r>
      <w:r>
        <w:rPr>
          <w:bCs w:val="0"/>
          <w:sz w:val="22"/>
          <w:szCs w:val="22"/>
        </w:rPr>
        <w:t xml:space="preserve">. Выполнение функций агента валютного контроля</w:t>
      </w:r>
      <w:bookmarkEnd w:id="8"/>
      <w:bookmarkEnd w:id="9"/>
    </w:p>
    <w:p>
      <w:pP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(размер тарифов указан без учета НДС)*</w:t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56"/>
        <w:gridCol w:w="2848"/>
        <w:gridCol w:w="2280"/>
        <w:gridCol w:w="4131"/>
      </w:tblGrid>
      <w:tr>
        <w:trPr>
          <w:cantSplit/>
          <w:tblHeader/>
        </w:trPr>
        <w:tc>
          <w:tcPr>
            <w:tcW w:w="423" w:type="pct"/>
            <w:shd w:val="clear" w:color="auto" w:fill="fff2cc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    п/п</w:t>
            </w:r>
          </w:p>
        </w:tc>
        <w:tc>
          <w:tcPr>
            <w:tcW w:w="1408" w:type="pct"/>
            <w:shd w:val="clear" w:color="auto" w:fill="fff2cc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</w:p>
        </w:tc>
        <w:tc>
          <w:tcPr>
            <w:tcW w:w="1127" w:type="pct"/>
            <w:shd w:val="clear" w:color="auto" w:fill="fff2cc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</w:p>
        </w:tc>
        <w:tc>
          <w:tcPr>
            <w:tcW w:w="2042" w:type="pct"/>
            <w:shd w:val="clear" w:color="auto" w:fill="fff2cc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</w:p>
        </w:tc>
      </w:tr>
      <w:tr>
        <w:tc>
          <w:tcPr>
            <w:tcW w:w="423" w:type="pct"/>
            <w:tcBorders>
              <w:bottom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</w:t>
            </w:r>
          </w:p>
        </w:tc>
        <w:tc>
          <w:tcPr>
            <w:tcW w:w="1408" w:type="pct"/>
            <w:tcBorders>
              <w:bottom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</w:p>
        </w:tc>
        <w:tc>
          <w:tcPr>
            <w:tcW w:w="1127" w:type="pct"/>
            <w:tcBorders>
              <w:bottom w:val="single" w:color="000000" w:sz="4" w:space="0"/>
            </w:tcBorders>
          </w:tcPr>
          <w:p>
            <w:pPr>
              <w:spacing w:before="4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0,15 %          минимум 500 руб. </w:t>
            </w:r>
          </w:p>
          <w:p>
            <w:pPr>
              <w:spacing w:before="4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голо</w:t>
            </w:r>
            <w:r>
              <w:rPr>
                <w:sz w:val="20"/>
                <w:szCs w:val="20"/>
              </w:rPr>
              <w:t xml:space="preserve">вного офиса (далее  ГО),  РФ АО «Россельхозбанк» - «Центр розничного и малого бизнеса» (далее – «ЦРМБ») и РФ АО «Россельхозбанк»  «ЦКБ» (далее  ЦКБ),</w:t>
            </w:r>
          </w:p>
          <w:p>
            <w:pPr>
              <w:spacing w:before="4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 300 руб.</w:t>
            </w:r>
          </w:p>
          <w:p>
            <w:pPr>
              <w:spacing w:before="4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для других региональных филиалов АО «Россельхозбанк» (далее  РФ Банка)  </w:t>
            </w:r>
          </w:p>
        </w:tc>
        <w:tc>
          <w:tcPr>
            <w:tcW w:w="2042" w:type="pct"/>
            <w:tcBorders>
              <w:bottom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</w:t>
            </w:r>
            <w:r>
              <w:rPr>
                <w:sz w:val="20"/>
                <w:szCs w:val="20"/>
              </w:rPr>
              <w:t xml:space="preserve">тся в срок не позднее следующего рабочего дня после дня оказания услуги***, от суммы зачисления/списания со счета/на счет, открытый в Банке, либо от суммы  операции, информация о которой подлежит отражению в ведомости банковского контроля. </w:t>
            </w:r>
          </w:p>
          <w:p>
            <w:pPr>
              <w:tabs>
                <w:tab w:val="right" w:pos="2761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  <w:t xml:space="preserve">: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 между резидентом и Банком;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 между резидентом и другими уполномоченными банками;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операциям, связанным с перечислением денежных средств с транзитного валютного счета резидента для зачисления на расчетный </w:t>
            </w:r>
            <w:r>
              <w:rPr>
                <w:sz w:val="20"/>
                <w:szCs w:val="20"/>
              </w:rPr>
              <w:t xml:space="preserve">валютный счет этого же резидента, открытый в Банке;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операциям, </w:t>
            </w:r>
            <w:r>
              <w:rPr>
                <w:sz w:val="20"/>
                <w:szCs w:val="20"/>
              </w:rPr>
              <w:t xml:space="preserve">связанным с зачислением денежных средств на расчетный и депозитный счет, открытый в Банке, перечисленных со своего счета, открытого в банкенерезиденте;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операциям, связанным с зачислением денежных средств на расчетные счета и идентифицированных резидент</w:t>
            </w:r>
            <w:r>
              <w:rPr>
                <w:sz w:val="20"/>
                <w:szCs w:val="20"/>
              </w:rPr>
              <w:t xml:space="preserve">ом как ошибочно зачисленные (поступившие);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списании денежных средств, связанны</w:t>
            </w:r>
            <w:r>
              <w:rPr>
                <w:sz w:val="20"/>
                <w:szCs w:val="20"/>
              </w:rPr>
              <w:t xml:space="preserve">х с уплатой налогов, пошлин и иных обязательных платежей в соответствии с законодательством Российской Федерации;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 операциям в рамках договоров о перечислении юридическим лицом денежных средств со своего банковского счета в пользу нескольких физических </w:t>
            </w:r>
            <w:r>
              <w:rPr>
                <w:bCs/>
                <w:sz w:val="20"/>
                <w:szCs w:val="20"/>
              </w:rPr>
              <w:t xml:space="preserve">лицклиентов Банка</w:t>
            </w:r>
          </w:p>
        </w:tc>
      </w:tr>
      <w:tr>
        <w:tc>
          <w:tcPr>
            <w:tcW w:w="423" w:type="pct"/>
            <w:tcBorders>
              <w:bottom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</w:t>
            </w:r>
          </w:p>
        </w:tc>
        <w:tc>
          <w:tcPr>
            <w:tcW w:w="1408" w:type="pct"/>
            <w:tcBorders>
              <w:bottom w:val="non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</w:p>
        </w:tc>
        <w:tc>
          <w:tcPr>
            <w:tcW w:w="1127" w:type="pct"/>
            <w:tcBorders>
              <w:bottom w:val="non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pct"/>
            <w:tcBorders>
              <w:bottom w:val="none" w:color="000000" w:sz="4" w:space="0"/>
            </w:tcBorders>
          </w:tcPr>
          <w:p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</w:p>
          <w:p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</w:p>
        </w:tc>
      </w:tr>
      <w:tr>
        <w:tc>
          <w:tcPr>
            <w:tcW w:w="423" w:type="pct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pct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использованием системы дистанционного банковского обслуживания;</w:t>
            </w:r>
          </w:p>
        </w:tc>
        <w:tc>
          <w:tcPr>
            <w:tcW w:w="1127" w:type="pct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450 руб.                   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 одну операцию</w:t>
            </w:r>
          </w:p>
        </w:tc>
        <w:tc>
          <w:tcPr>
            <w:tcW w:w="2042" w:type="pct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</w:p>
        </w:tc>
      </w:tr>
      <w:tr>
        <w:tc>
          <w:tcPr>
            <w:tcW w:w="423" w:type="pct"/>
            <w:tcBorders>
              <w:top w:val="none" w:color="000000" w:sz="4" w:space="0"/>
              <w:bottom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pct"/>
            <w:tcBorders>
              <w:top w:val="none" w:color="000000" w:sz="4" w:space="0"/>
              <w:bottom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бумажном носителе</w:t>
            </w:r>
          </w:p>
        </w:tc>
        <w:tc>
          <w:tcPr>
            <w:tcW w:w="1127" w:type="pct"/>
            <w:tcBorders>
              <w:top w:val="none" w:color="000000" w:sz="4" w:space="0"/>
              <w:bottom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700 руб.                    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одну операцию</w:t>
            </w:r>
          </w:p>
        </w:tc>
        <w:tc>
          <w:tcPr>
            <w:tcW w:w="2042" w:type="pct"/>
            <w:tcBorders>
              <w:top w:val="none" w:color="000000" w:sz="4" w:space="0"/>
              <w:bottom w:val="single" w:color="000000" w:sz="4" w:space="0"/>
            </w:tcBorders>
          </w:tcPr>
          <w:p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</w:p>
        </w:tc>
      </w:tr>
      <w:tr>
        <w:tc>
          <w:tcPr>
            <w:tcW w:w="5000" w:type="pct"/>
            <w:gridSpan w:val="4"/>
            <w:tcBorders>
              <w:bottom w:val="single" w:color="000000" w:sz="4" w:space="0"/>
            </w:tcBorders>
          </w:tcPr>
          <w:p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3.3. Постановка контракта (кредитного договора) на учет</w:t>
            </w:r>
          </w:p>
        </w:tc>
      </w:tr>
      <w:tr>
        <w:tc>
          <w:tcPr>
            <w:tcW w:w="423" w:type="pct"/>
            <w:tcBorders>
              <w:bottom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3.3.1.</w:t>
            </w:r>
          </w:p>
        </w:tc>
        <w:tc>
          <w:tcPr>
            <w:tcW w:w="1408" w:type="pct"/>
            <w:tcBorders>
              <w:bottom w:val="single" w:color="000000" w:sz="4" w:space="0"/>
            </w:tcBorders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учет/внесение изменений в </w:t>
            </w:r>
            <w:r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  <w:lang w:val="en-US"/>
              </w:rPr>
              <w:t xml:space="preserve">I</w:t>
            </w:r>
            <w:r>
              <w:rPr>
                <w:sz w:val="20"/>
                <w:szCs w:val="20"/>
              </w:rPr>
              <w:t xml:space="preserve"> ведомости банковского контроля/принятие на обслуживание контракта (кредитного договора) из другого уполномоченного банка</w:t>
            </w:r>
          </w:p>
        </w:tc>
        <w:tc>
          <w:tcPr>
            <w:tcW w:w="1127" w:type="pct"/>
            <w:tcBorders>
              <w:bottom w:val="single" w:color="000000" w:sz="4" w:space="0"/>
            </w:tcBorders>
            <w:vAlign w:val="center"/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2042" w:type="pct"/>
          </w:tcPr>
          <w:p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условии предоставления клиентом контракта (кредитного договора) и иной информации, необходимой для постановки </w:t>
            </w:r>
            <w:r>
              <w:rPr>
                <w:bCs/>
                <w:sz w:val="20"/>
                <w:szCs w:val="20"/>
              </w:rPr>
              <w:t xml:space="preserve">контрак</w:t>
            </w:r>
            <w:r>
              <w:rPr>
                <w:bCs/>
                <w:sz w:val="20"/>
                <w:szCs w:val="20"/>
              </w:rPr>
              <w:t xml:space="preserve">та (кредитного договора) на учет</w:t>
            </w:r>
          </w:p>
        </w:tc>
      </w:tr>
      <w:tr>
        <w:tc>
          <w:tcPr>
            <w:tcW w:w="423" w:type="pct"/>
            <w:tcBorders>
              <w:bottom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3.3.2. </w:t>
            </w:r>
          </w:p>
        </w:tc>
        <w:tc>
          <w:tcPr>
            <w:tcW w:w="1408" w:type="pct"/>
            <w:tcBorders>
              <w:bottom w:val="single" w:color="000000" w:sz="4" w:space="0"/>
            </w:tcBorders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экспортного контракта на учет на основании сведений о контракте, необходимых для постановки экспортного контракта на учет без одновременного представления экспортного контракта</w:t>
            </w:r>
          </w:p>
        </w:tc>
        <w:tc>
          <w:tcPr>
            <w:tcW w:w="1127" w:type="pct"/>
            <w:tcBorders>
              <w:bottom w:val="single" w:color="000000" w:sz="4" w:space="0"/>
            </w:tcBorders>
            <w:vAlign w:val="center"/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1 500 руб.</w:t>
            </w:r>
          </w:p>
        </w:tc>
        <w:tc>
          <w:tcPr>
            <w:tcW w:w="2042" w:type="pct"/>
          </w:tcPr>
          <w:p>
            <w:pPr>
              <w:tabs>
                <w:tab w:val="left" w:pos="269"/>
              </w:tabs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423" w:type="pct"/>
            <w:tcBorders>
              <w:bottom w:val="non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3.3.3.</w:t>
            </w:r>
          </w:p>
        </w:tc>
        <w:tc>
          <w:tcPr>
            <w:tcW w:w="1408" w:type="pct"/>
            <w:tcBorders>
              <w:bottom w:val="non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ведомости банковского контроля, в том числе информации о внесении изменений в </w:t>
            </w:r>
            <w:r>
              <w:rPr>
                <w:sz w:val="20"/>
                <w:szCs w:val="20"/>
                <w:lang w:val="en-US"/>
              </w:rPr>
              <w:t xml:space="preserve">I</w:t>
            </w:r>
            <w:r>
              <w:rPr>
                <w:sz w:val="20"/>
                <w:szCs w:val="20"/>
              </w:rPr>
              <w:t xml:space="preserve"> раздел ведомости банковского контроля:</w:t>
            </w:r>
          </w:p>
        </w:tc>
        <w:tc>
          <w:tcPr>
            <w:tcW w:w="1127" w:type="pct"/>
            <w:tcBorders>
              <w:bottom w:val="non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pct"/>
            <w:vMerge w:val="restart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</w:t>
            </w:r>
            <w:r>
              <w:rPr>
                <w:bCs/>
                <w:sz w:val="20"/>
                <w:szCs w:val="20"/>
              </w:rPr>
              <w:t xml:space="preserve"> услуги***.</w:t>
            </w:r>
          </w:p>
        </w:tc>
      </w:tr>
      <w:tr>
        <w:tc>
          <w:tcPr>
            <w:tcW w:w="423" w:type="pct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pct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</w:p>
        </w:tc>
        <w:tc>
          <w:tcPr>
            <w:tcW w:w="1127" w:type="pct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2042" w:type="pct"/>
            <w:vMerge w:val="continue"/>
          </w:tcPr>
          <w:p>
            <w:pPr>
              <w:tabs>
                <w:tab w:val="left" w:pos="269"/>
              </w:tabs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>
        <w:tc>
          <w:tcPr>
            <w:tcW w:w="423" w:type="pct"/>
            <w:tcBorders>
              <w:top w:val="none" w:color="000000" w:sz="4" w:space="0"/>
              <w:bottom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pct"/>
            <w:tcBorders>
              <w:top w:val="none" w:color="000000" w:sz="4" w:space="0"/>
              <w:bottom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бумажном носителе</w:t>
            </w:r>
          </w:p>
        </w:tc>
        <w:tc>
          <w:tcPr>
            <w:tcW w:w="1127" w:type="pct"/>
            <w:tcBorders>
              <w:top w:val="non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</w:t>
            </w:r>
            <w:r>
              <w:rPr>
                <w:color w:val="000000"/>
                <w:sz w:val="20"/>
                <w:szCs w:val="20"/>
              </w:rPr>
              <w:t xml:space="preserve">за одну ведомость банковского контроля</w:t>
            </w:r>
          </w:p>
        </w:tc>
        <w:tc>
          <w:tcPr>
            <w:tcW w:w="2042" w:type="pct"/>
            <w:vMerge w:val="continue"/>
          </w:tcPr>
          <w:p>
            <w:pPr>
              <w:tabs>
                <w:tab w:val="left" w:pos="269"/>
              </w:tabs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3.3.4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Постановка контракта (кредитного договора) на учет на условиях срочности</w:t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предоставлении/ получении документов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на бумажном носителе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1 500 руб.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4 000 руб.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взимается за каждый контракт (кредитный договор), представленный в Банк для постановки на учет на условиях срочности.</w:t>
            </w:r>
          </w:p>
          <w:p>
            <w:pPr>
              <w:spacing w:before="4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взимается дополнительно к комиссии по пункта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</w:p>
          <w:p>
            <w:pPr>
              <w:spacing w:before="4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 контрактам (кредитным договорам), постановка на учет которых осуществлялась ранее в другом банке, услуга не оказывается.</w:t>
            </w:r>
          </w:p>
          <w:p>
            <w:pPr>
              <w:spacing w:before="4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Услуга оказывается при условии предоставления в Банк до 15:00 ч. текущего рабочего дня (по местному времени) полного пакета надлежа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щим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</w:p>
          <w:p>
            <w:pPr>
              <w:spacing w:before="4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 случае отсутствия на счете клиента денежных средств в сумме, достаточной для оплаты комиссии, услуги по валютному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контролю оказываются без учета условия срочности.</w:t>
            </w:r>
          </w:p>
        </w:tc>
      </w:tr>
      <w:tr>
        <w:tc>
          <w:tcPr>
            <w:tcW w:w="5000" w:type="pct"/>
            <w:gridSpan w:val="4"/>
            <w:tcBorders>
              <w:bottom w:val="single" w:color="000000" w:sz="4" w:space="0"/>
            </w:tcBorders>
          </w:tcPr>
          <w:p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3.4. Проверка и оформление Банком документов валютного контроля за резидента</w:t>
            </w:r>
          </w:p>
        </w:tc>
      </w:tr>
      <w:tr>
        <w:tc>
          <w:tcPr>
            <w:tcW w:w="423" w:type="pct"/>
            <w:tcBorders>
              <w:bottom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3.4.1.</w:t>
            </w:r>
          </w:p>
        </w:tc>
        <w:tc>
          <w:tcPr>
            <w:tcW w:w="1408" w:type="pct"/>
            <w:tcBorders>
              <w:bottom w:val="non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справки о подтверждающих документах (далее   СПД), включая СПД, содержащую скорректированные сведения, при предоставлении документов:</w:t>
            </w:r>
          </w:p>
        </w:tc>
        <w:tc>
          <w:tcPr>
            <w:tcW w:w="1127" w:type="pct"/>
            <w:tcBorders>
              <w:bottom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pct"/>
            <w:vMerge w:val="restart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</w:p>
        </w:tc>
      </w:tr>
      <w:tr>
        <w:tc>
          <w:tcPr>
            <w:tcW w:w="423" w:type="pct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pct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использованием системы дистанционного банковского обслуживания;</w:t>
            </w:r>
          </w:p>
        </w:tc>
        <w:tc>
          <w:tcPr>
            <w:tcW w:w="1127" w:type="pct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2042" w:type="pct"/>
            <w:vMerge w:val="continue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</w:tr>
      <w:tr>
        <w:tc>
          <w:tcPr>
            <w:tcW w:w="423" w:type="pct"/>
            <w:tcBorders>
              <w:top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pct"/>
            <w:tcBorders>
              <w:top w:val="non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бумажном носителе</w:t>
            </w:r>
          </w:p>
        </w:tc>
        <w:tc>
          <w:tcPr>
            <w:tcW w:w="1127" w:type="pct"/>
            <w:tcBorders>
              <w:top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500 руб.                  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 один документ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pct"/>
            <w:vMerge w:val="continue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</w:tr>
      <w:tr>
        <w:tc>
          <w:tcPr>
            <w:tcW w:w="423" w:type="pct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3.4.2.</w:t>
            </w:r>
          </w:p>
        </w:tc>
        <w:tc>
          <w:tcPr>
            <w:tcW w:w="1408" w:type="pct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Банком СПД, включая СПД, содержащую скорректированные сведения, за резидента при предоставлении документов:</w:t>
            </w:r>
          </w:p>
        </w:tc>
        <w:tc>
          <w:tcPr>
            <w:tcW w:w="1127" w:type="pct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pct"/>
            <w:tcBorders>
              <w:bottom w:val="non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 при условии предоставления клиентом полного ко</w:t>
            </w:r>
            <w:r>
              <w:rPr>
                <w:bCs/>
                <w:sz w:val="20"/>
                <w:szCs w:val="20"/>
              </w:rPr>
              <w:t xml:space="preserve">мплекта документов и информации для оформления Банком СПД</w:t>
            </w:r>
          </w:p>
        </w:tc>
      </w:tr>
      <w:tr>
        <w:tc>
          <w:tcPr>
            <w:tcW w:w="423" w:type="pct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pct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использованием системы дистанционного банковского обслуживания;</w:t>
            </w:r>
          </w:p>
        </w:tc>
        <w:tc>
          <w:tcPr>
            <w:tcW w:w="1127" w:type="pct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 руб. за один подтверждающий документ</w:t>
            </w:r>
          </w:p>
        </w:tc>
        <w:tc>
          <w:tcPr>
            <w:tcW w:w="2042" w:type="pct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jc w:val="both"/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423" w:type="pct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pct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бумажном носителе</w:t>
            </w:r>
          </w:p>
        </w:tc>
        <w:tc>
          <w:tcPr>
            <w:tcW w:w="1127" w:type="pct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 руб. за один подтверждающий документ</w:t>
            </w:r>
          </w:p>
        </w:tc>
        <w:tc>
          <w:tcPr>
            <w:tcW w:w="2042" w:type="pct"/>
            <w:tcBorders>
              <w:top w:val="none" w:color="000000" w:sz="4" w:space="0"/>
            </w:tcBorders>
          </w:tcPr>
          <w:p>
            <w:pPr>
              <w:jc w:val="both"/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5000" w:type="pct"/>
            <w:gridSpan w:val="4"/>
          </w:tcPr>
          <w:p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3.5. Снятие контракта (кредитного договора) с учета</w:t>
            </w:r>
          </w:p>
        </w:tc>
      </w:tr>
      <w:tr>
        <w:tc>
          <w:tcPr>
            <w:tcW w:w="423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3.5.1.</w:t>
            </w:r>
          </w:p>
        </w:tc>
        <w:tc>
          <w:tcPr>
            <w:tcW w:w="1408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сведений о платежах и сведений о подтверждающих документах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исключением случаев перевода контракта (кредитного договора) на учет в другой уполномоченный банк</w:t>
            </w:r>
          </w:p>
        </w:tc>
        <w:tc>
          <w:tcPr>
            <w:tcW w:w="112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3 000 руб.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pct"/>
            <w:vMerge w:val="restart"/>
          </w:tcPr>
          <w:p>
            <w:pPr>
              <w:tabs>
                <w:tab w:val="left" w:pos="25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оказания услуги***</w:t>
            </w:r>
          </w:p>
          <w:p>
            <w:pPr>
              <w:tabs>
                <w:tab w:val="left" w:pos="257"/>
                <w:tab w:val="left" w:pos="1134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не взимается:</w:t>
            </w:r>
          </w:p>
          <w:p>
            <w:pPr>
              <w:tabs>
                <w:tab w:val="left" w:pos="257"/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переводе контракта (кредитного договора) из головного офиса Банка в региональный филиал Банка;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переводе контракта (кредитного договора)  из регионального филиала Банка в головной офис Банка;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переводе контракта (кредитного договора)  из одного регионального филиала Банка в другой региональный филиал Банка</w:t>
            </w:r>
          </w:p>
        </w:tc>
      </w:tr>
      <w:tr>
        <w:tc>
          <w:tcPr>
            <w:tcW w:w="423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3.5.2.</w:t>
            </w:r>
          </w:p>
        </w:tc>
        <w:tc>
          <w:tcPr>
            <w:tcW w:w="1408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переводе </w:t>
            </w:r>
            <w:r>
              <w:rPr>
                <w:bCs/>
                <w:sz w:val="20"/>
                <w:szCs w:val="20"/>
              </w:rPr>
              <w:t xml:space="preserve">контракта (кре</w:t>
            </w:r>
            <w:r>
              <w:rPr>
                <w:bCs/>
                <w:sz w:val="20"/>
                <w:szCs w:val="20"/>
              </w:rPr>
              <w:t xml:space="preserve">дитного договора) на учет </w:t>
            </w:r>
            <w:r>
              <w:rPr>
                <w:sz w:val="20"/>
                <w:szCs w:val="20"/>
              </w:rPr>
              <w:t xml:space="preserve">в другой уполномоченный банк либо при закрытии резидентом всех расчетных счетов в Банке**** </w:t>
            </w:r>
          </w:p>
        </w:tc>
        <w:tc>
          <w:tcPr>
            <w:tcW w:w="112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10 000 руб.</w:t>
            </w:r>
          </w:p>
        </w:tc>
        <w:tc>
          <w:tcPr>
            <w:tcW w:w="2042" w:type="pct"/>
            <w:vMerge w:val="continue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>
        <w:tc>
          <w:tcPr>
            <w:tcW w:w="423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3.5.3.</w:t>
            </w:r>
          </w:p>
        </w:tc>
        <w:tc>
          <w:tcPr>
            <w:tcW w:w="1408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сведений о платежах (полностью или частично), но при наличии сведений о подтверждающих документах</w:t>
            </w:r>
          </w:p>
        </w:tc>
        <w:tc>
          <w:tcPr>
            <w:tcW w:w="112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0,15 % минимум 500 руб., максимум 80 000 руб. для ГО, ЦРМБ  и ЦКБ,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 300 руб., максимум 80 000 руб. для других РФ Банка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pct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оказания услуги***.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взимается: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общей суммы неоплаченных подтверждающих документов. Рассчит</w:t>
            </w:r>
            <w:r>
              <w:rPr>
                <w:sz w:val="20"/>
                <w:szCs w:val="20"/>
              </w:rPr>
              <w:t xml:space="preserve">ывается от разницы между суммой подтверждающих документов и суммой платежей на основании сведений, содержащихся в ведомости банковского контроля.</w:t>
            </w:r>
          </w:p>
        </w:tc>
      </w:tr>
      <w:tr>
        <w:tc>
          <w:tcPr>
            <w:tcW w:w="423" w:type="pct"/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3.6.</w:t>
            </w:r>
          </w:p>
        </w:tc>
        <w:tc>
          <w:tcPr>
            <w:tcW w:w="1408" w:type="pct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</w:p>
        </w:tc>
        <w:tc>
          <w:tcPr>
            <w:tcW w:w="1127" w:type="pct"/>
          </w:tcPr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0,12%</w:t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 250 руб.,</w:t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 10 000 руб.</w:t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ГО, ЦРМБ  и ЦКБ,</w:t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 150 руб</w:t>
            </w:r>
            <w:r>
              <w:rPr>
                <w:sz w:val="20"/>
                <w:szCs w:val="20"/>
              </w:rPr>
              <w:t xml:space="preserve">.,</w:t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 5 000 руб.</w:t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других РФ Банка</w:t>
            </w:r>
          </w:p>
        </w:tc>
        <w:tc>
          <w:tcPr>
            <w:tcW w:w="2042" w:type="pct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</w:t>
            </w:r>
            <w:r>
              <w:rPr>
                <w:bCs/>
                <w:sz w:val="20"/>
                <w:szCs w:val="20"/>
              </w:rPr>
              <w:t xml:space="preserve">оказания услуги</w:t>
            </w:r>
            <w:r>
              <w:rPr>
                <w:sz w:val="20"/>
                <w:szCs w:val="20"/>
              </w:rPr>
              <w:t xml:space="preserve">*</w:t>
            </w:r>
            <w:r>
              <w:rPr>
                <w:bCs/>
                <w:sz w:val="20"/>
                <w:szCs w:val="20"/>
              </w:rPr>
              <w:t xml:space="preserve">**</w:t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не взимается: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 между нерезидентом и Банком;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операциям, связанным с уплатой налогов, пошлин и иных обязательных платежей в соответствии с законодательством  Российской Федерации;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операциям, связанным с переводом нерезидентом денежных средств на свои расчетные и депозитные счета, открытые в Ба</w:t>
            </w:r>
            <w:r>
              <w:rPr>
                <w:sz w:val="20"/>
                <w:szCs w:val="20"/>
              </w:rPr>
              <w:t xml:space="preserve">нке/в других уполномоченных банках на </w:t>
            </w:r>
            <w:r>
              <w:rPr>
                <w:sz w:val="20"/>
                <w:szCs w:val="20"/>
              </w:rPr>
              <w:t xml:space="preserve">территории Российской Федерации, а также в банкахнерезидентах;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операциям, связанным с возвратом денежных средств, зачисленных ранее на расчетные счета</w:t>
            </w:r>
          </w:p>
          <w:p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 в рамках договоров о перечислении юридическим лиц</w:t>
            </w:r>
            <w:r>
              <w:rPr>
                <w:sz w:val="20"/>
                <w:szCs w:val="20"/>
              </w:rPr>
              <w:t xml:space="preserve">ом денежных средств со своего банковского счета в пользу нескольких физических лицклиентов Банка</w:t>
            </w:r>
          </w:p>
        </w:tc>
      </w:tr>
      <w:tr>
        <w:tc>
          <w:tcPr>
            <w:tcW w:w="423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3.7.</w:t>
            </w:r>
          </w:p>
        </w:tc>
        <w:tc>
          <w:tcPr>
            <w:tcW w:w="1408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консультационных услуг клиенту Банка по вопросам применения валютного законодательства Российской Федерации</w:t>
            </w:r>
          </w:p>
        </w:tc>
        <w:tc>
          <w:tcPr>
            <w:tcW w:w="112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2042" w:type="pct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>
        <w:tc>
          <w:tcPr>
            <w:tcW w:w="423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3.8.</w:t>
            </w:r>
          </w:p>
        </w:tc>
        <w:tc>
          <w:tcPr>
            <w:tcW w:w="1408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</w:t>
            </w:r>
            <w:r>
              <w:rPr>
                <w:sz w:val="20"/>
                <w:szCs w:val="20"/>
              </w:rPr>
              <w:t xml:space="preserve">о запросу клиента копий документов, находящихся в досье валютного контроля</w:t>
            </w:r>
          </w:p>
        </w:tc>
        <w:tc>
          <w:tcPr>
            <w:tcW w:w="112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руб. за лист, максимум 1 000 руб.</w:t>
            </w:r>
          </w:p>
        </w:tc>
        <w:tc>
          <w:tcPr>
            <w:tcW w:w="2042" w:type="pct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</w:t>
            </w:r>
            <w:r>
              <w:rPr>
                <w:bCs/>
                <w:sz w:val="20"/>
                <w:szCs w:val="20"/>
              </w:rPr>
              <w:t xml:space="preserve"> услуги***</w:t>
            </w:r>
          </w:p>
        </w:tc>
      </w:tr>
      <w:tr>
        <w:tc>
          <w:tcPr>
            <w:tcW w:w="423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</w:t>
            </w:r>
          </w:p>
        </w:tc>
        <w:tc>
          <w:tcPr>
            <w:tcW w:w="1408" w:type="pct"/>
          </w:tcPr>
          <w:p>
            <w:pPr>
              <w:spacing w:after="120"/>
              <w:rPr>
                <w:color w:val="000000"/>
                <w:sz w:val="20"/>
                <w:szCs w:val="20"/>
              </w:rPr>
            </w:pPr>
          </w:p>
          <w:p>
            <w:pPr>
              <w:spacing w:after="120"/>
              <w:rPr>
                <w:color w:val="000000"/>
                <w:sz w:val="20"/>
                <w:szCs w:val="20"/>
              </w:rPr>
            </w:pPr>
          </w:p>
          <w:p>
            <w:pPr>
              <w:spacing w:after="120"/>
              <w:rPr>
                <w:color w:val="000000"/>
                <w:sz w:val="20"/>
                <w:szCs w:val="20"/>
              </w:rPr>
            </w:pPr>
          </w:p>
          <w:p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СМС-информирование о статусах документов валютного контроля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в месяц</w:t>
            </w:r>
          </w:p>
        </w:tc>
        <w:tc>
          <w:tcPr>
            <w:tcW w:w="2042" w:type="pct"/>
          </w:tcPr>
          <w:p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взимается за каждый телефонный номер, подключенный </w:t>
            </w:r>
            <w:r>
              <w:rPr>
                <w:color w:val="000000"/>
                <w:sz w:val="20"/>
                <w:szCs w:val="20"/>
              </w:rPr>
              <w:br w:type="textWrapping" w:clear="all"/>
            </w:r>
            <w:r>
              <w:rPr>
                <w:color w:val="000000"/>
                <w:sz w:val="20"/>
                <w:szCs w:val="20"/>
              </w:rPr>
              <w:t xml:space="preserve">к услуге.</w:t>
            </w:r>
          </w:p>
          <w:p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взимается не позднее первого рабочего дня, следующего </w:t>
            </w:r>
            <w:r>
              <w:rPr>
                <w:color w:val="000000"/>
                <w:sz w:val="20"/>
                <w:szCs w:val="20"/>
              </w:rPr>
              <w:br w:type="textWrapping" w:clear="all"/>
            </w:r>
            <w:r>
              <w:rPr>
                <w:color w:val="000000"/>
                <w:sz w:val="20"/>
                <w:szCs w:val="20"/>
              </w:rPr>
              <w:t xml:space="preserve">за днем подачи клиентом в Банк заявления о </w:t>
            </w:r>
            <w:r>
              <w:rPr>
                <w:color w:val="000000"/>
                <w:sz w:val="20"/>
                <w:szCs w:val="20"/>
              </w:rPr>
              <w:t xml:space="preserve">подключении услуги, далее ежемесячно в первый рабочий день месяца.</w:t>
            </w:r>
          </w:p>
          <w:p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Услуга доступна пользователям системы ДБО «Интернет-клиент» </w:t>
            </w:r>
            <w:r>
              <w:rPr>
                <w:color w:val="000000"/>
                <w:sz w:val="20"/>
                <w:szCs w:val="20"/>
              </w:rPr>
              <w:br w:type="textWrapping" w:clear="all"/>
            </w:r>
            <w:r>
              <w:rPr>
                <w:color w:val="000000"/>
                <w:sz w:val="20"/>
                <w:szCs w:val="20"/>
              </w:rPr>
              <w:t xml:space="preserve">и предоставляется только резидентам.</w:t>
            </w:r>
          </w:p>
        </w:tc>
      </w:tr>
    </w:tbl>
    <w:p>
      <w:pPr>
        <w:spacing w:before="120"/>
        <w:jc w:val="both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Примечание:</w:t>
      </w:r>
    </w:p>
    <w:p>
      <w:pPr>
        <w:spacing w:before="120"/>
        <w:ind w:firstLine="567"/>
        <w:contextualSpacing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</w:p>
    <w:p>
      <w:pPr>
        <w:spacing w:before="120"/>
        <w:ind w:firstLine="567"/>
        <w:contextualSpacing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Понятия и термины применяются в значениях, определенных в Инструкции Центрального банка Российской Федераци</w:t>
      </w:r>
      <w:r>
        <w:rPr>
          <w:bCs/>
          <w:sz w:val="16"/>
          <w:szCs w:val="16"/>
        </w:rPr>
        <w:t xml:space="preserve">и от 16.08.2017 № 181И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</w:t>
      </w:r>
      <w:r>
        <w:rPr>
          <w:bCs/>
          <w:sz w:val="16"/>
          <w:szCs w:val="16"/>
        </w:rPr>
        <w:t xml:space="preserve">ставления» (далее  </w:t>
      </w:r>
      <w:r>
        <w:rPr>
          <w:sz w:val="16"/>
          <w:szCs w:val="16"/>
        </w:rPr>
        <w:t xml:space="preserve">Инструкция Банка России № 181И)</w:t>
      </w:r>
      <w:r>
        <w:rPr>
          <w:bCs/>
          <w:sz w:val="16"/>
          <w:szCs w:val="16"/>
        </w:rPr>
        <w:t xml:space="preserve">.</w:t>
      </w:r>
    </w:p>
    <w:p>
      <w:pPr>
        <w:spacing w:before="120"/>
        <w:ind w:firstLine="567"/>
        <w:contextualSpacing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Порядок представления документов при выполнении Банком функций агента валютного контроля установлен Регламентом взаимодействия клиентов с АО «Россельхозбанк» при осуществлении операций, подлежащих валютно</w:t>
      </w:r>
      <w:r>
        <w:rPr>
          <w:bCs/>
          <w:sz w:val="16"/>
          <w:szCs w:val="16"/>
        </w:rPr>
        <w:t xml:space="preserve">му контролю.</w:t>
      </w:r>
    </w:p>
    <w:p>
      <w:pPr>
        <w:spacing w:before="120"/>
        <w:ind w:firstLine="567"/>
        <w:contextualSpacing/>
        <w:jc w:val="both"/>
        <w:rPr>
          <w:bCs/>
          <w:sz w:val="16"/>
          <w:szCs w:val="16"/>
        </w:rPr>
      </w:pPr>
    </w:p>
    <w:p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 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</w:p>
    <w:p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Комиссионное вознаграждение начисляется в валюте РФ. Комиссионное в</w:t>
      </w:r>
      <w:r>
        <w:rPr>
          <w:sz w:val="16"/>
          <w:szCs w:val="16"/>
        </w:rPr>
        <w:t xml:space="preserve">ознаграждение по операциям в иностранной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на день оказания услуги. При этом сумма НДС рассчитывается от получе</w:t>
      </w:r>
      <w:r>
        <w:rPr>
          <w:sz w:val="16"/>
          <w:szCs w:val="16"/>
        </w:rPr>
        <w:t xml:space="preserve">нного эквивалента в валюте РФ.</w:t>
      </w:r>
    </w:p>
    <w:p>
      <w:pPr>
        <w:spacing w:before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 и в иностранной валюте. При списании комиссионного вознаграждения </w:t>
      </w:r>
      <w:r>
        <w:rPr>
          <w:sz w:val="16"/>
          <w:szCs w:val="16"/>
        </w:rPr>
        <w:t xml:space="preserve">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действующему на день его списания.</w:t>
      </w:r>
    </w:p>
    <w:p>
      <w:pPr>
        <w:spacing w:before="12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** В случае перевода (зачисления) ден</w:t>
      </w:r>
      <w:r>
        <w:rPr>
          <w:bCs/>
          <w:sz w:val="16"/>
          <w:szCs w:val="16"/>
        </w:rPr>
        <w:t xml:space="preserve">ежных средств общей суммой:</w:t>
      </w:r>
    </w:p>
    <w:p>
      <w:pPr>
        <w:spacing w:before="120"/>
        <w:ind w:firstLine="567"/>
        <w:contextualSpacing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по нескольким контрактам (договорам) расчет комиссии производится по каждому контракту (договору);</w:t>
      </w:r>
    </w:p>
    <w:p>
      <w:pPr>
        <w:spacing w:before="120"/>
        <w:ind w:firstLine="567"/>
        <w:contextualSpacing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по нескольким кодам вида операций, указанным в Приложении 1 к Инструкции Банка России № 181И расчет комиссии производится по ка</w:t>
      </w:r>
      <w:r>
        <w:rPr>
          <w:bCs/>
          <w:sz w:val="16"/>
          <w:szCs w:val="16"/>
        </w:rPr>
        <w:t xml:space="preserve">ждому коду вида операции.</w:t>
      </w:r>
    </w:p>
    <w:p>
      <w:pPr>
        <w:spacing w:before="120"/>
        <w:ind w:firstLine="567"/>
        <w:contextualSpacing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Комиссионное вознаграждение взимается: </w:t>
      </w:r>
    </w:p>
    <w:p>
      <w:pPr>
        <w:spacing w:before="120"/>
        <w:ind w:firstLine="567"/>
        <w:contextualSpacing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с расчетного счета клиентарезидента, осуществляющего платеж в качестве третьего/другого лица, в случае одновременного обслуживания клиентарезидента, поставившего контракт (кредитный договор</w:t>
      </w:r>
      <w:r>
        <w:rPr>
          <w:bCs/>
          <w:sz w:val="16"/>
          <w:szCs w:val="16"/>
        </w:rPr>
        <w:t xml:space="preserve">) на учет, и клиентарезидента, являющегося третьим/другим лицо;</w:t>
      </w:r>
    </w:p>
    <w:p>
      <w:pPr>
        <w:spacing w:before="120"/>
        <w:ind w:firstLine="567"/>
        <w:contextualSpacing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с расчетного счета клиентарезидента, являющегося резидентомагентом (комиссионером) и действующего от имени и за счет другого резидента (нерезидента)принципала (комитента) в случае одновременн</w:t>
      </w:r>
      <w:r>
        <w:rPr>
          <w:bCs/>
          <w:sz w:val="16"/>
          <w:szCs w:val="16"/>
        </w:rPr>
        <w:t xml:space="preserve">ого обслуживания резидентаагента (комиссионера), поставившего контракт (кредитный договор) на учет, и резидента (нерезидента)принципала (комитента); </w:t>
      </w:r>
    </w:p>
    <w:p>
      <w:pPr>
        <w:spacing w:before="120"/>
        <w:ind w:firstLine="567"/>
        <w:contextualSpacing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с расчетного счета клиентарезидента, являющегося финансовым агентом (фактором), в случае одновременного о</w:t>
      </w:r>
      <w:r>
        <w:rPr>
          <w:bCs/>
          <w:sz w:val="16"/>
          <w:szCs w:val="16"/>
        </w:rPr>
        <w:t xml:space="preserve">бслуживания резидентафинансового агента (фактора) и резидента, поставившего контракт на учет.</w:t>
      </w:r>
    </w:p>
    <w:p>
      <w:pPr>
        <w:ind w:right="-2" w:firstLine="567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Комиссионное вознаграждение взимается, в том числе, при использовании резидентом аккредитивной формы расчетов, при осуществлении операции через счет резидента, от</w:t>
      </w:r>
      <w:r>
        <w:rPr>
          <w:sz w:val="16"/>
          <w:szCs w:val="16"/>
        </w:rPr>
        <w:t xml:space="preserve">крытый в банкенерезиденте, а также при осуществлении иных операций, в том числе через счет третьего лица, информация о которых подлежит отражению в ведомости банковского контроля.</w:t>
      </w:r>
    </w:p>
    <w:p>
      <w:pPr>
        <w:spacing w:before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*** Днем оказания услуги по валютному контролю является:</w:t>
      </w:r>
    </w:p>
    <w:p>
      <w:pPr>
        <w:numPr>
          <w:numId w:val="17"/>
          <w:ilvl w:val="0"/>
        </w:numPr>
        <w:tabs>
          <w:tab w:val="left" w:pos="851"/>
        </w:tabs>
        <w:ind w:left="0" w:firstLine="567"/>
        <w:contextualSpacing/>
        <w:jc w:val="both"/>
        <w:rPr>
          <w:bCs/>
          <w:sz w:val="16"/>
          <w:szCs w:val="16"/>
        </w:rPr>
      </w:pPr>
      <w:r>
        <w:rPr>
          <w:sz w:val="16"/>
          <w:szCs w:val="16"/>
        </w:rPr>
        <w:t xml:space="preserve">По операциям резиде</w:t>
      </w:r>
      <w:r>
        <w:rPr>
          <w:sz w:val="16"/>
          <w:szCs w:val="16"/>
        </w:rPr>
        <w:t xml:space="preserve">нтов, в том числе</w:t>
      </w:r>
      <w:r>
        <w:rPr>
          <w:bCs/>
          <w:sz w:val="16"/>
          <w:szCs w:val="16"/>
        </w:rPr>
        <w:t xml:space="preserve"> при переводе клиентомрезидентом денежных средств на счет этого же или на счет другого резидента, открытый в банке за пределами территории Российской Федерации:</w:t>
      </w:r>
    </w:p>
    <w:p>
      <w:pPr>
        <w:ind w:right="-2"/>
        <w:contextualSpacing/>
        <w:jc w:val="both"/>
        <w:rPr>
          <w:bCs/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день списания денежных средств с расчетного счета клиентарезидента;</w:t>
      </w:r>
    </w:p>
    <w:p>
      <w:pPr>
        <w:ind w:right="-2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день принятия Банком информации о коде вида операции, соответствующем наименованию вида операции, указанному в приложении 1 к Инструкции Банка России № 181И;</w:t>
      </w:r>
    </w:p>
    <w:p>
      <w:pPr>
        <w:ind w:right="-2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день принятия Банком информации об уникальном номере контракта (кредитного договора);</w:t>
      </w:r>
    </w:p>
    <w:p>
      <w:pPr>
        <w:ind w:right="-2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день прин</w:t>
      </w:r>
      <w:r>
        <w:rPr>
          <w:b/>
          <w:sz w:val="16"/>
          <w:szCs w:val="16"/>
        </w:rPr>
        <w:t xml:space="preserve">ятия Банком документов, связанных с проведением валютной операции;</w:t>
      </w:r>
    </w:p>
    <w:p>
      <w:pPr>
        <w:ind w:right="-2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день принятия Банком сведений уполномоченного банка о проведенной операции.</w:t>
      </w:r>
    </w:p>
    <w:p>
      <w:pPr>
        <w:numPr>
          <w:numId w:val="17"/>
          <w:ilvl w:val="0"/>
        </w:numPr>
        <w:tabs>
          <w:tab w:val="left" w:pos="851"/>
        </w:tabs>
        <w:ind w:left="0" w:right="-2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При представлении клиенту информации о коде вида операции, который отражен Банком в данных по операциям:</w:t>
      </w:r>
    </w:p>
    <w:p>
      <w:pPr>
        <w:tabs>
          <w:tab w:val="left" w:pos="851"/>
        </w:tabs>
        <w:ind w:right="-2" w:firstLine="567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день направления резиденту информации о коде вида операции.</w:t>
      </w:r>
    </w:p>
    <w:p>
      <w:pPr>
        <w:tabs>
          <w:tab w:val="left" w:pos="851"/>
        </w:tabs>
        <w:ind w:right="-2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</w:t>
      </w:r>
      <w:r>
        <w:rPr>
          <w:sz w:val="16"/>
          <w:szCs w:val="16"/>
        </w:rPr>
        <w:tab/>
        <w:t xml:space="preserve">При постановке экспортного контракта на учет на основании сведений об экспортном контракте, необходимых для постановки экспортного контракта на учет:</w:t>
      </w:r>
    </w:p>
    <w:p>
      <w:pPr>
        <w:tabs>
          <w:tab w:val="left" w:pos="851"/>
        </w:tabs>
        <w:ind w:right="-2" w:firstLine="567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день присвоения Банком экспортному контра</w:t>
      </w:r>
      <w:r>
        <w:rPr>
          <w:b/>
          <w:sz w:val="16"/>
          <w:szCs w:val="16"/>
        </w:rPr>
        <w:t xml:space="preserve">кту уникального номера.</w:t>
      </w:r>
    </w:p>
    <w:p>
      <w:pPr>
        <w:tabs>
          <w:tab w:val="left" w:pos="709"/>
          <w:tab w:val="left" w:pos="851"/>
          <w:tab w:val="left" w:pos="1134"/>
        </w:tabs>
        <w:ind w:firstLine="567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4.</w:t>
      </w:r>
      <w:r>
        <w:rPr>
          <w:bCs/>
          <w:sz w:val="16"/>
          <w:szCs w:val="16"/>
        </w:rPr>
        <w:tab/>
        <w:t xml:space="preserve">При проверке СПД:</w:t>
      </w:r>
    </w:p>
    <w:p>
      <w:pPr>
        <w:tabs>
          <w:tab w:val="left" w:pos="851"/>
          <w:tab w:val="left" w:pos="1134"/>
        </w:tabs>
        <w:ind w:firstLine="567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день принятия Банком СПД.</w:t>
      </w:r>
    </w:p>
    <w:p>
      <w:pPr>
        <w:tabs>
          <w:tab w:val="left" w:pos="851"/>
        </w:tabs>
        <w:ind w:right="-2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5.</w:t>
      </w:r>
      <w:r>
        <w:rPr>
          <w:sz w:val="16"/>
          <w:szCs w:val="16"/>
        </w:rPr>
        <w:tab/>
        <w:t xml:space="preserve">При оформлении Банком СПД за клиента:</w:t>
      </w:r>
    </w:p>
    <w:p>
      <w:pPr>
        <w:tabs>
          <w:tab w:val="left" w:pos="851"/>
        </w:tabs>
        <w:ind w:right="-2" w:firstLine="567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день оформления Банком СПД.</w:t>
      </w:r>
    </w:p>
    <w:p>
      <w:pPr>
        <w:tabs>
          <w:tab w:val="left" w:pos="851"/>
        </w:tabs>
        <w:ind w:right="-2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6.</w:t>
      </w:r>
      <w:r>
        <w:rPr>
          <w:sz w:val="16"/>
          <w:szCs w:val="16"/>
        </w:rPr>
        <w:tab/>
        <w:t xml:space="preserve">При снятии контракта (кредитного договора) с учета:</w:t>
      </w:r>
    </w:p>
    <w:p>
      <w:pPr>
        <w:tabs>
          <w:tab w:val="left" w:pos="851"/>
        </w:tabs>
        <w:ind w:right="-2" w:firstLine="567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день снятия Банком контракта (кредитного договора) с учета</w:t>
      </w:r>
      <w:r>
        <w:rPr>
          <w:b/>
          <w:sz w:val="16"/>
          <w:szCs w:val="16"/>
        </w:rPr>
        <w:t xml:space="preserve">.</w:t>
      </w:r>
    </w:p>
    <w:p>
      <w:pPr>
        <w:tabs>
          <w:tab w:val="left" w:pos="851"/>
        </w:tabs>
        <w:ind w:right="-2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7.</w:t>
      </w:r>
      <w:r>
        <w:rPr>
          <w:sz w:val="16"/>
          <w:szCs w:val="16"/>
        </w:rPr>
        <w:tab/>
        <w:t xml:space="preserve">При списании денежных средств с расчетного счета клиентанерезидента  юридического лица в валюте Российской Федерации:</w:t>
      </w:r>
    </w:p>
    <w:p>
      <w:pPr>
        <w:tabs>
          <w:tab w:val="left" w:pos="851"/>
        </w:tabs>
        <w:ind w:right="-2" w:firstLine="567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день списания денежных средств с расчетного счета клиентанерезидента.</w:t>
      </w:r>
    </w:p>
    <w:p>
      <w:pPr>
        <w:tabs>
          <w:tab w:val="left" w:pos="851"/>
        </w:tabs>
        <w:ind w:right="-2" w:firstLine="567"/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8.</w:t>
      </w:r>
      <w:r>
        <w:rPr>
          <w:sz w:val="16"/>
          <w:szCs w:val="16"/>
        </w:rPr>
        <w:tab/>
        <w:t xml:space="preserve">При представлении клиенту копий документов из досье валютно</w:t>
      </w:r>
      <w:r>
        <w:rPr>
          <w:sz w:val="16"/>
          <w:szCs w:val="16"/>
        </w:rPr>
        <w:t xml:space="preserve">го контроля:</w:t>
      </w:r>
    </w:p>
    <w:p>
      <w:pPr>
        <w:ind w:right="-2" w:firstLine="567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 день направления клиенту копий документов.</w:t>
      </w:r>
      <w:r>
        <w:rPr>
          <w:sz w:val="16"/>
          <w:szCs w:val="16"/>
        </w:rPr>
        <w:t xml:space="preserve"> </w:t>
      </w:r>
    </w:p>
    <w:p>
      <w:pPr>
        <w:spacing w:before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**** В случае перевода </w:t>
      </w:r>
      <w:r>
        <w:rPr>
          <w:bCs/>
          <w:sz w:val="16"/>
          <w:szCs w:val="16"/>
        </w:rPr>
        <w:t xml:space="preserve">контракта (кредитного договора) на учет </w:t>
      </w:r>
      <w:r>
        <w:rPr>
          <w:sz w:val="16"/>
          <w:szCs w:val="16"/>
        </w:rPr>
        <w:t xml:space="preserve">в другой уполномоченный банк либо при закрытии резидентом всех расчетных счетов в Банке при условии наличия в ведомости банковского кон</w:t>
      </w:r>
      <w:r>
        <w:rPr>
          <w:sz w:val="16"/>
          <w:szCs w:val="16"/>
        </w:rPr>
        <w:t xml:space="preserve">троля сведений о  подтверждающих документах, но при отсутствии сведений о платежах (полностью или частично), одновременно применяются тарифы, установленные подпунктами 3.5.2 и 3.5.3.</w:t>
      </w:r>
    </w:p>
    <w:p>
      <w:pPr>
        <w:rPr>
          <w:sz w:val="20"/>
          <w:szCs w:val="20"/>
        </w:rPr>
      </w:pPr>
    </w:p>
    <w:p/>
    <w:p>
      <w:pPr>
        <w:tabs>
          <w:tab w:val="left" w:pos="426"/>
        </w:tabs>
        <w:jc w:val="center"/>
        <w:rPr>
          <w:b/>
          <w:sz w:val="22"/>
          <w:szCs w:val="22"/>
        </w:rPr>
      </w:pPr>
      <w:bookmarkStart w:id="10" w:name="_Toc421185896"/>
      <w:r>
        <w:rPr>
          <w:b/>
          <w:sz w:val="22"/>
          <w:szCs w:val="22"/>
        </w:rPr>
        <w:t xml:space="preserve">4. Операции с ценными бумагами</w:t>
      </w:r>
      <w:bookmarkEnd w:id="10"/>
    </w:p>
    <w:p>
      <w:pPr>
        <w:tabs>
          <w:tab w:val="left" w:pos="426"/>
        </w:tabs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32"/>
        <w:gridCol w:w="3880"/>
        <w:gridCol w:w="1940"/>
        <w:gridCol w:w="3463"/>
      </w:tblGrid>
      <w:tr>
        <w:trPr>
          <w:tblHeader/>
        </w:trPr>
        <w:tc>
          <w:tcPr>
            <w:tcW w:w="411" w:type="pct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</w:p>
        </w:tc>
        <w:tc>
          <w:tcPr>
            <w:tcW w:w="1918" w:type="pct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</w:p>
        </w:tc>
        <w:tc>
          <w:tcPr>
            <w:tcW w:w="959" w:type="pct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</w:p>
        </w:tc>
        <w:tc>
          <w:tcPr>
            <w:tcW w:w="1712" w:type="pct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</w:p>
        </w:tc>
      </w:tr>
      <w:tr>
        <w:tc>
          <w:tcPr>
            <w:tcW w:w="411" w:type="pct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</w:t>
            </w:r>
          </w:p>
        </w:tc>
        <w:tc>
          <w:tcPr>
            <w:tcW w:w="4589" w:type="pct"/>
            <w:gridSpan w:val="3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Оформление бланка векселя АО «Россельхозбанк» в головном офисе АО «Россельхозбанк»</w:t>
            </w:r>
          </w:p>
        </w:tc>
      </w:tr>
      <w:tr>
        <w:tc>
          <w:tcPr>
            <w:tcW w:w="411" w:type="pct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8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</w:t>
            </w:r>
          </w:p>
        </w:tc>
        <w:tc>
          <w:tcPr>
            <w:tcW w:w="959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 руб. за лист</w:t>
            </w:r>
          </w:p>
        </w:tc>
        <w:tc>
          <w:tcPr>
            <w:tcW w:w="1712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целевым назначением  на приобретение векселя АО «Россельхозбанк» серии «К».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</w:p>
        </w:tc>
      </w:tr>
      <w:tr>
        <w:tc>
          <w:tcPr>
            <w:tcW w:w="411" w:type="pct"/>
            <w:vMerge w:val="restart"/>
          </w:tcPr>
          <w:p>
            <w:pPr>
              <w:keepLines/>
              <w:widowControl w:val="o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</w:t>
            </w:r>
          </w:p>
        </w:tc>
        <w:tc>
          <w:tcPr>
            <w:tcW w:w="4589" w:type="pct"/>
            <w:gridSpan w:val="3"/>
          </w:tcPr>
          <w:p>
            <w:pPr>
              <w:keepLines/>
              <w:widowControl w:val="o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Оформление бланка векселя АО «Россельхозбанк» в региональных филиалах АО «Россельхозбанк»</w:t>
            </w:r>
          </w:p>
        </w:tc>
      </w:tr>
      <w:tr>
        <w:tc>
          <w:tcPr>
            <w:tcW w:w="411" w:type="pct"/>
            <w:vMerge w:val="continue"/>
          </w:tcPr>
          <w:p>
            <w:pPr>
              <w:keepLines/>
              <w:widowControl w:val="off"/>
              <w:jc w:val="center"/>
              <w:rPr>
                <w:sz w:val="20"/>
                <w:szCs w:val="20"/>
              </w:rPr>
            </w:pPr>
          </w:p>
        </w:tc>
        <w:tc>
          <w:tcPr>
            <w:tcW w:w="1918" w:type="pct"/>
          </w:tcPr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 </w:t>
            </w:r>
          </w:p>
        </w:tc>
        <w:tc>
          <w:tcPr>
            <w:tcW w:w="959" w:type="pct"/>
          </w:tcPr>
          <w:p>
            <w:pPr>
              <w:keepLines/>
              <w:widowControl w:val="o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 руб. за лист</w:t>
            </w:r>
          </w:p>
        </w:tc>
        <w:tc>
          <w:tcPr>
            <w:tcW w:w="1712" w:type="pct"/>
          </w:tcPr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целевым назначением  на приобретение векселя АО «Россельхозбанк» серии «К».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Комиссия включает НДС</w:t>
            </w:r>
          </w:p>
        </w:tc>
      </w:tr>
      <w:tr>
        <w:tc>
          <w:tcPr>
            <w:tcW w:w="411" w:type="pct"/>
            <w:vMerge w:val="continue"/>
          </w:tcPr>
          <w:p>
            <w:pPr>
              <w:keepLines/>
              <w:widowControl w:val="off"/>
              <w:jc w:val="center"/>
              <w:rPr>
                <w:sz w:val="20"/>
                <w:szCs w:val="20"/>
              </w:rPr>
            </w:pPr>
          </w:p>
        </w:tc>
        <w:tc>
          <w:tcPr>
            <w:tcW w:w="4589" w:type="pct"/>
            <w:gridSpan w:val="3"/>
          </w:tcPr>
          <w:p>
            <w:pPr>
              <w:keepLines/>
              <w:widowControl w:val="o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векселя серии «Д» со сроком обращения:</w:t>
            </w:r>
          </w:p>
        </w:tc>
      </w:tr>
      <w:tr>
        <w:trPr>
          <w:trHeight w:val="230"/>
        </w:trPr>
        <w:tc>
          <w:tcPr>
            <w:tcW w:w="411" w:type="pct"/>
            <w:vMerge w:val="continue"/>
          </w:tcPr>
          <w:p>
            <w:pPr>
              <w:keepLines/>
              <w:widowControl w:val="off"/>
              <w:jc w:val="center"/>
              <w:rPr>
                <w:sz w:val="20"/>
                <w:szCs w:val="20"/>
              </w:rPr>
            </w:pPr>
          </w:p>
        </w:tc>
        <w:tc>
          <w:tcPr>
            <w:tcW w:w="1918" w:type="pct"/>
          </w:tcPr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предъявлении»</w:t>
            </w:r>
          </w:p>
        </w:tc>
        <w:tc>
          <w:tcPr>
            <w:tcW w:w="959" w:type="pct"/>
          </w:tcPr>
          <w:p>
            <w:pPr>
              <w:keepLines/>
              <w:widowControl w:val="o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номинала векселя, но не менее 100 руб.</w:t>
            </w:r>
          </w:p>
        </w:tc>
        <w:tc>
          <w:tcPr>
            <w:tcW w:w="1712" w:type="pct"/>
            <w:vMerge w:val="restart"/>
          </w:tcPr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комиссия облагается НДС, сумма которого взимается дополнительно</w:t>
            </w:r>
          </w:p>
        </w:tc>
      </w:tr>
      <w:tr>
        <w:tc>
          <w:tcPr>
            <w:tcW w:w="411" w:type="pct"/>
            <w:vMerge w:val="continue"/>
          </w:tcPr>
          <w:p>
            <w:pPr>
              <w:keepLines/>
              <w:widowControl w:val="off"/>
              <w:jc w:val="center"/>
              <w:rPr>
                <w:sz w:val="20"/>
                <w:szCs w:val="20"/>
              </w:rPr>
            </w:pPr>
          </w:p>
        </w:tc>
        <w:tc>
          <w:tcPr>
            <w:tcW w:w="1918" w:type="pct"/>
          </w:tcPr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предъявлении, но не ранее» и срочные векселя со сроком обращения менее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30 дней </w:t>
            </w:r>
          </w:p>
        </w:tc>
        <w:tc>
          <w:tcPr>
            <w:tcW w:w="959" w:type="pct"/>
          </w:tcPr>
          <w:p>
            <w:pPr>
              <w:keepLines/>
              <w:widowControl w:val="o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номинала векселя, но не менее 100 руб.</w:t>
            </w:r>
          </w:p>
        </w:tc>
        <w:tc>
          <w:tcPr>
            <w:tcW w:w="1712" w:type="pct"/>
            <w:vMerge w:val="continue"/>
          </w:tcPr>
          <w:p>
            <w:pPr>
              <w:keepLines/>
              <w:widowControl w:val="off"/>
              <w:rPr>
                <w:sz w:val="20"/>
                <w:szCs w:val="20"/>
              </w:rPr>
            </w:pPr>
          </w:p>
        </w:tc>
      </w:tr>
      <w:tr>
        <w:tc>
          <w:tcPr>
            <w:tcW w:w="411" w:type="pct"/>
            <w:vMerge w:val="continue"/>
          </w:tcPr>
          <w:p>
            <w:pPr>
              <w:keepLines/>
              <w:widowControl w:val="off"/>
              <w:jc w:val="center"/>
              <w:rPr>
                <w:sz w:val="20"/>
                <w:szCs w:val="20"/>
              </w:rPr>
            </w:pPr>
          </w:p>
        </w:tc>
        <w:tc>
          <w:tcPr>
            <w:tcW w:w="1918" w:type="pct"/>
          </w:tcPr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предъявлении, но не ранее» и срочные векселя со сроком обращения 30 дней и более</w:t>
            </w:r>
          </w:p>
        </w:tc>
        <w:tc>
          <w:tcPr>
            <w:tcW w:w="959" w:type="pct"/>
          </w:tcPr>
          <w:p>
            <w:pPr>
              <w:keepLines/>
              <w:widowControl w:val="o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Бесплатно»</w:t>
            </w:r>
          </w:p>
        </w:tc>
        <w:tc>
          <w:tcPr>
            <w:tcW w:w="1712" w:type="pct"/>
          </w:tcPr>
          <w:p>
            <w:pPr>
              <w:keepLines/>
              <w:widowControl w:val="off"/>
              <w:rPr>
                <w:sz w:val="20"/>
                <w:szCs w:val="20"/>
              </w:rPr>
            </w:pPr>
          </w:p>
        </w:tc>
      </w:tr>
      <w:tr>
        <w:tc>
          <w:tcPr>
            <w:tcW w:w="411" w:type="pct"/>
            <w:vMerge w:val="restart"/>
          </w:tcPr>
          <w:p>
            <w:pPr>
              <w:keepLines/>
              <w:widowControl w:val="o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</w:t>
            </w:r>
          </w:p>
        </w:tc>
        <w:tc>
          <w:tcPr>
            <w:tcW w:w="4589" w:type="pct"/>
            <w:gridSpan w:val="3"/>
          </w:tcPr>
          <w:p>
            <w:pPr>
              <w:keepLines/>
              <w:widowControl w:val="o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Проведение залоговых операций с векселем АО «Россельхозбанк» серии «К»</w:t>
            </w:r>
          </w:p>
        </w:tc>
      </w:tr>
      <w:tr>
        <w:tc>
          <w:tcPr>
            <w:tcW w:w="411" w:type="pct"/>
            <w:vMerge w:val="continue"/>
          </w:tcPr>
          <w:p>
            <w:pPr>
              <w:keepLines/>
              <w:widowControl w:val="off"/>
              <w:jc w:val="center"/>
              <w:rPr>
                <w:sz w:val="20"/>
                <w:szCs w:val="20"/>
              </w:rPr>
            </w:pPr>
          </w:p>
        </w:tc>
        <w:tc>
          <w:tcPr>
            <w:tcW w:w="1918" w:type="pct"/>
          </w:tcPr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Пересчет и проверка векселей АО «Россельхозбанк» серии «К» головным офисом и региональным филиалом АО «Россельхозбанк»</w:t>
            </w:r>
          </w:p>
        </w:tc>
        <w:tc>
          <w:tcPr>
            <w:tcW w:w="959" w:type="pct"/>
          </w:tcPr>
          <w:p>
            <w:pPr>
              <w:keepLines/>
              <w:widowControl w:val="o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 руб. за лист</w:t>
            </w:r>
          </w:p>
        </w:tc>
        <w:tc>
          <w:tcPr>
            <w:tcW w:w="1712" w:type="pct"/>
          </w:tcPr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при передаче векселя АО «Россельхозбанк» в заклад Банку.</w:t>
            </w:r>
          </w:p>
          <w:p>
            <w:pPr>
              <w:keepLines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</w:p>
        </w:tc>
      </w:tr>
      <w:tr>
        <w:tc>
          <w:tcPr>
            <w:tcW w:w="411" w:type="pct"/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4.4.</w:t>
            </w:r>
          </w:p>
        </w:tc>
        <w:tc>
          <w:tcPr>
            <w:tcW w:w="1918" w:type="pct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копий сообщений и иных документов, обязательное раскрытие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</w:t>
            </w:r>
            <w:r>
              <w:rPr>
                <w:sz w:val="20"/>
                <w:szCs w:val="20"/>
              </w:rPr>
              <w:t xml:space="preserve"> лицам по их требованию, составленному в произвольной письменной форме</w:t>
            </w:r>
          </w:p>
        </w:tc>
        <w:tc>
          <w:tcPr>
            <w:tcW w:w="959" w:type="pct"/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 руб. за один лист с односторонним расположением текста</w:t>
            </w:r>
          </w:p>
        </w:tc>
        <w:tc>
          <w:tcPr>
            <w:tcW w:w="1712" w:type="pct"/>
          </w:tcPr>
          <w:p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копий документов производится в течение 7 дней с даты получения АО «Россельхозбанк» соответствующ</w:t>
            </w:r>
            <w:r>
              <w:rPr>
                <w:sz w:val="20"/>
                <w:szCs w:val="20"/>
              </w:rPr>
              <w:t xml:space="preserve">его требования. Услуга предоставляется после подтверждения факта оплаты комиссии.</w:t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Банковские реквизиты для оплаты комиссии (расходов по изготовлению копий документов, предоставляемых АО «Россельхозбанк» владельцам ценных бумаг и иным лицам в соответствии с</w:t>
            </w:r>
            <w:r>
              <w:rPr>
                <w:sz w:val="20"/>
                <w:szCs w:val="20"/>
              </w:rPr>
              <w:t xml:space="preserve"> законодательством), </w:t>
            </w:r>
            <w:r>
              <w:rPr>
                <w:sz w:val="20"/>
                <w:szCs w:val="20"/>
              </w:rPr>
              <w:t xml:space="preserve">представлены на сайте Банка сети Интернет</w:t>
            </w:r>
          </w:p>
        </w:tc>
      </w:tr>
    </w:tbl>
    <w:p>
      <w:pPr>
        <w:pStyle w:val="1"/>
        <w:jc w:val="center"/>
        <w:rPr>
          <w:sz w:val="22"/>
          <w:szCs w:val="22"/>
        </w:rPr>
      </w:pPr>
      <w:bookmarkStart w:id="11" w:name="_Toc421185897"/>
      <w:bookmarkStart w:id="12" w:name="_Toc3391773"/>
      <w:bookmarkStart w:id="13" w:name="_Toc3391834"/>
      <w:r>
        <w:rPr>
          <w:sz w:val="22"/>
          <w:szCs w:val="22"/>
        </w:rPr>
        <w:t xml:space="preserve">5. Документарные операции</w:t>
      </w:r>
      <w:bookmarkEnd w:id="11"/>
      <w:bookmarkEnd w:id="12"/>
      <w:bookmarkEnd w:id="13"/>
    </w:p>
    <w:p>
      <w:pPr>
        <w:tabs>
          <w:tab w:val="left" w:pos="426"/>
        </w:tabs>
        <w:jc w:val="center"/>
        <w:rPr>
          <w:b/>
          <w:sz w:val="22"/>
          <w:szCs w:val="22"/>
        </w:rPr>
      </w:pPr>
    </w:p>
    <w:tbl>
      <w:tblPr>
        <w:tblW w:w="5019" w:type="pct"/>
        <w:tblInd w:w="-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16"/>
        <w:gridCol w:w="259"/>
        <w:gridCol w:w="3216"/>
        <w:gridCol w:w="269"/>
        <w:gridCol w:w="1917"/>
        <w:gridCol w:w="518"/>
        <w:gridCol w:w="3158"/>
      </w:tblGrid>
      <w:tr>
        <w:trPr>
          <w:cantSplit/>
          <w:tblHeader/>
        </w:trPr>
        <w:tc>
          <w:tcPr>
            <w:tcW w:w="479" w:type="pct"/>
            <w:gridSpan w:val="2"/>
            <w:shd w:val="clear" w:color="auto" w:fill="fff2cc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п/п </w:t>
            </w:r>
          </w:p>
        </w:tc>
        <w:tc>
          <w:tcPr>
            <w:tcW w:w="1737" w:type="pct"/>
            <w:gridSpan w:val="2"/>
            <w:shd w:val="clear" w:color="auto" w:fill="fff2cc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услуги</w:t>
            </w:r>
          </w:p>
        </w:tc>
        <w:tc>
          <w:tcPr>
            <w:tcW w:w="1219" w:type="pct"/>
            <w:gridSpan w:val="2"/>
            <w:shd w:val="clear" w:color="auto" w:fill="fff2cc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Тариф</w:t>
            </w:r>
          </w:p>
        </w:tc>
        <w:tc>
          <w:tcPr>
            <w:tcW w:w="1565" w:type="pct"/>
            <w:shd w:val="clear" w:color="auto" w:fill="fff2cc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Примечание</w:t>
            </w:r>
          </w:p>
        </w:tc>
      </w:tr>
      <w:tr>
        <w:trPr>
          <w:cantSplit/>
        </w:trPr>
        <w:tc>
          <w:tcPr>
            <w:tcW w:w="5000" w:type="pct"/>
            <w:gridSpan w:val="7"/>
          </w:tcPr>
          <w:p>
            <w:pPr>
              <w:spacing w:before="60"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5.1. </w:t>
            </w:r>
            <w:r>
              <w:rPr>
                <w:b/>
                <w:bCs/>
                <w:sz w:val="22"/>
                <w:szCs w:val="22"/>
              </w:rPr>
              <w:t xml:space="preserve">Аккредитивы для расчетов на территории Российской Федерации</w:t>
            </w:r>
          </w:p>
        </w:tc>
      </w:tr>
      <w:t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1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</w:p>
        </w:tc>
        <w:tc>
          <w:tcPr>
            <w:tcW w:w="1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numId w:val="18"/>
                <w:ilvl w:val="0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аккредитива; </w:t>
            </w:r>
          </w:p>
          <w:p>
            <w:pPr>
              <w:numPr>
                <w:numId w:val="18"/>
                <w:ilvl w:val="0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изменения условий аккредитива, связанного с увеличением суммы</w:t>
            </w:r>
          </w:p>
        </w:tc>
        <w:tc>
          <w:tcPr>
            <w:tcW w:w="10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0,1% от суммы аккредитива или ее увеличения,</w:t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1 000 руб.,</w:t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максимум 10 000 руб.</w:t>
            </w:r>
          </w:p>
        </w:tc>
        <w:tc>
          <w:tcPr>
            <w:tcW w:w="18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не взимается в случае открытия и авизования аккредитива одним и тем же региональным фили</w:t>
            </w:r>
            <w:r>
              <w:rPr>
                <w:bCs/>
                <w:color w:val="000000"/>
                <w:sz w:val="20"/>
                <w:szCs w:val="20"/>
              </w:rPr>
              <w:t xml:space="preserve">алом Банка</w:t>
            </w:r>
          </w:p>
        </w:tc>
      </w:tr>
      <w:t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</w:t>
            </w:r>
          </w:p>
        </w:tc>
        <w:tc>
          <w:tcPr>
            <w:tcW w:w="1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numId w:val="18"/>
                <w:ilvl w:val="0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Открытие,</w:t>
            </w:r>
          </w:p>
          <w:p>
            <w:pPr>
              <w:numPr>
                <w:numId w:val="18"/>
                <w:ilvl w:val="0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увеличение суммы,</w:t>
            </w:r>
          </w:p>
          <w:p>
            <w:pPr>
              <w:numPr>
                <w:numId w:val="18"/>
                <w:ilvl w:val="0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</w:p>
        </w:tc>
        <w:tc>
          <w:tcPr>
            <w:tcW w:w="10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bCs/>
                <w:color w:val="000000"/>
                <w:sz w:val="20"/>
                <w:szCs w:val="20"/>
              </w:rPr>
            </w:pPr>
          </w:p>
        </w:tc>
      </w:tr>
      <w:t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5.1.2.1.</w:t>
            </w:r>
          </w:p>
        </w:tc>
        <w:tc>
          <w:tcPr>
            <w:tcW w:w="1732" w:type="pct"/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наличии 100% денежного покрытия:</w:t>
            </w:r>
          </w:p>
        </w:tc>
        <w:tc>
          <w:tcPr>
            <w:tcW w:w="1097" w:type="pct"/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30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с отсрочкой платежа).</w:t>
            </w:r>
          </w:p>
          <w:p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</w:t>
            </w:r>
            <w:r>
              <w:rPr>
                <w:iCs/>
                <w:sz w:val="20"/>
                <w:szCs w:val="20"/>
              </w:rPr>
              <w:t xml:space="preserve">чания срока действия аккредитива или в дату последнего отсроченного платежа 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</w:p>
          <w:p>
            <w:pPr>
              <w:spacing w:before="40"/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сум</w:t>
            </w:r>
            <w:r>
              <w:rPr>
                <w:iCs/>
                <w:sz w:val="20"/>
                <w:szCs w:val="20"/>
              </w:rPr>
              <w:t xml:space="preserve">мы комиссии производится от суммы аккредитива по состоянию на дату открытия аккредитива/на дату начала очередного комиссионного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 xml:space="preserve">в дату открытия аккредитива/ </w:t>
            </w:r>
            <w:r>
              <w:rPr>
                <w:iCs/>
                <w:sz w:val="20"/>
                <w:szCs w:val="20"/>
              </w:rPr>
              <w:br/>
              <w:t xml:space="preserve">в первый рабочий день соответствующего комиссионного периода.</w:t>
            </w:r>
          </w:p>
          <w:p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</w:t>
            </w:r>
            <w:r>
              <w:rPr>
                <w:iCs/>
                <w:sz w:val="20"/>
                <w:szCs w:val="20"/>
              </w:rPr>
              <w:t xml:space="preserve">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</w:t>
            </w:r>
            <w:r>
              <w:rPr>
                <w:iCs/>
                <w:sz w:val="20"/>
                <w:szCs w:val="20"/>
              </w:rPr>
              <w:t xml:space="preserve">ания текущего комиссионного периода. </w:t>
            </w:r>
          </w:p>
          <w:p>
            <w:pPr>
              <w:spacing w:before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по аккредитиву/сумма аккредитива </w:t>
            </w:r>
            <w:r>
              <w:rPr>
                <w:iCs/>
                <w:sz w:val="20"/>
                <w:szCs w:val="20"/>
              </w:rPr>
              <w:t xml:space="preserve">была уменьшена/аккредитив был закрыт, сумма комиссии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не пересчитывается и не возвращается Банком.</w:t>
            </w:r>
          </w:p>
        </w:tc>
      </w:tr>
      <w:tr>
        <w:tc>
          <w:tcPr>
            <w:tcW w:w="341" w:type="pct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2" w:type="pct"/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в рублях Российской Федерации </w:t>
            </w:r>
          </w:p>
        </w:tc>
        <w:tc>
          <w:tcPr>
            <w:tcW w:w="1097" w:type="pct"/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0,15% от суммы аккредитива, увеличения суммы аккредитива и/или неиспользованного остатка средств по аккредитиву,</w:t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5 000 руб.,</w:t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максимум 50 000 руб.,</w:t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</w:p>
        </w:tc>
        <w:tc>
          <w:tcPr>
            <w:tcW w:w="183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в долларах США, евро и иной валюте</w:t>
            </w:r>
          </w:p>
        </w:tc>
        <w:tc>
          <w:tcPr>
            <w:tcW w:w="1097" w:type="pct"/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0,25% от суммы аккредитива, увеличения суммы аккредитива и/или неиспользованного остатка средств по аккредитиву,</w:t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5 000 руб.,</w:t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</w:p>
        </w:tc>
        <w:tc>
          <w:tcPr>
            <w:tcW w:w="183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5.1.2.2.</w:t>
            </w:r>
          </w:p>
        </w:tc>
        <w:tc>
          <w:tcPr>
            <w:tcW w:w="1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</w:p>
        </w:tc>
        <w:tc>
          <w:tcPr>
            <w:tcW w:w="1097" w:type="pct"/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</w:p>
        </w:tc>
        <w:tc>
          <w:tcPr>
            <w:tcW w:w="18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</w:t>
            </w:r>
          </w:p>
        </w:tc>
        <w:tc>
          <w:tcPr>
            <w:tcW w:w="1732" w:type="pct"/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numPr>
                <w:numId w:val="18"/>
                <w:ilvl w:val="0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аккредитива, открытого другим банком;</w:t>
            </w:r>
          </w:p>
          <w:p>
            <w:pPr>
              <w:numPr>
                <w:numId w:val="18"/>
                <w:ilvl w:val="0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</w:p>
        </w:tc>
        <w:tc>
          <w:tcPr>
            <w:tcW w:w="10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30" w:type="pct"/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5.1.3.1.</w:t>
            </w:r>
          </w:p>
        </w:tc>
        <w:tc>
          <w:tcPr>
            <w:tcW w:w="1732" w:type="pct"/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309"/>
              </w:tabs>
              <w:spacing w:before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предоставлении банком-эмитентом 100% денежного покрытия</w:t>
            </w:r>
          </w:p>
        </w:tc>
        <w:tc>
          <w:tcPr>
            <w:tcW w:w="10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5000 руб.,</w:t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</w:p>
        </w:tc>
        <w:tc>
          <w:tcPr>
            <w:tcW w:w="1830" w:type="pct"/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с отсрочкой платежа).</w:t>
            </w:r>
          </w:p>
          <w:p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подтверждения аккредитива. Каждый следующи</w:t>
            </w:r>
            <w:r>
              <w:rPr>
                <w:iCs/>
                <w:sz w:val="20"/>
                <w:szCs w:val="20"/>
              </w:rPr>
              <w:t xml:space="preserve">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 xml:space="preserve">по ак</w:t>
            </w:r>
            <w:r>
              <w:rPr>
                <w:iCs/>
                <w:sz w:val="20"/>
                <w:szCs w:val="20"/>
              </w:rPr>
              <w:t xml:space="preserve">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</w:p>
          <w:p>
            <w:pPr>
              <w:spacing w:before="40"/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аккредитива/неиспользованного остатка средств п</w:t>
            </w:r>
            <w:r>
              <w:rPr>
                <w:iCs/>
                <w:sz w:val="20"/>
                <w:szCs w:val="20"/>
              </w:rPr>
              <w:t xml:space="preserve">о аккредитиву </w:t>
            </w:r>
            <w:r>
              <w:rPr>
                <w:iCs/>
                <w:sz w:val="20"/>
                <w:szCs w:val="20"/>
              </w:rPr>
              <w:br/>
              <w:t xml:space="preserve">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 xml:space="preserve">в дату подтверждения аккредитива/ в первый рабочий день соответствующего комиссионного периода.</w:t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подтвержденного</w:t>
            </w:r>
            <w:r>
              <w:rPr>
                <w:iCs/>
                <w:sz w:val="20"/>
                <w:szCs w:val="20"/>
              </w:rPr>
              <w:t xml:space="preserve">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 xml:space="preserve">и заканчивается в дату окончания текущего комиссионног</w:t>
            </w:r>
            <w:r>
              <w:rPr>
                <w:iCs/>
                <w:sz w:val="20"/>
                <w:szCs w:val="20"/>
              </w:rPr>
              <w:t xml:space="preserve">о периода. </w:t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по аккредитиву/сумма аккредитива была уменьшена/аккредитив был закрыт, сумма комиссии не пересчитывается и не возвращается Банком.</w:t>
            </w:r>
          </w:p>
        </w:tc>
      </w:tr>
      <w:t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5.1.3.2</w:t>
            </w:r>
          </w:p>
        </w:tc>
        <w:tc>
          <w:tcPr>
            <w:tcW w:w="1732" w:type="pct"/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309"/>
              </w:tabs>
              <w:spacing w:before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</w:p>
        </w:tc>
        <w:tc>
          <w:tcPr>
            <w:tcW w:w="10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</w:p>
        </w:tc>
        <w:tc>
          <w:tcPr>
            <w:tcW w:w="1830" w:type="pct"/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2748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</w:p>
        </w:tc>
        <w:tc>
          <w:tcPr>
            <w:tcW w:w="1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numId w:val="18"/>
                <w:ilvl w:val="0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изменений условий аккредитива, не связанных с увеличением суммы;</w:t>
            </w:r>
          </w:p>
          <w:p>
            <w:pPr>
              <w:numPr>
                <w:numId w:val="18"/>
                <w:ilvl w:val="0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запроса на аннуляцию/отзыв аккредитива, открытого другим банком;</w:t>
            </w:r>
          </w:p>
          <w:p>
            <w:pPr>
              <w:numPr>
                <w:numId w:val="18"/>
                <w:ilvl w:val="0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аккредитивам</w:t>
            </w:r>
          </w:p>
        </w:tc>
        <w:tc>
          <w:tcPr>
            <w:tcW w:w="10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1 500 руб.</w:t>
            </w:r>
          </w:p>
        </w:tc>
        <w:tc>
          <w:tcPr>
            <w:tcW w:w="18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не взимается в случае открытия и авизования аккредитива одним и тем же региональным филиалом Банка</w:t>
            </w:r>
          </w:p>
        </w:tc>
      </w:tr>
      <w:tr>
        <w:trPr>
          <w:trHeight w:val="2748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5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</w:p>
        </w:tc>
        <w:tc>
          <w:tcPr>
            <w:tcW w:w="1732" w:type="pct"/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numPr>
                <w:numId w:val="18"/>
                <w:ilvl w:val="0"/>
              </w:numPr>
              <w:spacing w:before="40"/>
              <w:ind w:left="184" w:hanging="153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 xml:space="preserve">;</w:t>
            </w:r>
          </w:p>
          <w:p>
            <w:pPr>
              <w:numPr>
                <w:numId w:val="18"/>
                <w:ilvl w:val="0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</w:t>
            </w:r>
            <w:r>
              <w:rPr>
                <w:sz w:val="20"/>
                <w:szCs w:val="20"/>
              </w:rPr>
              <w:t xml:space="preserve"> согласия на аннуляцию аккредитива/отзыв аккредитива;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numPr>
                <w:numId w:val="18"/>
                <w:ilvl w:val="0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Банка</w:t>
            </w:r>
          </w:p>
        </w:tc>
        <w:tc>
          <w:tcPr>
            <w:tcW w:w="1097" w:type="pct"/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1 500 руб.</w:t>
            </w:r>
          </w:p>
        </w:tc>
        <w:tc>
          <w:tcPr>
            <w:tcW w:w="1830" w:type="pct"/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5.1.6.</w:t>
            </w:r>
          </w:p>
        </w:tc>
        <w:tc>
          <w:tcPr>
            <w:tcW w:w="1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</w:p>
        </w:tc>
        <w:tc>
          <w:tcPr>
            <w:tcW w:w="10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 минимум 5000 руб., максимум 100 000 руб.</w:t>
            </w:r>
          </w:p>
        </w:tc>
        <w:tc>
          <w:tcPr>
            <w:tcW w:w="18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(в т.ч. если документы не приняты к оплате), исходя из суммы, запрошенной к оплате в рамках аккредитив</w:t>
            </w:r>
            <w:r>
              <w:rPr>
                <w:bCs/>
                <w:color w:val="000000"/>
                <w:sz w:val="20"/>
                <w:szCs w:val="20"/>
              </w:rPr>
              <w:t xml:space="preserve">а</w:t>
            </w:r>
          </w:p>
        </w:tc>
      </w:tr>
      <w:t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5.2.</w:t>
            </w:r>
          </w:p>
        </w:tc>
        <w:tc>
          <w:tcPr>
            <w:tcW w:w="465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Документарные аккредитивы, открытые АО «Россельхозбанк» для расчетов по внешнеторговым сделкам (импортные аккредитивы)</w:t>
            </w:r>
          </w:p>
        </w:tc>
      </w:tr>
      <w:t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</w:t>
            </w:r>
          </w:p>
        </w:tc>
        <w:tc>
          <w:tcPr>
            <w:tcW w:w="1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numId w:val="18"/>
                <w:ilvl w:val="0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Открытие,</w:t>
            </w:r>
          </w:p>
          <w:p>
            <w:pPr>
              <w:numPr>
                <w:numId w:val="18"/>
                <w:ilvl w:val="0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увеличение суммы,</w:t>
            </w:r>
          </w:p>
          <w:p>
            <w:pPr>
              <w:numPr>
                <w:numId w:val="18"/>
                <w:ilvl w:val="0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</w:p>
        </w:tc>
        <w:tc>
          <w:tcPr>
            <w:tcW w:w="10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5.2.1.1.</w:t>
            </w:r>
          </w:p>
        </w:tc>
        <w:tc>
          <w:tcPr>
            <w:tcW w:w="1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наличии 100% денежного покрытия:</w:t>
            </w:r>
          </w:p>
        </w:tc>
        <w:tc>
          <w:tcPr>
            <w:tcW w:w="10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30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с отсрочкой платежа) или срока тратты (если аккредитив исполняется путем акцепта срочной тратты).</w:t>
            </w:r>
          </w:p>
          <w:p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</w:t>
            </w:r>
            <w:r>
              <w:rPr>
                <w:iCs/>
                <w:sz w:val="20"/>
                <w:szCs w:val="20"/>
              </w:rPr>
              <w:t xml:space="preserve">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</w:t>
            </w:r>
            <w:r>
              <w:rPr>
                <w:iCs/>
                <w:sz w:val="20"/>
                <w:szCs w:val="20"/>
              </w:rPr>
              <w:t xml:space="preserve"> действия аккредитива или в дату последнего отсроченного платежа по аккредитиву (если аккредитив исполняется с отсрочкой платежа) или в самую позднюю дату оплаты срочной тратты (если аккредитив исполняется путем </w:t>
            </w:r>
            <w:r>
              <w:rPr>
                <w:iCs/>
                <w:sz w:val="20"/>
                <w:szCs w:val="20"/>
              </w:rPr>
              <w:t xml:space="preserve">акцепта срочной тратты). В расчет комиссионн</w:t>
            </w:r>
            <w:r>
              <w:rPr>
                <w:iCs/>
                <w:sz w:val="20"/>
                <w:szCs w:val="20"/>
              </w:rPr>
              <w:t xml:space="preserve">ого вознаграждения включаются как первый, так и последний дни комиссионного периода.</w:t>
            </w:r>
          </w:p>
          <w:p>
            <w:pPr>
              <w:spacing w:before="40"/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</w:t>
            </w:r>
            <w:r>
              <w:rPr>
                <w:iCs/>
                <w:sz w:val="20"/>
                <w:szCs w:val="20"/>
              </w:rPr>
              <w:t xml:space="preserve">ется в дату открытия аккредитива/в первый рабочий день соответствующего комиссионного периода.</w:t>
            </w:r>
          </w:p>
          <w:p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</w:t>
            </w:r>
            <w:r>
              <w:rPr>
                <w:iCs/>
                <w:sz w:val="20"/>
                <w:szCs w:val="20"/>
              </w:rPr>
              <w:t xml:space="preserve">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аккредитиву/был совершен акцепт </w:t>
            </w:r>
            <w:r>
              <w:rPr>
                <w:iCs/>
                <w:sz w:val="20"/>
                <w:szCs w:val="20"/>
              </w:rPr>
              <w:t xml:space="preserve">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 xml:space="preserve">и не возвращается Банком.</w:t>
            </w:r>
          </w:p>
        </w:tc>
      </w:tr>
      <w:t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 в рублях Российской Федерации</w:t>
            </w:r>
          </w:p>
        </w:tc>
        <w:tc>
          <w:tcPr>
            <w:tcW w:w="10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0,15%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</w:t>
            </w:r>
            <w:r>
              <w:rPr>
                <w:iCs/>
                <w:sz w:val="20"/>
                <w:szCs w:val="20"/>
              </w:rPr>
              <w:t xml:space="preserve">комиссионный</w:t>
            </w:r>
            <w:r>
              <w:rPr>
                <w:bCs/>
                <w:sz w:val="20"/>
                <w:szCs w:val="20"/>
              </w:rPr>
              <w:t xml:space="preserve"> период* или его часть</w:t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3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в долларах США, евро и иной валюте</w:t>
            </w:r>
          </w:p>
        </w:tc>
        <w:tc>
          <w:tcPr>
            <w:tcW w:w="10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</w:t>
            </w:r>
            <w:r>
              <w:rPr>
                <w:iCs/>
                <w:sz w:val="20"/>
                <w:szCs w:val="20"/>
              </w:rPr>
              <w:t xml:space="preserve">комиссионный</w:t>
            </w:r>
            <w:r>
              <w:rPr>
                <w:bCs/>
                <w:sz w:val="20"/>
                <w:szCs w:val="20"/>
              </w:rPr>
              <w:t xml:space="preserve"> период* или его часть</w:t>
            </w:r>
          </w:p>
        </w:tc>
        <w:tc>
          <w:tcPr>
            <w:tcW w:w="183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5.2.1.2.</w:t>
            </w:r>
          </w:p>
        </w:tc>
        <w:tc>
          <w:tcPr>
            <w:tcW w:w="1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 </w:t>
            </w:r>
          </w:p>
        </w:tc>
        <w:tc>
          <w:tcPr>
            <w:tcW w:w="10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</w:p>
        </w:tc>
        <w:tc>
          <w:tcPr>
            <w:tcW w:w="18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5.2.2.</w:t>
            </w:r>
          </w:p>
        </w:tc>
        <w:tc>
          <w:tcPr>
            <w:tcW w:w="1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numId w:val="18"/>
                <w:ilvl w:val="0"/>
              </w:numPr>
              <w:spacing w:before="40"/>
              <w:ind w:left="184" w:hanging="153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 xml:space="preserve">;</w:t>
            </w:r>
          </w:p>
          <w:p>
            <w:pPr>
              <w:numPr>
                <w:numId w:val="18"/>
                <w:ilvl w:val="0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согласия на аннуляцию аккредитива;</w:t>
            </w:r>
          </w:p>
          <w:p>
            <w:pPr>
              <w:numPr>
                <w:numId w:val="18"/>
                <w:ilvl w:val="0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Банка</w:t>
            </w:r>
          </w:p>
        </w:tc>
        <w:tc>
          <w:tcPr>
            <w:tcW w:w="10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</w:p>
        </w:tc>
        <w:tc>
          <w:tcPr>
            <w:tcW w:w="18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5.2.3.</w:t>
            </w:r>
          </w:p>
        </w:tc>
        <w:tc>
          <w:tcPr>
            <w:tcW w:w="1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</w:p>
        </w:tc>
        <w:tc>
          <w:tcPr>
            <w:tcW w:w="10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</w:t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 максимум 350 000 руб.</w:t>
            </w:r>
          </w:p>
        </w:tc>
        <w:tc>
          <w:tcPr>
            <w:tcW w:w="18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(в т. ч. если документы не приняты к оплате), исходя из суммы, запрошенной к оплате в рамках аккреди</w:t>
            </w:r>
            <w:r>
              <w:rPr>
                <w:bCs/>
                <w:color w:val="000000"/>
                <w:sz w:val="20"/>
                <w:szCs w:val="20"/>
              </w:rPr>
              <w:t xml:space="preserve">тива</w:t>
            </w:r>
          </w:p>
        </w:tc>
      </w:tr>
      <w:t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5.2.4.</w:t>
            </w:r>
          </w:p>
        </w:tc>
        <w:tc>
          <w:tcPr>
            <w:tcW w:w="1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Проверка документов, представленных с расхождениями с условиями аккредитива</w:t>
            </w:r>
          </w:p>
        </w:tc>
        <w:tc>
          <w:tcPr>
            <w:tcW w:w="10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 за каждый комплект документов</w:t>
            </w:r>
          </w:p>
        </w:tc>
        <w:tc>
          <w:tcPr>
            <w:tcW w:w="18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в дополнение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на основании требования Банка.</w:t>
            </w:r>
          </w:p>
        </w:tc>
      </w:tr>
      <w:t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5.2.5.</w:t>
            </w:r>
          </w:p>
        </w:tc>
        <w:tc>
          <w:tcPr>
            <w:tcW w:w="1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numId w:val="18"/>
                <w:ilvl w:val="0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Перевод аккредитива в пол</w:t>
            </w:r>
            <w:r>
              <w:rPr>
                <w:bCs/>
                <w:color w:val="000000"/>
                <w:sz w:val="20"/>
                <w:szCs w:val="20"/>
              </w:rPr>
              <w:t xml:space="preserve">ьзу другого бенефициара (трансферация);</w:t>
            </w:r>
          </w:p>
          <w:p>
            <w:pPr>
              <w:numPr>
                <w:numId w:val="18"/>
                <w:ilvl w:val="0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связанное с увеличением суммы</w:t>
            </w:r>
          </w:p>
        </w:tc>
        <w:tc>
          <w:tcPr>
            <w:tcW w:w="10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трансферированной суммы или суммы её увеличения, </w:t>
            </w:r>
          </w:p>
          <w:p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 максимум 100 000 руб.</w:t>
            </w:r>
          </w:p>
        </w:tc>
        <w:tc>
          <w:tcPr>
            <w:tcW w:w="18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rPr>
                <w:bCs/>
                <w:color w:val="000000"/>
                <w:sz w:val="20"/>
                <w:szCs w:val="20"/>
              </w:rPr>
            </w:pPr>
          </w:p>
        </w:tc>
      </w:tr>
      <w:t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5.2.6.</w:t>
            </w:r>
          </w:p>
        </w:tc>
        <w:tc>
          <w:tcPr>
            <w:tcW w:w="1732" w:type="pct"/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numId w:val="18"/>
                <w:ilvl w:val="0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не связанное с увеличением суммы;</w:t>
            </w:r>
          </w:p>
          <w:p>
            <w:pPr>
              <w:numPr>
                <w:numId w:val="18"/>
                <w:ilvl w:val="0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согласия на аннуляцию трансферированного аккредитива;</w:t>
            </w:r>
          </w:p>
          <w:p>
            <w:pPr>
              <w:numPr>
                <w:numId w:val="18"/>
                <w:ilvl w:val="0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трансферированным аккредитивам;</w:t>
            </w:r>
          </w:p>
          <w:p>
            <w:pPr>
              <w:numPr>
                <w:numId w:val="18"/>
                <w:ilvl w:val="0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трансферированному аккредитиву по распор</w:t>
            </w:r>
            <w:r>
              <w:rPr>
                <w:bCs/>
                <w:color w:val="000000"/>
                <w:sz w:val="20"/>
                <w:szCs w:val="20"/>
              </w:rPr>
              <w:t xml:space="preserve">яжению клиента </w:t>
            </w:r>
          </w:p>
        </w:tc>
        <w:tc>
          <w:tcPr>
            <w:tcW w:w="1097" w:type="pct"/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</w:p>
        </w:tc>
        <w:tc>
          <w:tcPr>
            <w:tcW w:w="1830" w:type="pct"/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5.3.</w:t>
            </w:r>
          </w:p>
        </w:tc>
        <w:tc>
          <w:tcPr>
            <w:tcW w:w="4659" w:type="pct"/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vAlign w:val="center"/>
          </w:tcPr>
          <w:p>
            <w:pPr>
              <w:spacing w:before="120" w:after="1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Документарные аккредитивы, открытые другими банками для расчетов </w:t>
            </w:r>
            <w:r>
              <w:rPr>
                <w:b/>
                <w:bCs/>
                <w:sz w:val="20"/>
                <w:szCs w:val="20"/>
              </w:rPr>
              <w:br w:type="textWrapping" w:clear="all"/>
            </w:r>
            <w:r>
              <w:rPr>
                <w:b/>
                <w:bCs/>
                <w:sz w:val="20"/>
                <w:szCs w:val="20"/>
              </w:rPr>
              <w:t xml:space="preserve">по внешнеторговым сделкам (экспортные аккредитивы)</w:t>
            </w:r>
          </w:p>
        </w:tc>
      </w:tr>
      <w:t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5.3.1.</w:t>
            </w:r>
          </w:p>
        </w:tc>
        <w:tc>
          <w:tcPr>
            <w:tcW w:w="1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Предварительное авизование аккредитива</w:t>
            </w:r>
          </w:p>
        </w:tc>
        <w:tc>
          <w:tcPr>
            <w:tcW w:w="10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</w:p>
        </w:tc>
        <w:tc>
          <w:tcPr>
            <w:tcW w:w="18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 </w:t>
            </w:r>
          </w:p>
        </w:tc>
      </w:tr>
      <w:t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5.3.2.</w:t>
            </w:r>
          </w:p>
        </w:tc>
        <w:tc>
          <w:tcPr>
            <w:tcW w:w="1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numId w:val="18"/>
                <w:ilvl w:val="0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аккредитива;</w:t>
            </w:r>
          </w:p>
          <w:p>
            <w:pPr>
              <w:numPr>
                <w:numId w:val="18"/>
                <w:ilvl w:val="0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изменения условий аккредитива, связанного с увеличением суммы </w:t>
            </w:r>
          </w:p>
        </w:tc>
        <w:tc>
          <w:tcPr>
            <w:tcW w:w="10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 аккредитива или от суммы увеличения,</w:t>
            </w:r>
          </w:p>
          <w:p>
            <w:pPr>
              <w:spacing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 максимум 75 000 руб.</w:t>
            </w:r>
          </w:p>
        </w:tc>
        <w:tc>
          <w:tcPr>
            <w:tcW w:w="18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</w:t>
            </w:r>
          </w:p>
        </w:tc>
        <w:tc>
          <w:tcPr>
            <w:tcW w:w="1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numId w:val="18"/>
                <w:ilvl w:val="0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аккредитива;</w:t>
            </w:r>
          </w:p>
          <w:p>
            <w:pPr>
              <w:numPr>
                <w:numId w:val="18"/>
                <w:ilvl w:val="0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</w:p>
        </w:tc>
        <w:tc>
          <w:tcPr>
            <w:tcW w:w="10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2699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5.3.3.1.</w:t>
            </w:r>
          </w:p>
        </w:tc>
        <w:tc>
          <w:tcPr>
            <w:tcW w:w="1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предоставлении банком-эмитентом 100% денежного покрытия</w:t>
            </w:r>
          </w:p>
        </w:tc>
        <w:tc>
          <w:tcPr>
            <w:tcW w:w="10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</w:p>
        </w:tc>
        <w:tc>
          <w:tcPr>
            <w:tcW w:w="18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</w:t>
            </w:r>
            <w:r>
              <w:rPr>
                <w:iCs/>
                <w:sz w:val="20"/>
                <w:szCs w:val="20"/>
              </w:rPr>
              <w:t xml:space="preserve">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с отсрочкой платежа) или срока тратты (если аккредитив исполняется путем акцепта срочной тратты).</w:t>
            </w:r>
          </w:p>
          <w:p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подтверждения аккредитива. Каждый следующий комисс</w:t>
            </w:r>
            <w:r>
              <w:rPr>
                <w:iCs/>
                <w:sz w:val="20"/>
                <w:szCs w:val="20"/>
              </w:rPr>
              <w:t xml:space="preserve">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 xml:space="preserve">по аккредитив</w:t>
            </w:r>
            <w:r>
              <w:rPr>
                <w:iCs/>
                <w:sz w:val="20"/>
                <w:szCs w:val="20"/>
              </w:rPr>
              <w:t xml:space="preserve">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</w:t>
            </w:r>
            <w:r>
              <w:rPr>
                <w:iCs/>
                <w:sz w:val="20"/>
                <w:szCs w:val="20"/>
              </w:rPr>
              <w:t xml:space="preserve">риода.</w:t>
            </w:r>
          </w:p>
          <w:p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аккредитива/неиспользованного остатка средств по аккредитиву/ тратты по состоянию на дату подтверждения/на дату начала очередного комиссионного периода.</w:t>
            </w:r>
          </w:p>
          <w:p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в дату подтверждения аккредити</w:t>
            </w:r>
            <w:r>
              <w:rPr>
                <w:iCs/>
                <w:sz w:val="20"/>
                <w:szCs w:val="20"/>
              </w:rPr>
              <w:t xml:space="preserve">ва/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в первый рабочий день соответствующего комиссионного периода.</w:t>
            </w:r>
          </w:p>
          <w:p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</w:t>
            </w:r>
            <w:r>
              <w:rPr>
                <w:iCs/>
                <w:sz w:val="20"/>
                <w:szCs w:val="20"/>
              </w:rPr>
              <w:t xml:space="preserve">подтвержденного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</w:t>
            </w:r>
            <w:r>
              <w:rPr>
                <w:iCs/>
                <w:sz w:val="20"/>
                <w:szCs w:val="20"/>
              </w:rPr>
              <w:t xml:space="preserve">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 xml:space="preserve">и заканчивается в дату окончания текущего комиссионного периода.</w:t>
            </w:r>
          </w:p>
          <w:p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аккредитиву/был совершен акцепт или платеж по тратте</w:t>
            </w:r>
            <w:r>
              <w:rPr>
                <w:iCs/>
                <w:sz w:val="20"/>
                <w:szCs w:val="20"/>
              </w:rPr>
              <w:t xml:space="preserve">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 xml:space="preserve">и не возвращается Банком.</w:t>
            </w:r>
          </w:p>
        </w:tc>
      </w:tr>
      <w:t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5.3.3.2.</w:t>
            </w:r>
          </w:p>
        </w:tc>
        <w:tc>
          <w:tcPr>
            <w:tcW w:w="1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</w:p>
        </w:tc>
        <w:tc>
          <w:tcPr>
            <w:tcW w:w="10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</w:p>
        </w:tc>
        <w:tc>
          <w:tcPr>
            <w:tcW w:w="18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5.3.4.</w:t>
            </w:r>
          </w:p>
        </w:tc>
        <w:tc>
          <w:tcPr>
            <w:tcW w:w="1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numId w:val="18"/>
                <w:ilvl w:val="0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изменений условий аккредитива, не связанных с увеличением суммы;</w:t>
            </w:r>
          </w:p>
          <w:p>
            <w:pPr>
              <w:numPr>
                <w:numId w:val="18"/>
                <w:ilvl w:val="0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запроса на аннуляцию аккредитива;</w:t>
            </w:r>
          </w:p>
          <w:p>
            <w:pPr>
              <w:numPr>
                <w:numId w:val="18"/>
                <w:ilvl w:val="0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аккредитивам;</w:t>
            </w:r>
          </w:p>
          <w:p>
            <w:pPr>
              <w:numPr>
                <w:numId w:val="18"/>
                <w:ilvl w:val="0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</w:t>
            </w:r>
          </w:p>
        </w:tc>
        <w:tc>
          <w:tcPr>
            <w:tcW w:w="10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</w:p>
        </w:tc>
        <w:tc>
          <w:tcPr>
            <w:tcW w:w="18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5.3.5.</w:t>
            </w:r>
          </w:p>
        </w:tc>
        <w:tc>
          <w:tcPr>
            <w:tcW w:w="1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</w:p>
        </w:tc>
        <w:tc>
          <w:tcPr>
            <w:tcW w:w="10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</w:t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</w:t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максимум 350 000 руб.</w:t>
            </w:r>
          </w:p>
        </w:tc>
        <w:tc>
          <w:tcPr>
            <w:tcW w:w="18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12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 проверку каждого представления документов (в т. ч. если документы не приняты к оплате), исходя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из суммы, запрош</w:t>
            </w:r>
            <w:r>
              <w:rPr>
                <w:bCs/>
                <w:color w:val="000000"/>
                <w:sz w:val="20"/>
                <w:szCs w:val="20"/>
              </w:rPr>
              <w:t xml:space="preserve">енной к оплате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в рамках аккредитива</w:t>
            </w:r>
          </w:p>
        </w:tc>
      </w:tr>
      <w:t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5.3.6.</w:t>
            </w:r>
          </w:p>
        </w:tc>
        <w:tc>
          <w:tcPr>
            <w:tcW w:w="1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numId w:val="18"/>
                <w:ilvl w:val="0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Перевод аккредитива в пользу другого бенефициара (трансферация); </w:t>
            </w:r>
          </w:p>
          <w:p>
            <w:pPr>
              <w:numPr>
                <w:numId w:val="18"/>
                <w:ilvl w:val="0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связанное с увеличением суммы</w:t>
            </w:r>
          </w:p>
        </w:tc>
        <w:tc>
          <w:tcPr>
            <w:tcW w:w="10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трансферированной суммы или суммы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ее увеличения,</w:t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</w:t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максимум 100</w:t>
            </w:r>
            <w:r>
              <w:rPr>
                <w:sz w:val="20"/>
                <w:szCs w:val="20"/>
              </w:rPr>
              <w:t xml:space="preserve"> 000 руб.</w:t>
            </w:r>
          </w:p>
        </w:tc>
        <w:tc>
          <w:tcPr>
            <w:tcW w:w="18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5.3.7.</w:t>
            </w:r>
          </w:p>
        </w:tc>
        <w:tc>
          <w:tcPr>
            <w:tcW w:w="1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numId w:val="18"/>
                <w:ilvl w:val="0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не связанное с увеличением суммы; </w:t>
            </w:r>
          </w:p>
          <w:p>
            <w:pPr>
              <w:numPr>
                <w:numId w:val="18"/>
                <w:ilvl w:val="0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запроса на аннуляцию трансферированного аккредитива;</w:t>
            </w:r>
          </w:p>
          <w:p>
            <w:pPr>
              <w:numPr>
                <w:numId w:val="18"/>
                <w:ilvl w:val="0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трансферированным аккредитивам;</w:t>
            </w:r>
          </w:p>
          <w:p>
            <w:pPr>
              <w:numPr>
                <w:numId w:val="18"/>
                <w:ilvl w:val="0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трансферированному аккредитиву по распоряжению клиента</w:t>
            </w:r>
          </w:p>
        </w:tc>
        <w:tc>
          <w:tcPr>
            <w:tcW w:w="10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</w:p>
        </w:tc>
        <w:tc>
          <w:tcPr>
            <w:tcW w:w="18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5.4.</w:t>
            </w:r>
          </w:p>
        </w:tc>
        <w:tc>
          <w:tcPr>
            <w:tcW w:w="465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after="12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Документарное инкассо</w:t>
            </w:r>
          </w:p>
        </w:tc>
      </w:tr>
      <w:t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5.4.1.</w:t>
            </w:r>
          </w:p>
        </w:tc>
        <w:tc>
          <w:tcPr>
            <w:tcW w:w="1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проверка, подготовка документов для отправки на инкассо</w:t>
            </w:r>
          </w:p>
        </w:tc>
        <w:tc>
          <w:tcPr>
            <w:tcW w:w="10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35 000 руб.</w:t>
            </w:r>
          </w:p>
        </w:tc>
        <w:tc>
          <w:tcPr>
            <w:tcW w:w="18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5.4.2.</w:t>
            </w:r>
          </w:p>
        </w:tc>
        <w:tc>
          <w:tcPr>
            <w:tcW w:w="1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инкассового поручения или аннуляция</w:t>
            </w:r>
          </w:p>
        </w:tc>
        <w:tc>
          <w:tcPr>
            <w:tcW w:w="10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2 500 руб.</w:t>
            </w:r>
          </w:p>
        </w:tc>
        <w:tc>
          <w:tcPr>
            <w:tcW w:w="18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5.4.3.</w:t>
            </w:r>
          </w:p>
        </w:tc>
        <w:tc>
          <w:tcPr>
            <w:tcW w:w="1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документов против платежа и/или акцепта или на других условиях</w:t>
            </w:r>
          </w:p>
        </w:tc>
        <w:tc>
          <w:tcPr>
            <w:tcW w:w="10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35 000 руб.</w:t>
            </w:r>
          </w:p>
        </w:tc>
        <w:tc>
          <w:tcPr>
            <w:tcW w:w="18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5.4.4.</w:t>
            </w:r>
          </w:p>
        </w:tc>
        <w:tc>
          <w:tcPr>
            <w:tcW w:w="1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неоплаченных/неакцептованных документов</w:t>
            </w:r>
          </w:p>
        </w:tc>
        <w:tc>
          <w:tcPr>
            <w:tcW w:w="10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 за каждый комплект документов</w:t>
            </w:r>
          </w:p>
        </w:tc>
        <w:tc>
          <w:tcPr>
            <w:tcW w:w="18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.4.5</w:t>
            </w:r>
          </w:p>
        </w:tc>
        <w:tc>
          <w:tcPr>
            <w:tcW w:w="1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Запрос по инкассо по распоряжению клиента </w:t>
            </w:r>
          </w:p>
        </w:tc>
        <w:tc>
          <w:tcPr>
            <w:tcW w:w="10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2 500 руб. </w:t>
            </w:r>
          </w:p>
        </w:tc>
        <w:tc>
          <w:tcPr>
            <w:tcW w:w="18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</w:tbl>
    <w:p>
      <w:pPr>
        <w:spacing w:before="120"/>
        <w:jc w:val="both"/>
        <w:rPr>
          <w:i/>
          <w:sz w:val="16"/>
          <w:szCs w:val="16"/>
        </w:rPr>
      </w:pPr>
      <w:bookmarkStart w:id="14" w:name="_Toc421185898"/>
      <w:r>
        <w:rPr>
          <w:i/>
          <w:sz w:val="16"/>
          <w:szCs w:val="16"/>
        </w:rPr>
        <w:t xml:space="preserve">*Под комиссионным периодом понимается период в 90 (девяносто) последовательных календарных дней.</w:t>
      </w:r>
    </w:p>
    <w:p>
      <w:pPr>
        <w:tabs>
          <w:tab w:val="left" w:pos="284"/>
        </w:tabs>
        <w:spacing w:before="120"/>
        <w:jc w:val="both"/>
        <w:rPr>
          <w:i/>
          <w:sz w:val="16"/>
          <w:szCs w:val="16"/>
          <w:u w:val="single"/>
        </w:rPr>
      </w:pPr>
      <w:r>
        <w:rPr>
          <w:i/>
          <w:sz w:val="16"/>
          <w:szCs w:val="16"/>
          <w:u w:val="single"/>
        </w:rPr>
        <w:t xml:space="preserve">Примечание:</w:t>
      </w:r>
    </w:p>
    <w:p>
      <w:pPr>
        <w:tabs>
          <w:tab w:val="left" w:pos="-1276"/>
          <w:tab w:val="left" w:pos="284"/>
          <w:tab w:val="left" w:pos="1134"/>
        </w:tabs>
        <w:spacing w:before="40"/>
        <w:jc w:val="both"/>
        <w:rPr>
          <w:bCs/>
          <w:i/>
          <w:color w:val="000000"/>
          <w:sz w:val="16"/>
          <w:szCs w:val="16"/>
        </w:rPr>
      </w:pPr>
      <w:r>
        <w:rPr>
          <w:i/>
          <w:sz w:val="16"/>
          <w:szCs w:val="16"/>
        </w:rPr>
        <w:t xml:space="preserve">1.</w:t>
      </w:r>
      <w:r>
        <w:rPr>
          <w:i/>
          <w:sz w:val="16"/>
          <w:szCs w:val="16"/>
        </w:rPr>
        <w:tab/>
        <w:t xml:space="preserve">При указании в наименовании услуги двух и более операций к</w:t>
      </w:r>
      <w:r>
        <w:rPr>
          <w:bCs/>
          <w:i/>
          <w:color w:val="000000"/>
          <w:sz w:val="16"/>
          <w:szCs w:val="16"/>
        </w:rPr>
        <w:t xml:space="preserve">омиссионное вознаграждение (комиссия) взимается за каждую осуществленную операцию из перечисленных в соответствующем пункте Тарифа.</w:t>
      </w:r>
    </w:p>
    <w:p>
      <w:pPr>
        <w:tabs>
          <w:tab w:val="left" w:pos="-1276"/>
          <w:tab w:val="left" w:pos="284"/>
          <w:tab w:val="left" w:pos="1134"/>
        </w:tabs>
        <w:spacing w:before="4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 Комиссионное вознаграждение взимается Банком по 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</w:p>
    <w:p>
      <w:pPr>
        <w:tabs>
          <w:tab w:val="left" w:pos="284"/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 Комиссионное вознаграждение по Разделу</w:t>
      </w:r>
      <w:r>
        <w:rPr>
          <w:i/>
          <w:sz w:val="16"/>
          <w:szCs w:val="16"/>
        </w:rPr>
        <w:t xml:space="preserve"> 5.1 «Аккредитивы для расчетов на территории Российской Федерации» начисляется в рублях Российской Федерации. По аккредитивам, номинированным в иностранной валюте, комиссионное вознаграждение, выраженное в процентном отношении от суммы осуществленной опера</w:t>
      </w:r>
      <w:r>
        <w:rPr>
          <w:i/>
          <w:sz w:val="16"/>
          <w:szCs w:val="16"/>
        </w:rPr>
        <w:t xml:space="preserve">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период).</w:t>
      </w:r>
    </w:p>
    <w:p>
      <w:pPr>
        <w:tabs>
          <w:tab w:val="left" w:pos="284"/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4. Комиссионное вознаграждение по Разделам 5.2 «Документарные аккредитивы, отк</w:t>
      </w:r>
      <w:r>
        <w:rPr>
          <w:i/>
          <w:sz w:val="16"/>
          <w:szCs w:val="16"/>
        </w:rPr>
        <w:t xml:space="preserve">рытые АО «Россельхозбанк» для расчетов по внешнеторговым сделкам (импортные аккредитивы)», </w:t>
      </w:r>
      <w:r>
        <w:rPr>
          <w:i/>
          <w:sz w:val="16"/>
          <w:szCs w:val="16"/>
        </w:rPr>
        <w:br w:type="textWrapping" w:clear="all"/>
      </w:r>
      <w:r>
        <w:rPr>
          <w:i/>
          <w:sz w:val="16"/>
          <w:szCs w:val="16"/>
        </w:rPr>
        <w:t xml:space="preserve">5.3 «Документарные аккредитивы, открытые другими банками для расчетов по внешнеторговым сделкам (экспортные аккредитивы)» и 5.4 «Документарное инкассо» начисляется </w:t>
      </w:r>
      <w:r>
        <w:rPr>
          <w:i/>
          <w:sz w:val="16"/>
          <w:szCs w:val="16"/>
        </w:rPr>
        <w:t xml:space="preserve">в рублях Российской Федерации. </w:t>
      </w:r>
      <w:r>
        <w:rPr>
          <w:i/>
          <w:sz w:val="16"/>
          <w:szCs w:val="16"/>
        </w:rPr>
        <w:br/>
        <w:t xml:space="preserve">По аккредитивам и инкассо в иностранной валюте комиссионное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</w:t>
      </w:r>
      <w:r>
        <w:rPr>
          <w:i/>
          <w:sz w:val="16"/>
          <w:szCs w:val="16"/>
        </w:rPr>
        <w:t xml:space="preserve">ющему на дату оказания услуги/на дату начала периода (для комиссий, уплачиваемых </w:t>
      </w:r>
      <w:r>
        <w:rPr>
          <w:i/>
          <w:sz w:val="16"/>
          <w:szCs w:val="16"/>
        </w:rPr>
        <w:br/>
        <w:t xml:space="preserve">за период), если иное не предусмотрено соглашением сторон.</w:t>
      </w:r>
    </w:p>
    <w:p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5. Если уплата комиссионного вознаграждения Банка, начисленного в рублях Российской Федерации, производится в иност</w:t>
      </w:r>
      <w:r>
        <w:rPr>
          <w:i/>
          <w:sz w:val="16"/>
          <w:szCs w:val="16"/>
        </w:rPr>
        <w:t xml:space="preserve">ранной валюте, то расчет суммы эквивалента осуществляется по курсу Банка России, действующему на дату уплаты комиссии.</w:t>
      </w:r>
    </w:p>
    <w:p>
      <w:pPr>
        <w:tabs>
          <w:tab w:val="left" w:pos="-1276"/>
          <w:tab w:val="left" w:pos="0"/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6. Возмещение комиссий и расходов иных банков по документарным операциям, если таковые возникают </w:t>
      </w:r>
      <w:r>
        <w:rPr>
          <w:i/>
          <w:sz w:val="16"/>
          <w:szCs w:val="16"/>
        </w:rPr>
        <w:br w:type="textWrapping" w:clear="all"/>
      </w:r>
      <w:r>
        <w:rPr>
          <w:i/>
          <w:sz w:val="16"/>
          <w:szCs w:val="16"/>
        </w:rPr>
        <w:t xml:space="preserve">и, если иное не предусмотрено отдельным соглашением, осуществляется Клиентом дополнительно </w:t>
      </w:r>
      <w:r>
        <w:rPr>
          <w:i/>
          <w:sz w:val="16"/>
          <w:szCs w:val="16"/>
        </w:rPr>
        <w:br w:type="textWrapping" w:clear="all"/>
      </w:r>
      <w:r>
        <w:rPr>
          <w:i/>
          <w:sz w:val="16"/>
          <w:szCs w:val="16"/>
        </w:rPr>
        <w:t xml:space="preserve">к комиссионному вознаграждению, указанному в Тарифах.</w:t>
      </w:r>
    </w:p>
    <w:p>
      <w:pPr>
        <w:tabs>
          <w:tab w:val="left" w:pos="-1276"/>
          <w:tab w:val="left" w:pos="0"/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7. </w:t>
      </w:r>
      <w:r>
        <w:rPr>
          <w:bCs/>
          <w:i/>
          <w:iCs/>
          <w:sz w:val="16"/>
          <w:szCs w:val="16"/>
        </w:rPr>
        <w:t xml:space="preserve">Размер комиссионного вознаграждения, отличный от установленного в Тарифах, определяется на основании отдель</w:t>
      </w:r>
      <w:r>
        <w:rPr>
          <w:bCs/>
          <w:i/>
          <w:iCs/>
          <w:sz w:val="16"/>
          <w:szCs w:val="16"/>
        </w:rPr>
        <w:t xml:space="preserve">ного соглашения сторон.</w:t>
      </w:r>
    </w:p>
    <w:p>
      <w:pPr>
        <w:jc w:val="both"/>
        <w:rPr>
          <w:sz w:val="16"/>
          <w:szCs w:val="16"/>
        </w:rPr>
      </w:pPr>
      <w:r>
        <w:rPr>
          <w:i/>
          <w:sz w:val="16"/>
          <w:szCs w:val="16"/>
        </w:rPr>
        <w:t xml:space="preserve">8. Комиссионное вознаграждение, уплаченное Банку за оказание услуг (кроме ошибочно удержанного), возврату не подлежит..</w:t>
      </w:r>
    </w:p>
    <w:p>
      <w:pPr>
        <w:pStyle w:val="4"/>
      </w:pPr>
    </w:p>
    <w:p>
      <w:pPr>
        <w:pStyle w:val="4"/>
      </w:pPr>
      <w:r>
        <w:t xml:space="preserve">6. Гарантийные операции</w:t>
      </w:r>
      <w:bookmarkEnd w:id="14"/>
    </w:p>
    <w:tbl>
      <w:tblPr>
        <w:tblW w:w="507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66"/>
        <w:gridCol w:w="3532"/>
        <w:gridCol w:w="2106"/>
        <w:gridCol w:w="707"/>
        <w:gridCol w:w="3064"/>
        <w:gridCol w:w="198"/>
      </w:tblGrid>
      <w:tr>
        <w:trPr>
          <w:gridAfter w:val="1"/>
          <w:tblHeader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</w:p>
        </w:tc>
        <w:tc>
          <w:tcPr>
            <w:tcW w:w="13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</w:p>
        </w:tc>
      </w:tr>
      <w:tr>
        <w:trPr>
          <w:gridAfter w:val="1"/>
        </w:trPr>
        <w:tc>
          <w:tcPr>
            <w:tcW w:w="492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6.1. Выдача банковской гарантии</w:t>
            </w:r>
          </w:p>
        </w:tc>
      </w:tr>
      <w:t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6.1.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банковской гарантии 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сторон,</w:t>
            </w:r>
          </w:p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 5 000 руб.</w:t>
            </w:r>
          </w:p>
        </w:tc>
        <w:tc>
          <w:tcPr>
            <w:tcW w:w="19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</w:p>
          <w:p>
            <w:pPr>
              <w:jc w:val="both"/>
              <w:rPr>
                <w:sz w:val="20"/>
                <w:szCs w:val="20"/>
              </w:rPr>
            </w:pPr>
          </w:p>
          <w:p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</w:t>
            </w:r>
            <w:r>
              <w:rPr>
                <w:rFonts w:ascii="Times New Roman" w:hAnsi="Times New Roman" w:cs="Times New Roman"/>
              </w:rPr>
              <w:t xml:space="preserve">ючается </w:t>
            </w:r>
            <w:r>
              <w:rPr>
                <w:rFonts w:ascii="Times New Roman" w:hAnsi="Times New Roman" w:cs="Times New Roman"/>
              </w:rPr>
              <w:br w:type="textWrapping" w:clear="all"/>
            </w:r>
            <w:r>
              <w:rPr>
                <w:rFonts w:ascii="Times New Roman" w:hAnsi="Times New Roman" w:cs="Times New Roman"/>
              </w:rPr>
              <w:t xml:space="preserve">в информационные материалы для клиентов Банка, не размещается на сайте Банка в сети Интернет: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комиссии за выдачу гарантии определяется с учетом минимальных тарифов комиссионного вознаграждения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по гарантийным сделкам (Приложение 2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к приказу АО «Россельхозбанк» от 01.08.2013 № 386-ОД), а также полномочий </w:t>
            </w:r>
            <w:r>
              <w:rPr>
                <w:sz w:val="20"/>
                <w:szCs w:val="20"/>
              </w:rPr>
              <w:br/>
              <w:t xml:space="preserve">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0"/>
                <w:szCs w:val="20"/>
              </w:rPr>
              <w:br/>
              <w:t xml:space="preserve">в соответствии с п. 2.5 приказа Банка </w:t>
            </w:r>
            <w:r>
              <w:rPr>
                <w:sz w:val="20"/>
                <w:szCs w:val="20"/>
              </w:rPr>
              <w:br/>
              <w:t xml:space="preserve">от 01.08.2013 № 386-ОД.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</w:t>
            </w:r>
            <w:r>
              <w:rPr>
                <w:sz w:val="20"/>
                <w:szCs w:val="20"/>
              </w:rPr>
              <w:t xml:space="preserve">сия рассчитывается от предельной суммы обязательств по гарантии (предела обязательств Банка) за период действия банковской гарантии.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может быть установлена как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абсолютном (твердая денежная сумма), так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в относительном (процент годовых от сум</w:t>
            </w:r>
            <w:r>
              <w:rPr>
                <w:sz w:val="20"/>
                <w:szCs w:val="20"/>
              </w:rPr>
              <w:t xml:space="preserve">мы банковской гарантии) выражении.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к компетенции которого относится принятие решения о выдаче банковской гарантии.</w:t>
            </w:r>
          </w:p>
          <w:p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условиях выдачи банковской гарантии/Генеральном соглашении о выдаче банковских гарантий.]</w:t>
            </w:r>
          </w:p>
        </w:tc>
      </w:tr>
      <w:t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6.2.</w:t>
            </w:r>
          </w:p>
        </w:tc>
        <w:tc>
          <w:tcPr>
            <w:tcW w:w="468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выдачи банковской гарантии</w:t>
            </w:r>
          </w:p>
        </w:tc>
      </w:tr>
      <w:t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6.2.1.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1260"/>
                <w:tab w:val="right" w:pos="9355"/>
              </w:tabs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Увеличение </w:t>
            </w:r>
            <w:r>
              <w:rPr>
                <w:sz w:val="20"/>
                <w:szCs w:val="20"/>
              </w:rPr>
              <w:t xml:space="preserve">суммы и/или срока</w:t>
            </w:r>
            <w:r>
              <w:rPr>
                <w:bCs/>
                <w:sz w:val="20"/>
                <w:szCs w:val="20"/>
              </w:rPr>
              <w:t xml:space="preserve"> гарантии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сторон,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 5 000 руб.</w:t>
            </w:r>
          </w:p>
        </w:tc>
        <w:tc>
          <w:tcPr>
            <w:tcW w:w="19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условиях выдачи банковской гарантии/Генеральным соглашением о выдаче банковских гарантий</w:t>
            </w:r>
          </w:p>
          <w:p>
            <w:pPr>
              <w:jc w:val="both"/>
              <w:rPr>
                <w:sz w:val="20"/>
                <w:szCs w:val="20"/>
              </w:rPr>
            </w:pPr>
          </w:p>
          <w:p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</w:rPr>
              <w:br w:type="textWrapping" w:clear="all"/>
            </w:r>
            <w:r>
              <w:rPr>
                <w:rFonts w:ascii="Times New Roman" w:hAnsi="Times New Roman" w:cs="Times New Roman"/>
              </w:rPr>
              <w:t xml:space="preserve">в информационные материалы для клиентов Банка, не размещаетс</w:t>
            </w:r>
            <w:r>
              <w:rPr>
                <w:rFonts w:ascii="Times New Roman" w:hAnsi="Times New Roman" w:cs="Times New Roman"/>
              </w:rPr>
              <w:t xml:space="preserve">я на сайте Банка в сети Интернет: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комиссии за увеличение суммы и/или срока гарантии определяется с учетом минимальных тарифов комиссионного вознаграждения по гарантийным сделкам (Приложение 2 к приказу АО «Россельхозбанк» от 01.08.2013 </w:t>
            </w:r>
            <w:r>
              <w:rPr>
                <w:sz w:val="20"/>
                <w:szCs w:val="20"/>
              </w:rPr>
              <w:br/>
              <w:t xml:space="preserve">№ 386-ОД), а</w:t>
            </w:r>
            <w:r>
              <w:rPr>
                <w:sz w:val="20"/>
                <w:szCs w:val="20"/>
              </w:rPr>
              <w:t xml:space="preserve"> также полномочий 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0"/>
                <w:szCs w:val="20"/>
              </w:rPr>
              <w:br/>
              <w:t xml:space="preserve">в соответствии с п. 2.5 приказа Банка </w:t>
            </w:r>
            <w:r>
              <w:rPr>
                <w:sz w:val="20"/>
                <w:szCs w:val="20"/>
              </w:rPr>
              <w:br/>
              <w:t xml:space="preserve">от 01.08.2013 № 386-ОД.</w:t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Комиссия за увеличение суммы гарантии рассчитывается от суммы </w:t>
            </w:r>
            <w:r>
              <w:rPr>
                <w:sz w:val="20"/>
                <w:szCs w:val="20"/>
              </w:rPr>
              <w:t xml:space="preserve">увеличения обязательства по гарантии за период с даты увеличения суммы обязательства по дату окончания срока действия банковской гарантии.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увеличение срока гарантии рассчитывается от предельной суммы обязательств по гарантии (предела обязательс</w:t>
            </w:r>
            <w:r>
              <w:rPr>
                <w:sz w:val="20"/>
                <w:szCs w:val="20"/>
              </w:rPr>
              <w:t xml:space="preserve">тв Банка) за период с даты увеличения срока гарантии по дату окончания срока действия банковской гарантии.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одновременном увеличении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срока гарантии комиссия рассчитывается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суммы увеличения обязательства по гарантии за период с даты увеличен</w:t>
            </w:r>
            <w:r>
              <w:rPr>
                <w:sz w:val="20"/>
                <w:szCs w:val="20"/>
              </w:rPr>
              <w:t xml:space="preserve">ия суммы обязательства по дату окончания текущего срока действия банковской гарантии, и при продлении срока действия увеличенного обязательства по гарантии - от суммы увеличенного обязательства за период продления срока действия банковской гарантии.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</w:t>
            </w:r>
            <w:r>
              <w:rPr>
                <w:sz w:val="20"/>
                <w:szCs w:val="20"/>
              </w:rPr>
              <w:t xml:space="preserve">ия может быть установлена как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абсолютном (твердая денежная сумма), так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в относительном (процент годовых от суммы банковской гарантии) выражении.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к компетенции которого относится </w:t>
            </w:r>
            <w:r>
              <w:rPr>
                <w:sz w:val="20"/>
                <w:szCs w:val="20"/>
              </w:rPr>
              <w:t xml:space="preserve">пр</w:t>
            </w:r>
            <w:r>
              <w:rPr>
                <w:sz w:val="20"/>
                <w:szCs w:val="20"/>
              </w:rPr>
              <w:t xml:space="preserve">инятие решения о выдаче банковской гарантии.</w:t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условиях выдачи банковской гарантии/Генеральном соглашении о выдаче банковских гарантий.]</w:t>
            </w:r>
          </w:p>
        </w:tc>
      </w:tr>
      <w:t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6.2.2.</w:t>
            </w:r>
          </w:p>
          <w:p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1260"/>
                <w:tab w:val="right" w:pos="9355"/>
              </w:tabs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</w:t>
            </w:r>
            <w:r>
              <w:rPr>
                <w:sz w:val="20"/>
                <w:szCs w:val="20"/>
              </w:rPr>
              <w:t xml:space="preserve">Генерального соглашения о выдаче банковских гарантий/Соглашения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 порядке и условиях выдачи банковской гарантии, а также </w:t>
            </w:r>
            <w:r>
              <w:rPr>
                <w:bCs/>
                <w:sz w:val="20"/>
                <w:szCs w:val="20"/>
              </w:rPr>
              <w:t xml:space="preserve">условий гарантии,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не указанных в п. 6.2.1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5 000 руб.</w:t>
            </w:r>
          </w:p>
        </w:tc>
        <w:tc>
          <w:tcPr>
            <w:tcW w:w="19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условиях</w:t>
            </w:r>
            <w:r>
              <w:rPr>
                <w:sz w:val="20"/>
                <w:szCs w:val="20"/>
              </w:rPr>
              <w:t xml:space="preserve"> выдачи банковской гарантии/ Генеральным соглашением о выдаче банковских гарантий</w:t>
            </w:r>
          </w:p>
          <w:p>
            <w:pPr>
              <w:jc w:val="both"/>
              <w:rPr>
                <w:sz w:val="20"/>
                <w:szCs w:val="20"/>
              </w:rPr>
            </w:pPr>
          </w:p>
          <w:p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</w:rPr>
              <w:br w:type="textWrapping" w:clear="all"/>
            </w:r>
            <w:r>
              <w:rPr>
                <w:rFonts w:ascii="Times New Roman" w:hAnsi="Times New Roman" w:cs="Times New Roman"/>
              </w:rPr>
              <w:t xml:space="preserve">в информационные материалы для клиентов Банка, не размещается на сайте Банка в сети Интернет: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устанавливается в абсолютном выражен</w:t>
            </w:r>
            <w:r>
              <w:rPr>
                <w:sz w:val="20"/>
                <w:szCs w:val="20"/>
              </w:rPr>
              <w:t xml:space="preserve">ии (твердая денежная сумма).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в следующих случаях: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уменьшение суммы и/или срока гарантии вследствие отказа/частичного отказа бенефициара от своих прав по гарантии (при этом возврат ранее уплаченной комиссии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выдачу гарантии не производится);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изменение условий гарантийной сделки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связи с предоставлением дополнительного обеспечения исполнения принципалом обязательств по гарантийной сделке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по требованию Банка;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иных случаях, связанных с применением Бан</w:t>
            </w:r>
            <w:r>
              <w:rPr>
                <w:sz w:val="20"/>
                <w:szCs w:val="20"/>
              </w:rPr>
              <w:t xml:space="preserve">ком санкций вследствие ненадлежащего исполнения принципалом своих обязательств по Соглашению о порядке и условиях выдачи банковской гарантии/Генеральному соглашению о выдаче банковских гарантий.</w:t>
            </w:r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</w:t>
            </w:r>
            <w:r>
              <w:rPr>
                <w:sz w:val="20"/>
                <w:szCs w:val="20"/>
              </w:rPr>
              <w:t xml:space="preserve">орядке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условиях выдачи банковской гарантии/Генеральном соглашении о выдаче банковских гарантий.]</w:t>
            </w:r>
          </w:p>
        </w:tc>
      </w:tr>
      <w:t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6.3.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 гарантии, авизование изменения гарантии, связанного с увеличением ее суммы, без обязательств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со стороны АО «Россельхозбанк»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9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20 000 руб.</w:t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9"/>
              </w:tabs>
              <w:rPr>
                <w:iCs/>
                <w:sz w:val="20"/>
                <w:szCs w:val="20"/>
                <w:lang w:eastAsia="en-US"/>
              </w:rPr>
            </w:pPr>
          </w:p>
          <w:p>
            <w:pPr>
              <w:keepNext/>
              <w:jc w:val="both"/>
              <w:outlineLvl w:val="8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</w:p>
        </w:tc>
      </w:tr>
      <w:t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6.4.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9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Авизование изменения гарантии, не связанного с увеличением ее суммы/авизование запроса на аннуляцию гарантии/ авизование сообщения по гарантии без обязательств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со стороны АО «Россельхозбанк»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3 500 руб.</w:t>
            </w:r>
          </w:p>
        </w:tc>
        <w:tc>
          <w:tcPr>
            <w:tcW w:w="19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</w:p>
        </w:tc>
      </w:tr>
      <w:t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6.5.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Требование платежа по гарантии, авизованной без обязательств со стороны АО «Россельхозбанк»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9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7 500 руб.</w:t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9"/>
              </w:tabs>
              <w:rPr>
                <w:iCs/>
                <w:sz w:val="20"/>
                <w:szCs w:val="20"/>
                <w:lang w:eastAsia="en-US"/>
              </w:rPr>
            </w:pPr>
          </w:p>
          <w:p>
            <w:pPr>
              <w:keepNext/>
              <w:jc w:val="both"/>
              <w:outlineLvl w:val="8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</w:p>
        </w:tc>
      </w:tr>
      <w:t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6.6.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подписей на гарантии и/или правильности телексных ключей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9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3 500 руб.</w:t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9"/>
              </w:tabs>
              <w:rPr>
                <w:iCs/>
                <w:sz w:val="20"/>
                <w:szCs w:val="20"/>
                <w:lang w:eastAsia="en-US"/>
              </w:rPr>
            </w:pP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</w:p>
        </w:tc>
      </w:tr>
      <w:t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6.7.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Отправка сообщения по гарантии, инициированного клиентом/банком-</w:t>
            </w:r>
            <w:r>
              <w:rPr>
                <w:bCs/>
                <w:sz w:val="20"/>
                <w:szCs w:val="20"/>
              </w:rPr>
              <w:t xml:space="preserve">гарантом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9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2 500 руб.</w:t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9"/>
              </w:tabs>
              <w:rPr>
                <w:iCs/>
                <w:sz w:val="20"/>
                <w:szCs w:val="20"/>
                <w:lang w:eastAsia="en-US"/>
              </w:rPr>
            </w:pP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</w:p>
        </w:tc>
      </w:tr>
    </w:tbl>
    <w:p>
      <w:pPr>
        <w:tabs>
          <w:tab w:val="left" w:pos="284"/>
        </w:tabs>
        <w:spacing w:before="120"/>
        <w:jc w:val="both"/>
        <w:rPr>
          <w:i/>
          <w:sz w:val="16"/>
          <w:szCs w:val="16"/>
          <w:u w:val="single"/>
        </w:rPr>
      </w:pPr>
    </w:p>
    <w:p>
      <w:pPr>
        <w:tabs>
          <w:tab w:val="left" w:pos="284"/>
        </w:tabs>
        <w:jc w:val="both"/>
        <w:rPr>
          <w:i/>
          <w:sz w:val="16"/>
          <w:szCs w:val="16"/>
          <w:u w:val="single"/>
          <w:lang w:eastAsia="en-US"/>
        </w:rPr>
      </w:pPr>
      <w:r>
        <w:rPr>
          <w:i/>
          <w:sz w:val="16"/>
          <w:szCs w:val="16"/>
          <w:u w:val="single"/>
        </w:rPr>
        <w:t xml:space="preserve">Примечание к пунктам 6.3-6.7 Тарифов:</w:t>
      </w:r>
    </w:p>
    <w:p>
      <w:pPr>
        <w:tabs>
          <w:tab w:val="left" w:pos="284"/>
        </w:tabs>
        <w:jc w:val="both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1. Если уплата комиссионного вознаграж</w:t>
      </w:r>
      <w:r>
        <w:rPr>
          <w:bCs/>
          <w:i/>
          <w:iCs/>
          <w:sz w:val="16"/>
          <w:szCs w:val="16"/>
        </w:rPr>
        <w:t xml:space="preserve">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</w:p>
    <w:p>
      <w:pPr>
        <w:tabs>
          <w:tab w:val="left" w:pos="284"/>
        </w:tabs>
        <w:jc w:val="both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2. Возмещение комиссий и расходов иных банков по гарантийным операциям, если таковые возникают и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</w:p>
    <w:p>
      <w:pPr>
        <w:tabs>
          <w:tab w:val="left" w:pos="284"/>
        </w:tabs>
        <w:jc w:val="both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3. Размер комиссионного вознаграждения, отличный от установленного в Тарифах, определяется на основании отдельного соглашения сторон.</w:t>
      </w:r>
    </w:p>
    <w:p>
      <w:pPr>
        <w:tabs>
          <w:tab w:val="left" w:pos="284"/>
        </w:tabs>
        <w:jc w:val="both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4. Комиссионное вознаграждение, уплаченное Банку за оказание услуг (кроме ошибочно удержанного), возврату не подлежит</w:t>
      </w:r>
      <w:r>
        <w:rPr>
          <w:i/>
          <w:sz w:val="16"/>
          <w:szCs w:val="16"/>
        </w:rPr>
        <w:t xml:space="preserve">..</w:t>
      </w:r>
    </w:p>
    <w:p>
      <w:pPr>
        <w:rPr>
          <w:bCs/>
          <w:i/>
          <w:iCs/>
          <w:sz w:val="16"/>
          <w:szCs w:val="16"/>
        </w:rPr>
      </w:pPr>
    </w:p>
    <w:p>
      <w:pPr>
        <w:rPr>
          <w:i/>
          <w:sz w:val="16"/>
          <w:szCs w:val="16"/>
        </w:rPr>
      </w:pPr>
    </w:p>
    <w:p>
      <w:pPr>
        <w:pStyle w:val="4"/>
      </w:pPr>
      <w:bookmarkStart w:id="15" w:name="_Toc421185899"/>
      <w:r>
        <w:t xml:space="preserve">7. Дистанционное банковское обслуживание (ДБО)</w:t>
      </w:r>
      <w:bookmarkEnd w:id="15"/>
    </w:p>
    <w:p/>
    <w:tbl>
      <w:tblPr>
        <w:tblW w:w="50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16"/>
        <w:gridCol w:w="3696"/>
        <w:gridCol w:w="1969"/>
        <w:gridCol w:w="3751"/>
      </w:tblGrid>
      <w:tr>
        <w:trPr>
          <w:tblHeader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</w:p>
        </w:tc>
        <w:tc>
          <w:tcPr>
            <w:tcW w:w="1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</w:p>
        </w:tc>
      </w:tr>
      <w:tr>
        <w:tc>
          <w:tcPr>
            <w:tcW w:w="5000" w:type="pct"/>
            <w:gridSpan w:val="4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7.1. Установка и настройка программного обеспечения, восстановление текущей работоспособности системы ДБО с выездом к клиенту</w:t>
            </w:r>
          </w:p>
        </w:tc>
      </w:tr>
      <w:tr>
        <w:tc>
          <w:tcPr>
            <w:tcW w:w="397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7.1.1.</w:t>
            </w:r>
          </w:p>
        </w:tc>
        <w:tc>
          <w:tcPr>
            <w:tcW w:w="1809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г. Грозный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Чеченской Республике</w:t>
            </w:r>
          </w:p>
        </w:tc>
        <w:tc>
          <w:tcPr>
            <w:tcW w:w="958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3000,00 руб.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4000,00 руб.</w:t>
            </w:r>
          </w:p>
        </w:tc>
        <w:tc>
          <w:tcPr>
            <w:tcW w:w="1836" w:type="pct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системы ДБО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«Банк-Клиент»/«</w:t>
            </w:r>
            <w:r>
              <w:rPr>
                <w:sz w:val="20"/>
                <w:szCs w:val="20"/>
              </w:rPr>
              <w:t xml:space="preserve">Интернет-Клиент»/«Свой Бизнес»</w:t>
            </w:r>
            <w:r>
              <w:t xml:space="preserve">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>
        <w:tc>
          <w:tcPr>
            <w:tcW w:w="5000" w:type="pct"/>
            <w:gridSpan w:val="4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7.2. Перевод клиента на новую систему ДБО</w:t>
            </w:r>
          </w:p>
        </w:tc>
      </w:tr>
      <w:tr>
        <w:tc>
          <w:tcPr>
            <w:tcW w:w="397" w:type="pct"/>
          </w:tcPr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7.2.1.</w:t>
            </w:r>
          </w:p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09" w:type="pct"/>
          </w:tcPr>
          <w:p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клиента с «Интернет-Клиент» на «Свой бизнес»</w:t>
            </w:r>
          </w:p>
        </w:tc>
        <w:tc>
          <w:tcPr>
            <w:tcW w:w="95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взимается»</w:t>
            </w:r>
          </w:p>
        </w:tc>
        <w:tc>
          <w:tcPr>
            <w:tcW w:w="1836" w:type="pct"/>
          </w:tcPr>
          <w:p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5000" w:type="pct"/>
            <w:gridSpan w:val="4"/>
            <w:tcBorders>
              <w:bottom w:val="single" w:color="000000" w:sz="4" w:space="0"/>
            </w:tcBorders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7.3.Обслуживание системы ДБО</w:t>
            </w:r>
          </w:p>
        </w:tc>
      </w:tr>
      <w:tr>
        <w:tc>
          <w:tcPr>
            <w:tcW w:w="397" w:type="pct"/>
            <w:tcBorders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7.3.1.</w:t>
            </w:r>
          </w:p>
        </w:tc>
        <w:tc>
          <w:tcPr>
            <w:tcW w:w="1809" w:type="pc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numPr>
                <w:numId w:val="14"/>
                <w:ilvl w:val="0"/>
              </w:numPr>
              <w:tabs>
                <w:tab w:val="clear" w:pos="964"/>
                <w:tab w:val="num" w:pos="0"/>
                <w:tab w:val="num" w:pos="292"/>
                <w:tab w:val="num" w:pos="2097"/>
              </w:tabs>
              <w:spacing w:before="40"/>
              <w:ind w:left="9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«Банк-Клиент»</w:t>
            </w:r>
          </w:p>
        </w:tc>
        <w:tc>
          <w:tcPr>
            <w:tcW w:w="958" w:type="pct"/>
            <w:tcBorders>
              <w:left w:val="single" w:color="000000" w:sz="4" w:space="0"/>
              <w:bottom w:val="none" w:color="000000" w:sz="4" w:space="0"/>
            </w:tcBorders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5 000 руб. в месяц</w:t>
            </w:r>
          </w:p>
        </w:tc>
        <w:tc>
          <w:tcPr>
            <w:tcW w:w="1836" w:type="pct"/>
            <w:vMerge w:val="restart"/>
          </w:tcPr>
          <w:p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за месяцем подключения клиента к системе ДБО.</w:t>
            </w:r>
          </w:p>
          <w:p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по ставке тарифа, действующей на дату начисл</w:t>
            </w:r>
            <w:r>
              <w:rPr>
                <w:bCs/>
                <w:sz w:val="20"/>
                <w:szCs w:val="20"/>
              </w:rPr>
              <w:t xml:space="preserve">ения комиссии.</w:t>
            </w:r>
          </w:p>
          <w:p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с клиента вне зависимости от количества подключенных к системе ДБО счетов данного клиента</w:t>
            </w:r>
            <w:r>
              <w:rPr>
                <w:bCs/>
                <w:iCs/>
                <w:sz w:val="20"/>
                <w:szCs w:val="20"/>
              </w:rPr>
              <w:t xml:space="preserve">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пользовании клиентом услуг Банка по п.п. 7.3.2-7.3.3 комиссия по п.</w:t>
            </w:r>
            <w:r>
              <w:rPr>
                <w:sz w:val="20"/>
                <w:szCs w:val="20"/>
                <w:lang w:val="en-US"/>
              </w:rPr>
              <w:t xml:space="preserve"> </w:t>
            </w:r>
            <w:r>
              <w:rPr>
                <w:sz w:val="20"/>
                <w:szCs w:val="20"/>
              </w:rPr>
              <w:t xml:space="preserve">7.3</w:t>
            </w:r>
            <w:r>
              <w:rPr>
                <w:sz w:val="20"/>
                <w:szCs w:val="20"/>
              </w:rPr>
              <w:t xml:space="preserve">.1 Банком не взимается.</w:t>
            </w:r>
          </w:p>
          <w:p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Мобильного приложения «Свой Бизнес Мобайл» возможно только при условии подключения «Свой Бизнес».</w:t>
            </w:r>
          </w:p>
          <w:p>
            <w:pPr>
              <w:spacing w:after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Комиссионное вознаграждение по п. 7.3.1 за обслуживание системы </w:t>
            </w:r>
            <w:r>
              <w:rPr>
                <w:bCs/>
                <w:sz w:val="20"/>
                <w:szCs w:val="20"/>
              </w:rPr>
              <w:t xml:space="preserve">дистанционного банковского обслуживания «Свой бизнес» не</w:t>
            </w:r>
            <w:r>
              <w:rPr>
                <w:bCs/>
                <w:sz w:val="20"/>
                <w:szCs w:val="20"/>
              </w:rPr>
              <w:t xml:space="preserve"> взимается за расчетный месяц,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платежа, за исключением первого месяца, в котором Банком произведено прио</w:t>
            </w:r>
            <w:r>
              <w:rPr>
                <w:bCs/>
                <w:sz w:val="20"/>
                <w:szCs w:val="20"/>
              </w:rPr>
              <w:t xml:space="preserve">становление.</w:t>
            </w:r>
          </w:p>
          <w:p>
            <w:pPr>
              <w:spacing w:after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расчетный месяц, в котором Банком возобновлено использование Клиентом системы дистанционного банковского обслуживания «Свой бизнес», комиссионное вознаграждение по п. 7.3.1 взимается в полном объеме вне зависимости от даты возобновления.</w:t>
            </w:r>
          </w:p>
        </w:tc>
      </w:tr>
      <w:tr>
        <w:tc>
          <w:tcPr>
            <w:tcW w:w="397" w:type="pct"/>
            <w:tcBorders>
              <w:top w:val="non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pc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numPr>
                <w:numId w:val="14"/>
                <w:ilvl w:val="0"/>
              </w:numPr>
              <w:tabs>
                <w:tab w:val="clear" w:pos="964"/>
                <w:tab w:val="num" w:pos="0"/>
                <w:tab w:val="num" w:pos="292"/>
                <w:tab w:val="num" w:pos="2097"/>
              </w:tabs>
              <w:spacing w:before="40"/>
              <w:ind w:left="9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«Интернет-Клиент»</w:t>
            </w:r>
          </w:p>
        </w:tc>
        <w:tc>
          <w:tcPr>
            <w:tcW w:w="958" w:type="pct"/>
            <w:tcBorders>
              <w:top w:val="none" w:color="000000" w:sz="4" w:space="0"/>
              <w:left w:val="single" w:color="000000" w:sz="4" w:space="0"/>
              <w:bottom w:val="none" w:color="000000" w:sz="4" w:space="0"/>
            </w:tcBorders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900 руб. в месяц</w:t>
            </w:r>
          </w:p>
        </w:tc>
        <w:tc>
          <w:tcPr>
            <w:tcW w:w="1836" w:type="pct"/>
            <w:vMerge w:val="continue"/>
          </w:tcPr>
          <w:p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397" w:type="pct"/>
            <w:tcBorders>
              <w:top w:val="non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pc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numPr>
                <w:numId w:val="14"/>
                <w:ilvl w:val="0"/>
              </w:numPr>
              <w:tabs>
                <w:tab w:val="clear" w:pos="964"/>
                <w:tab w:val="num" w:pos="0"/>
                <w:tab w:val="num" w:pos="292"/>
                <w:tab w:val="num" w:pos="2097"/>
              </w:tabs>
              <w:spacing w:before="40"/>
              <w:ind w:left="9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«Мобильный банк»</w:t>
            </w:r>
          </w:p>
        </w:tc>
        <w:tc>
          <w:tcPr>
            <w:tcW w:w="958" w:type="pct"/>
            <w:tcBorders>
              <w:top w:val="none" w:color="000000" w:sz="4" w:space="0"/>
              <w:left w:val="single" w:color="000000" w:sz="4" w:space="0"/>
              <w:bottom w:val="none" w:color="000000" w:sz="4" w:space="0"/>
            </w:tcBorders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</w:p>
        </w:tc>
        <w:tc>
          <w:tcPr>
            <w:tcW w:w="1836" w:type="pct"/>
            <w:vMerge w:val="continue"/>
          </w:tcPr>
          <w:p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397" w:type="pct"/>
            <w:tcBorders>
              <w:top w:val="non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pct"/>
            <w:tcBorders>
              <w:top w:val="none" w:color="000000" w:sz="4" w:space="0"/>
            </w:tcBorders>
          </w:tcPr>
          <w:p>
            <w:pPr>
              <w:numPr>
                <w:numId w:val="14"/>
                <w:ilvl w:val="0"/>
              </w:numPr>
              <w:tabs>
                <w:tab w:val="clear" w:pos="964"/>
                <w:tab w:val="num" w:pos="0"/>
                <w:tab w:val="num" w:pos="292"/>
                <w:tab w:val="num" w:pos="2097"/>
              </w:tabs>
              <w:spacing w:before="40"/>
              <w:ind w:left="9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«Свой Бизнес»</w:t>
            </w:r>
          </w:p>
        </w:tc>
        <w:tc>
          <w:tcPr>
            <w:tcW w:w="958" w:type="pct"/>
            <w:tcBorders>
              <w:top w:val="none" w:color="000000" w:sz="4" w:space="0"/>
            </w:tcBorders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900 руб. в месяц</w:t>
            </w:r>
          </w:p>
        </w:tc>
        <w:tc>
          <w:tcPr>
            <w:tcW w:w="1836" w:type="pct"/>
            <w:vMerge w:val="continue"/>
          </w:tcPr>
          <w:p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>
        <w:trPr>
          <w:trHeight w:val="1846"/>
        </w:trPr>
        <w:tc>
          <w:tcPr>
            <w:tcW w:w="397" w:type="pct"/>
            <w:tcBorders>
              <w:top w:val="non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pct"/>
            <w:tcBorders>
              <w:top w:val="none" w:color="000000" w:sz="4" w:space="0"/>
            </w:tcBorders>
          </w:tcPr>
          <w:p>
            <w:pPr>
              <w:numPr>
                <w:numId w:val="23"/>
                <w:ilvl w:val="0"/>
              </w:numPr>
              <w:tabs>
                <w:tab w:val="num" w:pos="0"/>
                <w:tab w:val="num" w:pos="292"/>
                <w:tab w:val="num" w:pos="434"/>
              </w:tabs>
              <w:spacing w:before="40"/>
              <w:ind w:left="9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клиентов «Банк-Клиент»/ «Интернет-Клиент»/«Мобильный банк»/«Свой Бизнес», заключивших договор номинального банковского счета, открываемого организациям,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на которые возлагается исполнение обязанностей опекунов или попечителей</w:t>
            </w:r>
          </w:p>
          <w:p>
            <w:pPr>
              <w:tabs>
                <w:tab w:val="num" w:pos="292"/>
                <w:tab w:val="num" w:pos="434"/>
              </w:tabs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none" w:color="000000" w:sz="4" w:space="0"/>
            </w:tcBorders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</w:p>
        </w:tc>
        <w:tc>
          <w:tcPr>
            <w:tcW w:w="1836" w:type="pct"/>
            <w:vMerge w:val="continue"/>
          </w:tcPr>
          <w:p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397" w:type="pct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pct"/>
          </w:tcPr>
          <w:p>
            <w:pPr>
              <w:numPr>
                <w:numId w:val="24"/>
                <w:ilvl w:val="0"/>
              </w:numPr>
              <w:spacing w:before="40"/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клиентов «Интернет-Клиент»/«Свой бизнес», являющихся садоводческими или огородническими некоммерческими товариществами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в соответствии с Федеральным законом от 29.07.2017 №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217-ФЗ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«О ведении гражданами садоводства и огородничества для собственных нужд</w:t>
            </w:r>
            <w:r>
              <w:rPr>
                <w:bCs/>
                <w:sz w:val="20"/>
                <w:szCs w:val="20"/>
              </w:rPr>
              <w:t xml:space="preserve">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</w:t>
            </w:r>
            <w:r>
              <w:rPr>
                <w:bCs/>
                <w:sz w:val="20"/>
                <w:szCs w:val="20"/>
              </w:rPr>
              <w:t xml:space="preserve">граждан, созданными в соответствии </w:t>
            </w:r>
            <w:r>
              <w:rPr>
                <w:bCs/>
                <w:sz w:val="20"/>
                <w:szCs w:val="20"/>
              </w:rPr>
              <w:br/>
              <w:t xml:space="preserve">с Федеральным законом от 15.04.1998 №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66-ФЗ «О садоводческих, </w:t>
            </w:r>
            <w:r>
              <w:rPr>
                <w:bCs/>
                <w:sz w:val="20"/>
                <w:szCs w:val="20"/>
              </w:rPr>
              <w:t xml:space="preserve">огороднических и дачных некоммерческих объединениях граждан»</w:t>
            </w:r>
          </w:p>
        </w:tc>
        <w:tc>
          <w:tcPr>
            <w:tcW w:w="958" w:type="pct"/>
          </w:tcPr>
          <w:p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1836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«Россельхозбанк» </w:t>
            </w:r>
            <w:r>
              <w:rPr>
                <w:sz w:val="20"/>
                <w:szCs w:val="20"/>
              </w:rPr>
              <w:br/>
              <w:t xml:space="preserve">по кредитным сделкам*, </w:t>
            </w:r>
            <w:r>
              <w:rPr>
                <w:sz w:val="20"/>
                <w:szCs w:val="20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sz w:val="20"/>
                <w:szCs w:val="20"/>
              </w:rPr>
              <w:br/>
              <w:t xml:space="preserve">о банкротстве в соответ</w:t>
            </w:r>
            <w:r>
              <w:rPr>
                <w:sz w:val="20"/>
                <w:szCs w:val="20"/>
              </w:rPr>
              <w:t xml:space="preserve">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 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находящихся в процессе ликвидации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«Россельхозбанк»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по кредитным сделкам в полном объеме, комиссия взимается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в стандартном размере.</w:t>
            </w:r>
          </w:p>
        </w:tc>
      </w:tr>
      <w:t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7.3.2.</w:t>
            </w:r>
          </w:p>
        </w:tc>
        <w:tc>
          <w:tcPr>
            <w:tcW w:w="1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подключении более одного клиента к одному автоматизированному рабочему месту системы ДБО «БанкКлиент»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2000 руб.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 xml:space="preserve">в месяц с каждого клиента</w:t>
            </w:r>
          </w:p>
        </w:tc>
        <w:tc>
          <w:tcPr>
            <w:tcW w:w="183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ежемесячно не ранее 25-го числа и не позднее последнего рабочего</w:t>
            </w:r>
            <w:r>
              <w:rPr>
                <w:bCs/>
                <w:sz w:val="20"/>
                <w:szCs w:val="20"/>
              </w:rPr>
              <w:t xml:space="preserve"> дня текущего календарного месяца, начиная с месяца, следующего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за месяцем подключения клиента к системе ДБО.</w:t>
            </w:r>
          </w:p>
          <w:p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с клиента вне зависимости от количества подключенных к системе ДБО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счетов данного клиента</w:t>
            </w:r>
            <w:r>
              <w:rPr>
                <w:bCs/>
                <w:iCs/>
                <w:sz w:val="20"/>
                <w:szCs w:val="20"/>
              </w:rPr>
              <w:t xml:space="preserve">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расторжения договора о пр</w:t>
            </w:r>
            <w:r>
              <w:rPr>
                <w:sz w:val="20"/>
                <w:szCs w:val="20"/>
              </w:rPr>
              <w:t xml:space="preserve">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пользовании клиентом услуг Банка по п.п. 7.3.2-7.3.3 комиссия по п.</w:t>
            </w:r>
            <w:r>
              <w:rPr>
                <w:sz w:val="20"/>
                <w:szCs w:val="20"/>
                <w:lang w:val="en-US"/>
              </w:rPr>
              <w:t xml:space="preserve"> </w:t>
            </w:r>
            <w:r>
              <w:rPr>
                <w:sz w:val="20"/>
                <w:szCs w:val="20"/>
              </w:rPr>
              <w:t xml:space="preserve">7.3.1 Банком не взимается.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Мобильного приложения «Свой Бизнес Мобайл» возможно только при условии подключения «Свой Бизнес».</w:t>
            </w:r>
          </w:p>
        </w:tc>
      </w:tr>
      <w:t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7.3.3.</w:t>
            </w:r>
          </w:p>
        </w:tc>
        <w:tc>
          <w:tcPr>
            <w:tcW w:w="1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установке одному клиенту нескольких автоматизированных рабочих мест системы ДБО «БанкКлиент»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2 000 руб. в месяц за каждое автоматизи</w:t>
            </w:r>
            <w:r>
              <w:rPr>
                <w:bCs/>
                <w:sz w:val="20"/>
                <w:szCs w:val="20"/>
              </w:rPr>
              <w:t xml:space="preserve">рованное рабочее место, но не более 5 000 руб. с одного клиента</w:t>
            </w:r>
          </w:p>
        </w:tc>
        <w:tc>
          <w:tcPr>
            <w:tcW w:w="183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5000" w:type="pct"/>
            <w:gridSpan w:val="4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7.4.Сопровождение криптографической защиты информации</w:t>
            </w:r>
          </w:p>
        </w:tc>
      </w:tr>
      <w:tr>
        <w:tc>
          <w:tcPr>
            <w:tcW w:w="39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</w:t>
            </w:r>
          </w:p>
        </w:tc>
        <w:tc>
          <w:tcPr>
            <w:tcW w:w="180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одного временного сертификата ключа проверки электронной подписи на ключевом носителе Банка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2 050 руб.</w:t>
            </w:r>
          </w:p>
        </w:tc>
        <w:tc>
          <w:tcPr>
            <w:tcW w:w="1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заявления на регистрацию субъекта информационного обмена в Удостоверяющем центре АО «Россельхозбанк».</w:t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не предоставляется при подключении к системе «ИнтернетКлиент»</w:t>
            </w:r>
            <w:r>
              <w:rPr>
                <w:sz w:val="20"/>
                <w:szCs w:val="20"/>
              </w:rPr>
              <w:t xml:space="preserve">/«Свой </w:t>
            </w:r>
            <w:r>
              <w:rPr>
                <w:sz w:val="20"/>
                <w:szCs w:val="20"/>
              </w:rPr>
              <w:t xml:space="preserve">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кабинета.</w:t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</w:t>
            </w:r>
            <w:r>
              <w:rPr>
                <w:sz w:val="20"/>
                <w:szCs w:val="20"/>
              </w:rPr>
              <w:t xml:space="preserve">и с клиентом.</w:t>
            </w:r>
          </w:p>
        </w:tc>
      </w:tr>
      <w:tr>
        <w:tc>
          <w:tcPr>
            <w:tcW w:w="397" w:type="pc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pc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</w:tc>
        <w:tc>
          <w:tcPr>
            <w:tcW w:w="958" w:type="pc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</w:p>
        </w:tc>
        <w:tc>
          <w:tcPr>
            <w:tcW w:w="183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397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для </w:t>
            </w:r>
            <w:r>
              <w:rPr>
                <w:bCs/>
                <w:sz w:val="20"/>
                <w:szCs w:val="20"/>
              </w:rPr>
              <w:t xml:space="preserve">клиентов</w:t>
            </w:r>
            <w:r>
              <w:rPr>
                <w:sz w:val="20"/>
                <w:szCs w:val="20"/>
              </w:rPr>
              <w:t xml:space="preserve">, являющихся </w:t>
            </w:r>
            <w:r>
              <w:rPr>
                <w:sz w:val="20"/>
                <w:szCs w:val="20"/>
              </w:rPr>
              <w:t xml:space="preserve">садоводческими или огородническими некоммерческими товариществами в соответствии с Федеральным законом от 29.07.2017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 217ФЗ «О ведении гражданами садоводства и огородничества для собственных нужд и о внесении изменений в отдельные законодате</w:t>
            </w:r>
            <w:r>
              <w:rPr>
                <w:sz w:val="20"/>
                <w:szCs w:val="20"/>
              </w:rPr>
              <w:t xml:space="preserve">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 15.04.1998 № 66ФЗ «О садоводческих, огороднических и дачных некоммерческих объединен</w:t>
            </w:r>
            <w:r>
              <w:rPr>
                <w:sz w:val="20"/>
                <w:szCs w:val="20"/>
              </w:rPr>
              <w:t xml:space="preserve">иях граждан</w:t>
            </w:r>
          </w:p>
        </w:tc>
        <w:tc>
          <w:tcPr>
            <w:tcW w:w="958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</w:p>
        </w:tc>
        <w:tc>
          <w:tcPr>
            <w:tcW w:w="183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397" w:type="pct"/>
            <w:tcBorders>
              <w:top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7.4.1.1.</w:t>
            </w:r>
          </w:p>
        </w:tc>
        <w:tc>
          <w:tcPr>
            <w:tcW w:w="1809" w:type="pct"/>
            <w:tcBorders>
              <w:top w:val="single" w:color="000000" w:sz="4" w:space="0"/>
            </w:tcBorders>
          </w:tcPr>
          <w:p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</w:p>
        </w:tc>
        <w:tc>
          <w:tcPr>
            <w:tcW w:w="958" w:type="pct"/>
            <w:tcBorders>
              <w:top w:val="single" w:color="000000" w:sz="4" w:space="0"/>
            </w:tcBorders>
          </w:tcPr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</w:p>
        </w:tc>
        <w:tc>
          <w:tcPr>
            <w:tcW w:w="1836" w:type="pct"/>
            <w:tcBorders>
              <w:top w:val="single" w:color="000000" w:sz="4" w:space="0"/>
            </w:tcBorders>
          </w:tcPr>
          <w:p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 7.4.1.</w:t>
            </w:r>
          </w:p>
          <w:p>
            <w:pPr>
              <w:spacing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подключении к системе «ИнтернетКлиент»</w:t>
            </w:r>
            <w:r>
              <w:t xml:space="preserve">/</w:t>
            </w:r>
            <w:r>
              <w:rPr>
                <w:sz w:val="20"/>
                <w:szCs w:val="20"/>
              </w:rPr>
              <w:t xml:space="preserve">«Свой 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 услуга предоставляется в соответствии с п. 7.4.2</w:t>
            </w:r>
          </w:p>
        </w:tc>
      </w:tr>
      <w:tr>
        <w:tc>
          <w:tcPr>
            <w:tcW w:w="397" w:type="pct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keepLines/>
              <w:widowControl w:val="o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7.4.1.2.</w:t>
            </w:r>
          </w:p>
        </w:tc>
        <w:tc>
          <w:tcPr>
            <w:tcW w:w="1809" w:type="pct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keepLines/>
              <w:widowControl w:val="off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Повторное формирование одного временного </w:t>
            </w:r>
            <w:r>
              <w:rPr>
                <w:bCs/>
                <w:sz w:val="20"/>
                <w:szCs w:val="20"/>
              </w:rPr>
              <w:t xml:space="preserve">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  <w:t xml:space="preserve"> в связи с истечением срока действия временного сертификата ключа проверки электронной подписи</w:t>
            </w:r>
          </w:p>
        </w:tc>
        <w:tc>
          <w:tcPr>
            <w:tcW w:w="958" w:type="pct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keepLines/>
              <w:widowControl w:val="off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815 руб.</w:t>
            </w:r>
          </w:p>
        </w:tc>
        <w:tc>
          <w:tcPr>
            <w:tcW w:w="1836" w:type="pct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keepLines/>
              <w:widowControl w:val="off"/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подачи клиентом заявления на регистрацию субъекта информационного обмена в Удостоверяющем центре АО «Россельхозбанк».</w:t>
            </w:r>
          </w:p>
          <w:p>
            <w:pPr>
              <w:keepLines/>
              <w:widowControl w:val="o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</w:t>
            </w:r>
            <w:r>
              <w:rPr>
                <w:sz w:val="20"/>
                <w:szCs w:val="20"/>
              </w:rPr>
              <w:t xml:space="preserve">редоставляется клиенту после выполнения условий п. 7.4.1, в случае если клиент в течение 45 дней с момента выпуска временного </w:t>
            </w:r>
            <w:r>
              <w:rPr>
                <w:bCs/>
                <w:sz w:val="20"/>
                <w:szCs w:val="20"/>
              </w:rPr>
              <w:t xml:space="preserve">сертификата ключа проверки электронной подписи</w:t>
            </w:r>
            <w:r>
              <w:rPr>
                <w:sz w:val="20"/>
                <w:szCs w:val="20"/>
              </w:rPr>
              <w:t xml:space="preserve"> не направил в Банк запрос на выдачу постоянного </w:t>
            </w:r>
            <w:r>
              <w:rPr>
                <w:bCs/>
                <w:sz w:val="20"/>
                <w:szCs w:val="20"/>
              </w:rPr>
              <w:t xml:space="preserve">сертификата ключа проверки электрон</w:t>
            </w:r>
            <w:r>
              <w:rPr>
                <w:bCs/>
                <w:sz w:val="20"/>
                <w:szCs w:val="20"/>
              </w:rPr>
              <w:t xml:space="preserve">ной подписи</w:t>
            </w:r>
            <w:r>
              <w:rPr>
                <w:sz w:val="20"/>
                <w:szCs w:val="20"/>
              </w:rPr>
              <w:t xml:space="preserve">. </w:t>
            </w:r>
          </w:p>
          <w:p>
            <w:pPr>
              <w:keepLines/>
              <w:widowControl w:val="o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</w:p>
          <w:p>
            <w:pPr>
              <w:keepLines/>
              <w:widowControl w:val="o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Банком.</w:t>
            </w:r>
          </w:p>
          <w:p>
            <w:pPr>
              <w:keepLines/>
              <w:widowControl w:val="o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 предоставления клиентом ключевого носителя, ранее выданного Банком, с клиента взимает</w:t>
            </w:r>
            <w:r>
              <w:rPr>
                <w:sz w:val="20"/>
                <w:szCs w:val="20"/>
              </w:rPr>
              <w:t xml:space="preserve">ся комиссия в соответствии с п. 7.4.1</w:t>
            </w:r>
          </w:p>
          <w:p>
            <w:pPr>
              <w:keepLines/>
              <w:widowControl w:val="o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>
        <w:tc>
          <w:tcPr>
            <w:tcW w:w="397" w:type="pct"/>
            <w:tcBorders>
              <w:bottom w:val="none" w:color="000000" w:sz="4" w:space="0"/>
            </w:tcBorders>
          </w:tcPr>
          <w:p>
            <w:pPr>
              <w:keepLines/>
              <w:widowControl w:val="o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7.4.2.</w:t>
            </w:r>
          </w:p>
        </w:tc>
        <w:tc>
          <w:tcPr>
            <w:tcW w:w="1809" w:type="pct"/>
            <w:tcBorders>
              <w:bottom w:val="none" w:color="000000" w:sz="4" w:space="0"/>
            </w:tcBorders>
          </w:tcPr>
          <w:p>
            <w:pPr>
              <w:keepLines/>
              <w:widowControl w:val="off"/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</w:t>
            </w:r>
            <w:r>
              <w:rPr>
                <w:bCs/>
                <w:sz w:val="20"/>
                <w:szCs w:val="20"/>
              </w:rPr>
              <w:t xml:space="preserve">к системе «ИнтернетКлиент»/»Свой бизнес» с использованием Личного кабинета</w:t>
            </w:r>
          </w:p>
        </w:tc>
        <w:tc>
          <w:tcPr>
            <w:tcW w:w="958" w:type="pct"/>
            <w:tcBorders>
              <w:bottom w:val="none" w:color="000000" w:sz="4" w:space="0"/>
            </w:tcBorders>
          </w:tcPr>
          <w:p>
            <w:pPr>
              <w:keepLines/>
              <w:widowControl w:val="off"/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2 050 руб.</w:t>
            </w:r>
          </w:p>
        </w:tc>
        <w:tc>
          <w:tcPr>
            <w:tcW w:w="1836" w:type="pct"/>
            <w:vMerge w:val="restart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день получения клиентом ключевого</w:t>
            </w:r>
            <w:r>
              <w:rPr>
                <w:bCs/>
                <w:sz w:val="20"/>
                <w:szCs w:val="20"/>
              </w:rPr>
              <w:t xml:space="preserve"> носителя.</w:t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каждый ключевой носитель, предоставленный при подключении к системе «ИнтернетКлиент»/»Свой бизнес» с использованием Личного кабинета.</w:t>
            </w:r>
          </w:p>
          <w:p>
            <w:pPr>
              <w:keepLines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взимается).</w:t>
            </w:r>
          </w:p>
          <w:p>
            <w:pPr>
              <w:keepLines/>
              <w:widowControl w:val="off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</w:t>
            </w:r>
            <w:r>
              <w:rPr>
                <w:sz w:val="20"/>
                <w:szCs w:val="20"/>
              </w:rPr>
              <w:t xml:space="preserve">и (или) соглашениями с клиентом.</w:t>
            </w:r>
          </w:p>
          <w:p>
            <w:pPr>
              <w:keepLines/>
              <w:widowControl w:val="off"/>
              <w:rPr>
                <w:sz w:val="20"/>
                <w:szCs w:val="20"/>
              </w:rPr>
            </w:pPr>
          </w:p>
        </w:tc>
      </w:tr>
      <w:tr>
        <w:tc>
          <w:tcPr>
            <w:tcW w:w="397" w:type="pct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keepLines/>
              <w:widowControl w:val="off"/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pct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для клиентов, заключивших договор номинального банковского счета, открываемого ор</w:t>
            </w:r>
            <w:r>
              <w:rPr>
                <w:bCs/>
                <w:sz w:val="20"/>
                <w:szCs w:val="20"/>
              </w:rPr>
              <w:t xml:space="preserve">ганизациям, на которые возлагается исполнение обязанностей опекунов или попечителей</w:t>
            </w:r>
          </w:p>
        </w:tc>
        <w:tc>
          <w:tcPr>
            <w:tcW w:w="958" w:type="pct"/>
            <w:tcBorders>
              <w:top w:val="none" w:color="000000" w:sz="4" w:space="0"/>
              <w:bottom w:val="none" w:color="000000" w:sz="4" w:space="0"/>
            </w:tcBorders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</w:p>
        </w:tc>
        <w:tc>
          <w:tcPr>
            <w:tcW w:w="1836" w:type="pct"/>
            <w:vMerge w:val="continue"/>
          </w:tcPr>
          <w:p>
            <w:pPr>
              <w:keepLines/>
              <w:widowControl w:val="off"/>
              <w:rPr>
                <w:sz w:val="20"/>
                <w:szCs w:val="20"/>
              </w:rPr>
            </w:pPr>
          </w:p>
        </w:tc>
      </w:tr>
      <w:tr>
        <w:tc>
          <w:tcPr>
            <w:tcW w:w="397" w:type="pct"/>
            <w:tcBorders>
              <w:top w:val="none" w:color="000000" w:sz="4" w:space="0"/>
            </w:tcBorders>
          </w:tcPr>
          <w:p>
            <w:pPr>
              <w:keepLines/>
              <w:widowControl w:val="off"/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pct"/>
            <w:tcBorders>
              <w:top w:val="none" w:color="000000" w:sz="4" w:space="0"/>
            </w:tcBorders>
          </w:tcPr>
          <w:p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для </w:t>
            </w:r>
            <w:r>
              <w:rPr>
                <w:bCs/>
                <w:sz w:val="20"/>
                <w:szCs w:val="20"/>
              </w:rPr>
              <w:t xml:space="preserve">клиентов</w:t>
            </w:r>
            <w:r>
              <w:rPr>
                <w:sz w:val="20"/>
                <w:szCs w:val="20"/>
              </w:rPr>
              <w:t xml:space="preserve">, являющихся садоводческими или огородническими некоммерческими товариществами в соответствии с Федеральным законом от 29.07.2017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 217ФЗ 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</w:t>
            </w:r>
            <w:r>
              <w:rPr>
                <w:sz w:val="20"/>
                <w:szCs w:val="20"/>
              </w:rPr>
              <w:t xml:space="preserve"> в соответствии с Федеральным законом от 15.04.1998 № 66ФЗ «О садоводческих, огороднических и дачных некоммерческих объединениях граждан</w:t>
            </w:r>
          </w:p>
        </w:tc>
        <w:tc>
          <w:tcPr>
            <w:tcW w:w="958" w:type="pct"/>
            <w:tcBorders>
              <w:top w:val="none" w:color="000000" w:sz="4" w:space="0"/>
            </w:tcBorders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</w:p>
        </w:tc>
        <w:tc>
          <w:tcPr>
            <w:tcW w:w="1836" w:type="pct"/>
            <w:vMerge w:val="continue"/>
          </w:tcPr>
          <w:p>
            <w:pPr>
              <w:keepLines/>
              <w:widowControl w:val="off"/>
              <w:rPr>
                <w:sz w:val="20"/>
                <w:szCs w:val="20"/>
              </w:rPr>
            </w:pPr>
          </w:p>
        </w:tc>
      </w:tr>
      <w:tr>
        <w:tc>
          <w:tcPr>
            <w:tcW w:w="397" w:type="pct"/>
          </w:tcPr>
          <w:p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7.4.3.</w:t>
            </w:r>
          </w:p>
        </w:tc>
        <w:tc>
          <w:tcPr>
            <w:tcW w:w="1809" w:type="pct"/>
          </w:tcPr>
          <w:p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</w:p>
        </w:tc>
        <w:tc>
          <w:tcPr>
            <w:tcW w:w="958" w:type="pct"/>
          </w:tcPr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</w:p>
        </w:tc>
        <w:tc>
          <w:tcPr>
            <w:tcW w:w="1836" w:type="pct"/>
          </w:tcPr>
          <w:p>
            <w:pPr>
              <w:keepLines/>
              <w:rPr>
                <w:sz w:val="20"/>
                <w:szCs w:val="20"/>
              </w:rPr>
            </w:pPr>
          </w:p>
        </w:tc>
      </w:tr>
      <w:tr>
        <w:tc>
          <w:tcPr>
            <w:tcW w:w="397" w:type="pct"/>
          </w:tcPr>
          <w:p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7.4.4.</w:t>
            </w:r>
          </w:p>
        </w:tc>
        <w:tc>
          <w:tcPr>
            <w:tcW w:w="1809" w:type="pct"/>
          </w:tcPr>
          <w:p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</w:p>
        </w:tc>
        <w:tc>
          <w:tcPr>
            <w:tcW w:w="958" w:type="pct"/>
          </w:tcPr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</w:p>
        </w:tc>
        <w:tc>
          <w:tcPr>
            <w:tcW w:w="1836" w:type="pct"/>
          </w:tcPr>
          <w:p>
            <w:pPr>
              <w:keepLines/>
              <w:rPr>
                <w:sz w:val="20"/>
                <w:szCs w:val="20"/>
              </w:rPr>
            </w:pPr>
          </w:p>
        </w:tc>
      </w:tr>
      <w:tr>
        <w:tc>
          <w:tcPr>
            <w:tcW w:w="397" w:type="pct"/>
          </w:tcPr>
          <w:p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7.4.5.</w:t>
            </w:r>
          </w:p>
        </w:tc>
        <w:tc>
          <w:tcPr>
            <w:tcW w:w="1809" w:type="pct"/>
          </w:tcPr>
          <w:p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</w:p>
        </w:tc>
        <w:tc>
          <w:tcPr>
            <w:tcW w:w="958" w:type="pct"/>
          </w:tcPr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155 руб.</w:t>
            </w:r>
          </w:p>
        </w:tc>
        <w:tc>
          <w:tcPr>
            <w:tcW w:w="1836" w:type="pct"/>
          </w:tcPr>
          <w:p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 3х рабочих дней с момента возобновления Субъекту информационного обмена сертификата ключа проверки электронной подписи. </w:t>
            </w:r>
          </w:p>
          <w:p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взимается).</w:t>
            </w:r>
          </w:p>
          <w:p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</w:t>
            </w:r>
            <w:r>
              <w:rPr>
                <w:sz w:val="20"/>
                <w:szCs w:val="20"/>
              </w:rPr>
              <w:t xml:space="preserve">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>
        <w:tc>
          <w:tcPr>
            <w:tcW w:w="397" w:type="pct"/>
          </w:tcPr>
          <w:p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7.4.6.</w:t>
            </w:r>
          </w:p>
        </w:tc>
        <w:tc>
          <w:tcPr>
            <w:tcW w:w="1809" w:type="pct"/>
          </w:tcPr>
          <w:p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электронной подписи в одном электронном документе по запросу клиента</w:t>
            </w:r>
          </w:p>
        </w:tc>
        <w:tc>
          <w:tcPr>
            <w:tcW w:w="958" w:type="pct"/>
          </w:tcPr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1 530 руб.</w:t>
            </w:r>
          </w:p>
        </w:tc>
        <w:tc>
          <w:tcPr>
            <w:tcW w:w="1836" w:type="pct"/>
          </w:tcPr>
          <w:p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 3х рабочих дней </w:t>
            </w:r>
            <w:r>
              <w:rPr>
                <w:sz w:val="20"/>
                <w:szCs w:val="20"/>
              </w:rPr>
              <w:t xml:space="preserve">от даты заключения Удостоверяющего центра АО «Россельхозбанк»/заключения экспертной группы.</w:t>
            </w:r>
          </w:p>
          <w:p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взимается).</w:t>
            </w:r>
          </w:p>
          <w:p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</w:t>
            </w:r>
            <w:r>
              <w:rPr>
                <w:sz w:val="20"/>
                <w:szCs w:val="20"/>
              </w:rPr>
              <w:t xml:space="preserve">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>
        <w:tc>
          <w:tcPr>
            <w:tcW w:w="5000" w:type="pct"/>
            <w:gridSpan w:val="4"/>
            <w:tcBorders>
              <w:bottom w:val="single" w:color="000000" w:sz="4" w:space="0"/>
            </w:tcBorders>
          </w:tcPr>
          <w:p>
            <w:pPr>
              <w:keepLine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7.5.Плановая смена сертификата ключа подписи по запросу клиента</w:t>
            </w:r>
          </w:p>
        </w:tc>
      </w:tr>
      <w:t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7.5.1</w:t>
            </w:r>
          </w:p>
        </w:tc>
        <w:tc>
          <w:tcPr>
            <w:tcW w:w="1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сертификата ключа проверки электронной подписи 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221"/>
              </w:tabs>
              <w:spacing w:before="40" w:after="4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/>
              <w:rPr>
                <w:sz w:val="20"/>
                <w:szCs w:val="20"/>
              </w:rPr>
            </w:pPr>
          </w:p>
        </w:tc>
      </w:tr>
      <w:tr>
        <w:tc>
          <w:tcPr>
            <w:tcW w:w="5000" w:type="pct"/>
            <w:gridSpan w:val="4"/>
            <w:tcBorders>
              <w:top w:val="single" w:color="000000" w:sz="4" w:space="0"/>
            </w:tcBorders>
          </w:tcPr>
          <w:p>
            <w:pPr>
              <w:keepLine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7.6.Внеплановая смена сертификата ключа подписи по запросу клиента</w:t>
            </w:r>
          </w:p>
        </w:tc>
      </w:tr>
      <w:tr>
        <w:tc>
          <w:tcPr>
            <w:tcW w:w="397" w:type="pct"/>
          </w:tcPr>
          <w:p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7.6.1.</w:t>
            </w:r>
          </w:p>
        </w:tc>
        <w:tc>
          <w:tcPr>
            <w:tcW w:w="1809" w:type="pct"/>
          </w:tcPr>
          <w:p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временного </w:t>
            </w:r>
            <w:r>
              <w:rPr>
                <w:sz w:val="20"/>
                <w:szCs w:val="20"/>
              </w:rPr>
              <w:t xml:space="preserve">/ постоянного</w:t>
            </w:r>
            <w:r>
              <w:rPr>
                <w:bCs/>
                <w:sz w:val="20"/>
                <w:szCs w:val="20"/>
              </w:rPr>
              <w:t xml:space="preserve"> сертификата ключа проверки электронной подписи на новом ключевом носителе в связи с утратой ключевого носителя или его технических повре</w:t>
            </w:r>
            <w:r>
              <w:rPr>
                <w:bCs/>
                <w:sz w:val="20"/>
                <w:szCs w:val="20"/>
              </w:rPr>
              <w:t xml:space="preserve">ждений</w:t>
            </w:r>
          </w:p>
        </w:tc>
        <w:tc>
          <w:tcPr>
            <w:tcW w:w="958" w:type="pct"/>
          </w:tcPr>
          <w:p>
            <w:pPr>
              <w:tabs>
                <w:tab w:val="left" w:pos="981"/>
                <w:tab w:val="left" w:pos="1131"/>
              </w:tabs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2 050 руб.</w:t>
            </w:r>
          </w:p>
        </w:tc>
        <w:tc>
          <w:tcPr>
            <w:tcW w:w="1836" w:type="pct"/>
          </w:tcPr>
          <w:p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</w:p>
          <w:p>
            <w:pPr>
              <w:spacing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Банком, осуществляется клиентом только с </w:t>
            </w:r>
            <w:r>
              <w:rPr>
                <w:bCs/>
                <w:iCs/>
                <w:sz w:val="20"/>
                <w:szCs w:val="20"/>
              </w:rPr>
              <w:t xml:space="preserve">использованием Личного кабинета.</w:t>
            </w:r>
          </w:p>
          <w:p>
            <w:pPr>
              <w:spacing w:before="40" w:after="40"/>
              <w:ind w:right="-10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взимается).</w:t>
            </w:r>
          </w:p>
          <w:p>
            <w:pPr>
              <w:spacing w:before="40" w:after="40"/>
              <w:ind w:right="-108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</w:t>
            </w:r>
            <w:r>
              <w:rPr>
                <w:sz w:val="20"/>
                <w:szCs w:val="20"/>
              </w:rPr>
              <w:t xml:space="preserve">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>
        <w:tc>
          <w:tcPr>
            <w:tcW w:w="397" w:type="pct"/>
          </w:tcPr>
          <w:p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7.6.1.1.</w:t>
            </w:r>
          </w:p>
        </w:tc>
        <w:tc>
          <w:tcPr>
            <w:tcW w:w="1809" w:type="pct"/>
          </w:tcPr>
          <w:p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</w:p>
        </w:tc>
        <w:tc>
          <w:tcPr>
            <w:tcW w:w="958" w:type="pct"/>
          </w:tcPr>
          <w:p>
            <w:pPr>
              <w:tabs>
                <w:tab w:val="left" w:pos="981"/>
                <w:tab w:val="left" w:pos="1131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1836" w:type="pct"/>
          </w:tcPr>
          <w:p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п.7.6.1</w:t>
            </w:r>
          </w:p>
          <w:p>
            <w:pPr>
              <w:spacing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системе «ИнтернетКлиент»/»Свой бизнес» с использованием Лично</w:t>
            </w:r>
            <w:r>
              <w:rPr>
                <w:bCs/>
                <w:sz w:val="20"/>
                <w:szCs w:val="20"/>
              </w:rPr>
              <w:t xml:space="preserve">го кабинета услуга предоставляется в соответствии с п. 7.6.1</w:t>
            </w:r>
          </w:p>
        </w:tc>
      </w:tr>
      <w:tr>
        <w:tc>
          <w:tcPr>
            <w:tcW w:w="397" w:type="pct"/>
          </w:tcPr>
          <w:p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7.6.2.</w:t>
            </w:r>
          </w:p>
        </w:tc>
        <w:tc>
          <w:tcPr>
            <w:tcW w:w="1809" w:type="pct"/>
          </w:tcPr>
          <w:p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временного/</w:t>
            </w:r>
            <w:r>
              <w:rPr>
                <w:sz w:val="20"/>
                <w:szCs w:val="20"/>
              </w:rPr>
              <w:t xml:space="preserve">постоянного</w:t>
            </w:r>
            <w:r>
              <w:rPr>
                <w:bCs/>
                <w:sz w:val="20"/>
                <w:szCs w:val="20"/>
              </w:rPr>
              <w:t xml:space="preserve">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</w:p>
        </w:tc>
        <w:tc>
          <w:tcPr>
            <w:tcW w:w="958" w:type="pct"/>
          </w:tcPr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</w:p>
        </w:tc>
        <w:tc>
          <w:tcPr>
            <w:tcW w:w="1836" w:type="pct"/>
          </w:tcPr>
          <w:p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Банком.</w:t>
            </w:r>
          </w:p>
          <w:p>
            <w:pPr>
              <w:spacing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непредставления клиентом ключевого носителя, ранее выданного Банком, с клиента взимается комиссия в соответствии с п. 7.6.1 в день получения клиентом от Банка</w:t>
            </w:r>
            <w:r>
              <w:rPr>
                <w:bCs/>
                <w:sz w:val="20"/>
                <w:szCs w:val="20"/>
              </w:rPr>
              <w:t xml:space="preserve"> нового ключевого носителя.</w:t>
            </w:r>
          </w:p>
          <w:p>
            <w:pPr>
              <w:spacing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Банком, осуществляется клиентом только с использованием Личного кабинета</w:t>
            </w:r>
          </w:p>
        </w:tc>
      </w:tr>
      <w:tr>
        <w:tc>
          <w:tcPr>
            <w:tcW w:w="397" w:type="pct"/>
          </w:tcPr>
          <w:p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7.6.2.1.</w:t>
            </w:r>
          </w:p>
        </w:tc>
        <w:tc>
          <w:tcPr>
            <w:tcW w:w="1809" w:type="pct"/>
          </w:tcPr>
          <w:p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постоянного сертификата ключа</w:t>
            </w:r>
            <w:r>
              <w:rPr>
                <w:bCs/>
                <w:sz w:val="20"/>
                <w:szCs w:val="20"/>
              </w:rPr>
              <w:t xml:space="preserve"> проверки электронной подписи по запросу клиента</w:t>
            </w:r>
          </w:p>
        </w:tc>
        <w:tc>
          <w:tcPr>
            <w:tcW w:w="958" w:type="pct"/>
          </w:tcPr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1836" w:type="pct"/>
          </w:tcPr>
          <w:p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 7.6.2.</w:t>
            </w:r>
          </w:p>
          <w:p>
            <w:pPr>
              <w:spacing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системе «И</w:t>
            </w:r>
            <w:r>
              <w:rPr>
                <w:bCs/>
                <w:sz w:val="20"/>
                <w:szCs w:val="20"/>
              </w:rPr>
              <w:t xml:space="preserve">нтернетКлиент»/»Свой бизнес» с использованием Личного кабинета предоставляется в соответствии с п. 7.6.2</w:t>
            </w:r>
          </w:p>
        </w:tc>
      </w:tr>
      <w:tr>
        <w:tc>
          <w:tcPr>
            <w:tcW w:w="397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7.7.</w:t>
            </w:r>
          </w:p>
        </w:tc>
        <w:tc>
          <w:tcPr>
            <w:tcW w:w="1809" w:type="pct"/>
          </w:tcPr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 к сервису проверки контрагентов</w:t>
            </w:r>
          </w:p>
        </w:tc>
        <w:tc>
          <w:tcPr>
            <w:tcW w:w="958" w:type="pct"/>
          </w:tcPr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290 руб. </w:t>
            </w:r>
          </w:p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месяц</w:t>
            </w:r>
          </w:p>
        </w:tc>
        <w:tc>
          <w:tcPr>
            <w:tcW w:w="1836" w:type="pct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при подключении услуги и далее ежемесячно в первый рабочий день месяца.</w:t>
            </w:r>
          </w:p>
          <w:p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доступна в «Интернет-Клиент», «Мобильный банк», «Свой Бизнес»</w:t>
            </w:r>
            <w:r>
              <w:rPr>
                <w:bCs/>
                <w:sz w:val="20"/>
                <w:szCs w:val="20"/>
              </w:rPr>
              <w:t xml:space="preserve">.</w:t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неполный месяц обслуживания плата взимается в размере установленного тарифа.</w:t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</w:t>
            </w:r>
            <w:r>
              <w:rPr>
                <w:bCs/>
                <w:sz w:val="20"/>
                <w:szCs w:val="20"/>
              </w:rPr>
              <w:t xml:space="preserve">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начисленной комиссии.</w:t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Услуга облагается НДС, сумма которого взимается дополнительно.</w:t>
            </w:r>
          </w:p>
        </w:tc>
      </w:tr>
      <w:tr>
        <w:tc>
          <w:tcPr>
            <w:tcW w:w="397" w:type="pct"/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7.8.</w:t>
            </w:r>
          </w:p>
        </w:tc>
        <w:tc>
          <w:tcPr>
            <w:tcW w:w="1809" w:type="pct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одноразового пароля (кода подтверждения) посредством </w:t>
            </w:r>
            <w:r>
              <w:rPr>
                <w:sz w:val="20"/>
                <w:szCs w:val="20"/>
                <w:lang w:val="en-US"/>
              </w:rPr>
              <w:t xml:space="preserve">SMS</w:t>
            </w:r>
            <w:r>
              <w:rPr>
                <w:sz w:val="20"/>
                <w:szCs w:val="20"/>
              </w:rPr>
              <w:t xml:space="preserve">-сообщения для авторизации и/или формирования электронной подписи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«Свой Бизнес»</w:t>
            </w:r>
          </w:p>
        </w:tc>
        <w:tc>
          <w:tcPr>
            <w:tcW w:w="958" w:type="pct"/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</w:p>
        </w:tc>
        <w:tc>
          <w:tcPr>
            <w:tcW w:w="1836" w:type="pct"/>
          </w:tcPr>
          <w:p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</w:t>
            </w:r>
            <w:r>
              <w:rPr>
                <w:bCs/>
                <w:sz w:val="20"/>
                <w:szCs w:val="20"/>
              </w:rPr>
              <w:t xml:space="preserve">льно.</w:t>
            </w:r>
          </w:p>
        </w:tc>
      </w:tr>
      <w:tr>
        <w:tc>
          <w:tcPr>
            <w:tcW w:w="397" w:type="pct"/>
            <w:vAlign w:val="center"/>
          </w:tcPr>
          <w:p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</w:t>
            </w:r>
            <w:r>
              <w:rPr>
                <w:sz w:val="20"/>
                <w:szCs w:val="20"/>
                <w:lang w:val="en-US"/>
              </w:rPr>
              <w:t xml:space="preserve">9</w:t>
            </w:r>
            <w:r>
              <w:rPr>
                <w:sz w:val="20"/>
                <w:szCs w:val="20"/>
              </w:rPr>
              <w:t xml:space="preserve">.</w:t>
            </w:r>
          </w:p>
        </w:tc>
        <w:tc>
          <w:tcPr>
            <w:tcW w:w="4603" w:type="pct"/>
            <w:gridSpan w:val="3"/>
            <w:vAlign w:val="center"/>
          </w:tcPr>
          <w:p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Сервис </w:t>
            </w:r>
            <w:r>
              <w:rPr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  <w:lang w:val="en-US"/>
              </w:rPr>
              <w:t xml:space="preserve">SMS</w:t>
            </w:r>
            <w:r>
              <w:rPr>
                <w:sz w:val="20"/>
                <w:szCs w:val="20"/>
              </w:rPr>
              <w:t xml:space="preserve"> информирование</w:t>
            </w:r>
          </w:p>
        </w:tc>
      </w:tr>
      <w:tr>
        <w:trPr>
          <w:trHeight w:val="5514"/>
        </w:trPr>
        <w:tc>
          <w:tcPr>
            <w:tcW w:w="397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</w:t>
            </w:r>
            <w:r>
              <w:rPr>
                <w:sz w:val="20"/>
                <w:szCs w:val="20"/>
                <w:lang w:val="en-US" w:eastAsia="en-US"/>
              </w:rPr>
              <w:t xml:space="preserve">9</w:t>
            </w:r>
            <w:r>
              <w:rPr>
                <w:sz w:val="20"/>
                <w:szCs w:val="20"/>
                <w:lang w:eastAsia="en-US"/>
              </w:rPr>
              <w:t xml:space="preserve">.1.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Комиссионное вознаграждение (абонентская плата)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за сервис </w:t>
            </w:r>
            <w:r>
              <w:rPr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  <w:lang w:val="en-US"/>
              </w:rPr>
              <w:t xml:space="preserve">SMS</w:t>
            </w:r>
            <w:r>
              <w:rPr>
                <w:sz w:val="20"/>
                <w:szCs w:val="20"/>
              </w:rPr>
              <w:t xml:space="preserve"> информирование» (далее – Сервис) в рамках операций по счетам Клиента</w:t>
            </w:r>
          </w:p>
        </w:tc>
        <w:tc>
          <w:tcPr>
            <w:tcW w:w="958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189 руб. ежемесячно за каждый банковский счет, подключенный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к Сервису,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и за каждый телефонный номер</w:t>
            </w:r>
          </w:p>
        </w:tc>
        <w:tc>
          <w:tcPr>
            <w:tcW w:w="1836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ежемесячно авансом в первый рабочий день календарного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</w:t>
            </w:r>
            <w:r>
              <w:rPr>
                <w:sz w:val="20"/>
                <w:szCs w:val="20"/>
                <w:lang w:eastAsia="en-US"/>
              </w:rPr>
              <w:t xml:space="preserve"> Сервису</w:t>
            </w:r>
            <w:r>
              <w:rPr>
                <w:sz w:val="20"/>
                <w:szCs w:val="20"/>
              </w:rPr>
              <w:t xml:space="preserve">.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spacing w:before="12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подключении Сервиса до 15-го числа календарного месяца комиссия за текущий месяц взимается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в размере 100%. При подключении Сервиса с 15-го числа календарного месяца и позднее, комиссия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за текущий месяц взимается в размере 50% от расчетной в</w:t>
            </w:r>
            <w:r>
              <w:rPr>
                <w:sz w:val="20"/>
                <w:szCs w:val="20"/>
                <w:lang w:eastAsia="en-US"/>
              </w:rPr>
              <w:t xml:space="preserve">еличины. </w:t>
            </w:r>
          </w:p>
          <w:p>
            <w:pPr>
              <w:tabs>
                <w:tab w:val="left" w:pos="708"/>
                <w:tab w:val="center" w:pos="4677"/>
                <w:tab w:val="right" w:pos="9355"/>
              </w:tabs>
              <w:spacing w:before="12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независимо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от наличия операций по счету Клиента, подключенного к Сервису (не пересчитывается/ не возмещается при отсутствии операций по счету).</w:t>
            </w:r>
          </w:p>
        </w:tc>
      </w:tr>
    </w:tbl>
    <w:p>
      <w:pPr>
        <w:keepLines/>
        <w:rPr>
          <w:i/>
          <w:sz w:val="16"/>
          <w:szCs w:val="16"/>
        </w:rPr>
      </w:pPr>
    </w:p>
    <w:p>
      <w:pPr>
        <w:rPr>
          <w:bCs/>
          <w:i/>
          <w:iCs/>
          <w:sz w:val="16"/>
          <w:szCs w:val="16"/>
          <w:u w:val="single"/>
        </w:rPr>
      </w:pPr>
      <w:bookmarkStart w:id="16" w:name="_Toc421185900"/>
      <w:r>
        <w:rPr>
          <w:bCs/>
          <w:i/>
          <w:iCs/>
          <w:sz w:val="16"/>
          <w:szCs w:val="16"/>
          <w:u w:val="single"/>
        </w:rPr>
        <w:t xml:space="preserve">Примечание:</w:t>
      </w:r>
    </w:p>
    <w:p>
      <w:pPr>
        <w:spacing w:before="40"/>
        <w:jc w:val="both"/>
        <w:rPr>
          <w:bCs/>
          <w:i/>
          <w:iCs/>
          <w:color w:val="000000"/>
          <w:sz w:val="16"/>
          <w:szCs w:val="16"/>
        </w:rPr>
      </w:pPr>
      <w:r>
        <w:rPr>
          <w:bCs/>
          <w:i/>
          <w:sz w:val="16"/>
          <w:szCs w:val="16"/>
        </w:rPr>
        <w:t xml:space="preserve">Без взимания комиссии в Банке обслуживаются</w:t>
      </w:r>
      <w:r>
        <w:rPr>
          <w:bCs/>
          <w:i/>
          <w:iCs/>
          <w:color w:val="000000"/>
          <w:sz w:val="16"/>
          <w:szCs w:val="16"/>
        </w:rPr>
        <w:t xml:space="preserve">:</w:t>
      </w:r>
    </w:p>
    <w:p>
      <w:pPr>
        <w:tabs>
          <w:tab w:val="left" w:pos="1134"/>
        </w:tabs>
        <w:ind w:firstLine="709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отдельные счета головного исполнителя;</w:t>
      </w:r>
    </w:p>
    <w:p>
      <w:pPr>
        <w:tabs>
          <w:tab w:val="left" w:pos="1134"/>
        </w:tabs>
        <w:ind w:firstLine="709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отдельные счета исполнителя государственного оборонного заказа;</w:t>
      </w:r>
    </w:p>
    <w:p>
      <w:pPr>
        <w:tabs>
          <w:tab w:val="left" w:pos="1134"/>
        </w:tabs>
        <w:ind w:firstLine="709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</w:p>
    <w:p>
      <w:pPr>
        <w:tabs>
          <w:tab w:val="left" w:pos="1134"/>
        </w:tabs>
        <w:ind w:firstLine="709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специальные банковские счета для разм</w:t>
      </w:r>
      <w:r>
        <w:rPr>
          <w:bCs/>
          <w:i/>
          <w:sz w:val="16"/>
          <w:szCs w:val="16"/>
        </w:rPr>
        <w:t xml:space="preserve">ещения саморегулируемыми организациями средств компенсационного фонда возмещения вреда;</w:t>
      </w:r>
    </w:p>
    <w:p>
      <w:pPr>
        <w:tabs>
          <w:tab w:val="left" w:pos="1134"/>
        </w:tabs>
        <w:ind w:firstLine="709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</w:p>
    <w:p>
      <w:pPr>
        <w:tabs>
          <w:tab w:val="left" w:pos="1134"/>
        </w:tabs>
        <w:ind w:firstLine="709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публичные депозитные</w:t>
      </w:r>
      <w:r>
        <w:rPr>
          <w:bCs/>
          <w:i/>
          <w:sz w:val="16"/>
          <w:szCs w:val="16"/>
        </w:rPr>
        <w:t xml:space="preserve"> счета.</w:t>
      </w:r>
    </w:p>
    <w:p>
      <w:pPr>
        <w:tabs>
          <w:tab w:val="left" w:pos="284"/>
          <w:tab w:val="left" w:pos="1134"/>
        </w:tabs>
        <w:spacing w:before="40"/>
        <w:jc w:val="both"/>
        <w:rPr>
          <w:bCs/>
          <w:i/>
          <w:iCs/>
          <w:color w:val="000000"/>
          <w:sz w:val="16"/>
          <w:szCs w:val="16"/>
        </w:rPr>
      </w:pPr>
      <w:r>
        <w:rPr>
          <w:bCs/>
          <w:i/>
          <w:sz w:val="16"/>
          <w:szCs w:val="16"/>
        </w:rPr>
        <w:t xml:space="preserve">Применяется при предоставлении услуг, указанных в разделе 7 «Дистанционное банковское обслуживание (ДБО)» настоящих тарифов</w:t>
      </w:r>
      <w:r>
        <w:rPr>
          <w:bCs/>
          <w:i/>
          <w:iCs/>
          <w:color w:val="000000"/>
          <w:sz w:val="16"/>
          <w:szCs w:val="16"/>
        </w:rPr>
        <w:t xml:space="preserve">».</w:t>
      </w:r>
    </w:p>
    <w:p>
      <w:pPr>
        <w:tabs>
          <w:tab w:val="left" w:pos="284"/>
          <w:tab w:val="left" w:pos="1134"/>
        </w:tabs>
        <w:spacing w:before="40"/>
        <w:jc w:val="both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1.</w:t>
      </w:r>
      <w:r>
        <w:rPr>
          <w:bCs/>
          <w:i/>
          <w:iCs/>
          <w:sz w:val="16"/>
          <w:szCs w:val="16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</w:p>
    <w:p>
      <w:pPr>
        <w:tabs>
          <w:tab w:val="left" w:pos="284"/>
          <w:tab w:val="left" w:pos="1134"/>
        </w:tabs>
        <w:spacing w:before="40"/>
        <w:ind w:right="21"/>
        <w:jc w:val="both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2.</w:t>
      </w:r>
      <w:r>
        <w:rPr>
          <w:bCs/>
          <w:i/>
          <w:iCs/>
          <w:sz w:val="16"/>
          <w:szCs w:val="16"/>
        </w:rPr>
        <w:tab/>
        <w:t xml:space="preserve">Дис</w:t>
      </w:r>
      <w:r>
        <w:rPr>
          <w:bCs/>
          <w:i/>
          <w:iCs/>
          <w:sz w:val="16"/>
          <w:szCs w:val="16"/>
        </w:rPr>
        <w:t xml:space="preserve">танционное банковское о</w:t>
      </w:r>
      <w:r>
        <w:rPr>
          <w:bCs/>
          <w:i/>
          <w:iCs/>
          <w:color w:val="000000"/>
          <w:sz w:val="16"/>
          <w:szCs w:val="16"/>
        </w:rPr>
        <w:t xml:space="preserve">бслуживание </w:t>
      </w:r>
      <w:r>
        <w:rPr>
          <w:bCs/>
          <w:i/>
          <w:iCs/>
          <w:sz w:val="16"/>
          <w:szCs w:val="16"/>
        </w:rPr>
        <w:t xml:space="preserve">бюджетных учреждений/казенных учреждений/автономных учреждений, унитарных предприятий, основанных на праве хозяйственного ведения, и унитарных предприятий, основанных на праве оперативного управления, осуществляется беспл</w:t>
      </w:r>
      <w:r>
        <w:rPr>
          <w:bCs/>
          <w:i/>
          <w:iCs/>
          <w:sz w:val="16"/>
          <w:szCs w:val="16"/>
        </w:rPr>
        <w:t xml:space="preserve">атно</w:t>
      </w:r>
      <w:r>
        <w:rPr>
          <w:bCs/>
          <w:i/>
          <w:iCs/>
          <w:color w:val="000000"/>
          <w:sz w:val="16"/>
          <w:szCs w:val="16"/>
        </w:rPr>
        <w:t xml:space="preserve">. </w:t>
      </w:r>
      <w:r>
        <w:rPr>
          <w:bCs/>
          <w:i/>
          <w:sz w:val="16"/>
          <w:szCs w:val="16"/>
        </w:rPr>
        <w:t xml:space="preserve">Применяется при предоставлении услуг, указанных </w:t>
      </w:r>
      <w:r>
        <w:rPr>
          <w:bCs/>
          <w:i/>
          <w:sz w:val="16"/>
          <w:szCs w:val="16"/>
        </w:rPr>
        <w:br w:type="textWrapping" w:clear="all"/>
      </w:r>
      <w:r>
        <w:rPr>
          <w:bCs/>
          <w:i/>
          <w:sz w:val="16"/>
          <w:szCs w:val="16"/>
        </w:rPr>
        <w:t xml:space="preserve">в разделе 7 «Дистанционное банковское обслуживание (ДБО)» настоящих тарифов.</w:t>
      </w:r>
    </w:p>
    <w:p>
      <w:pPr>
        <w:tabs>
          <w:tab w:val="left" w:pos="284"/>
          <w:tab w:val="left" w:pos="1134"/>
        </w:tabs>
        <w:spacing w:before="40"/>
        <w:ind w:right="21"/>
        <w:jc w:val="both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3.</w:t>
      </w:r>
      <w:r>
        <w:rPr>
          <w:bCs/>
          <w:i/>
          <w:iCs/>
          <w:sz w:val="16"/>
          <w:szCs w:val="16"/>
        </w:rPr>
        <w:tab/>
        <w:t xml:space="preserve">В случае если на момент оказания услуги клиент не имеет счетов, открытых в АО «Россельхозбанк», с которых Банком может бы</w:t>
      </w:r>
      <w:r>
        <w:rPr>
          <w:bCs/>
          <w:i/>
          <w:iCs/>
          <w:sz w:val="16"/>
          <w:szCs w:val="16"/>
        </w:rPr>
        <w:t xml:space="preserve">ть удержана комиссия, клиент производит оплату комиссии безналичным переводом со своих счетов, открытых в других банках, в течение 5 рабочих дней с момента подачи в Банк соответствующего запроса/заявления.</w:t>
      </w:r>
    </w:p>
    <w:p>
      <w:pPr>
        <w:tabs>
          <w:tab w:val="left" w:pos="284"/>
          <w:tab w:val="left" w:pos="1134"/>
        </w:tabs>
        <w:jc w:val="both"/>
        <w:rPr>
          <w:bCs/>
          <w:i/>
          <w:iCs/>
          <w:sz w:val="16"/>
          <w:szCs w:val="16"/>
        </w:rPr>
      </w:pPr>
      <w:r>
        <w:rPr>
          <w:i/>
          <w:sz w:val="16"/>
          <w:szCs w:val="16"/>
        </w:rPr>
        <w:t xml:space="preserve">4. По операциям, совершаемым через «Мобильный банк»/«Мобильное приложение «Свой Бизнес Мобайл», установлены следующие лимиты:</w:t>
      </w:r>
    </w:p>
    <w:p>
      <w:pPr>
        <w:tabs>
          <w:tab w:val="left" w:pos="284"/>
          <w:tab w:val="left" w:pos="1134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лимит на единовременную операцию – 5 000 000 (Пять миллионов) рублей;</w:t>
      </w:r>
    </w:p>
    <w:p>
      <w:pPr>
        <w:tabs>
          <w:tab w:val="left" w:pos="284"/>
          <w:tab w:val="left" w:pos="1134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лимит на совершение операций в течение суток - 10 000 00</w:t>
      </w:r>
      <w:r>
        <w:rPr>
          <w:i/>
          <w:sz w:val="16"/>
          <w:szCs w:val="16"/>
        </w:rPr>
        <w:t xml:space="preserve">0 (Десять миллионов) рублей. Сутки – с 0:00 до 24:00 по московскому времени.</w:t>
      </w:r>
    </w:p>
    <w:p>
      <w:pPr>
        <w:tabs>
          <w:tab w:val="left" w:pos="284"/>
          <w:tab w:val="left" w:pos="1134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 проведении операций в иностранной валюте сумма операции определяется по курсу Банка России на дату проведения операции. </w:t>
      </w:r>
    </w:p>
    <w:p>
      <w:pPr>
        <w:tabs>
          <w:tab w:val="left" w:pos="284"/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Лимит на единовременную операцию и лимит на совершение</w:t>
      </w:r>
      <w:r>
        <w:rPr>
          <w:i/>
          <w:sz w:val="16"/>
          <w:szCs w:val="16"/>
        </w:rPr>
        <w:t xml:space="preserve">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</w:p>
    <w:p>
      <w:pPr>
        <w:tabs>
          <w:tab w:val="left" w:pos="284"/>
          <w:tab w:val="left" w:pos="1134"/>
        </w:tabs>
        <w:jc w:val="both"/>
        <w:rPr>
          <w:i/>
          <w:sz w:val="16"/>
          <w:szCs w:val="16"/>
        </w:rPr>
      </w:pPr>
    </w:p>
    <w:p>
      <w:pPr>
        <w:pStyle w:val="1112111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Под обязательствами перед АО «Россельхозбанк» по кредитным сделкам понимаются:</w:t>
      </w:r>
    </w:p>
    <w:p>
      <w:pPr>
        <w:pStyle w:val="1112111"/>
        <w:ind w:firstLine="70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неисполненные обязательс</w:t>
      </w:r>
      <w:r>
        <w:rPr>
          <w:i/>
          <w:sz w:val="16"/>
          <w:szCs w:val="16"/>
        </w:rPr>
        <w:t xml:space="preserve">тва по кредитным договорам, договорам об открытии кредитной линии (в том числе прекратившим свое действие);</w:t>
      </w:r>
    </w:p>
    <w:p>
      <w:pPr>
        <w:tabs>
          <w:tab w:val="left" w:pos="284"/>
          <w:tab w:val="left" w:pos="1134"/>
        </w:tabs>
        <w:jc w:val="both"/>
        <w:rPr>
          <w:bCs/>
          <w:i/>
          <w:iCs/>
          <w:sz w:val="16"/>
          <w:szCs w:val="16"/>
        </w:rPr>
      </w:pPr>
      <w:r>
        <w:rPr>
          <w:i/>
          <w:sz w:val="16"/>
          <w:szCs w:val="16"/>
        </w:rPr>
        <w:t xml:space="preserve">- обязательства по договорам и соглашениям, заключенным в обеспечение обязательств перед АО «Россельхозбанк» по вышеуказанным договорам, в том числе</w:t>
      </w:r>
      <w:r>
        <w:rPr>
          <w:i/>
          <w:sz w:val="16"/>
          <w:szCs w:val="16"/>
        </w:rPr>
        <w:t xml:space="preserve"> по договорам залога, договорам поручительства (в том числе прекратившим свое действие).</w:t>
      </w:r>
    </w:p>
    <w:p>
      <w:pPr>
        <w:pStyle w:val="4"/>
      </w:pPr>
    </w:p>
    <w:p>
      <w:pPr>
        <w:pStyle w:val="4"/>
      </w:pPr>
      <w:r>
        <w:t xml:space="preserve">8. Хранение ценностей клиентов в хранилище ценностей Банка</w:t>
      </w:r>
      <w:bookmarkEnd w:id="16"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(с учетом НДС)</w:t>
      </w:r>
    </w:p>
    <w:p/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32"/>
        <w:gridCol w:w="3880"/>
        <w:gridCol w:w="1940"/>
        <w:gridCol w:w="3463"/>
      </w:tblGrid>
      <w:tr>
        <w:trPr>
          <w:tblHeader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</w:p>
        </w:tc>
        <w:tc>
          <w:tcPr>
            <w:tcW w:w="1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мест (мешков)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Плата в долл. США в месяц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хранения</w:t>
            </w:r>
          </w:p>
        </w:tc>
      </w:tr>
      <w:t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8.1.</w:t>
            </w:r>
          </w:p>
        </w:tc>
        <w:tc>
          <w:tcPr>
            <w:tcW w:w="1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 10 мест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 долл. США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</w:t>
            </w:r>
          </w:p>
        </w:tc>
      </w:tr>
      <w:t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8.2.</w:t>
            </w:r>
          </w:p>
        </w:tc>
        <w:tc>
          <w:tcPr>
            <w:tcW w:w="1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 11 мест до 20 мест 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 долл. США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 </w:t>
            </w:r>
          </w:p>
        </w:tc>
      </w:tr>
      <w:t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8.3.</w:t>
            </w:r>
          </w:p>
        </w:tc>
        <w:tc>
          <w:tcPr>
            <w:tcW w:w="1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 21 места до 30 мест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 долл. США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</w:t>
            </w:r>
          </w:p>
        </w:tc>
      </w:tr>
      <w:t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8.4.</w:t>
            </w:r>
          </w:p>
        </w:tc>
        <w:tc>
          <w:tcPr>
            <w:tcW w:w="1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 31 места до 40 мест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205 долл. США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</w:t>
            </w:r>
          </w:p>
        </w:tc>
      </w:tr>
    </w:tbl>
    <w:p>
      <w:pPr>
        <w:rPr>
          <w:b/>
          <w:sz w:val="22"/>
          <w:szCs w:val="22"/>
        </w:rPr>
      </w:pPr>
    </w:p>
    <w:p>
      <w:pPr>
        <w:pStyle w:val="4"/>
      </w:pPr>
      <w:bookmarkStart w:id="17" w:name="_Toc421185901"/>
    </w:p>
    <w:p>
      <w:pPr>
        <w:pStyle w:val="4"/>
      </w:pPr>
    </w:p>
    <w:p>
      <w:pPr>
        <w:pStyle w:val="4"/>
      </w:pPr>
      <w:r>
        <w:t xml:space="preserve">9. Операции по предоставлению клиентам в аренду индивидуальных сейфовых ячеек</w:t>
      </w:r>
      <w:bookmarkEnd w:id="17"/>
    </w:p>
    <w:p>
      <w:pPr>
        <w:rPr>
          <w:sz w:val="22"/>
          <w:szCs w:val="22"/>
        </w:rPr>
      </w:pP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32"/>
        <w:gridCol w:w="3842"/>
        <w:gridCol w:w="1978"/>
        <w:gridCol w:w="3463"/>
      </w:tblGrid>
      <w:tr>
        <w:trPr>
          <w:cantSplit/>
          <w:tblHeader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</w:p>
        </w:tc>
      </w:tr>
      <w:tr>
        <w:trPr>
          <w:cantSplit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в аренду индивидуальных сейфовых ячеек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НДС (дополнительно не взимается). </w:t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</w:p>
          <w:p>
            <w:pPr>
              <w:rPr>
                <w:sz w:val="20"/>
                <w:szCs w:val="20"/>
              </w:rPr>
            </w:pPr>
          </w:p>
        </w:tc>
      </w:tr>
      <w:tr>
        <w:trPr>
          <w:cantSplit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9.1.1.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 xml:space="preserve">от </w:t>
            </w:r>
            <w:r>
              <w:rPr>
                <w:b/>
                <w:bCs/>
                <w:sz w:val="20"/>
                <w:szCs w:val="20"/>
              </w:rPr>
              <w:t xml:space="preserve">50 *310*435 ( мм)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</w:p>
          <w:p>
            <w:pPr>
              <w:spacing w:after="12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330 руб.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530 руб.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880 руб.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руб. в день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руб. в день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руб. в день</w:t>
            </w:r>
          </w:p>
        </w:tc>
        <w:tc>
          <w:tcPr>
            <w:tcW w:w="1712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cantSplit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9.1.2.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от </w:t>
            </w:r>
            <w:r>
              <w:rPr>
                <w:b/>
                <w:bCs/>
                <w:sz w:val="20"/>
                <w:szCs w:val="20"/>
              </w:rPr>
              <w:t xml:space="preserve">75*310*435 (мм)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</w:p>
          <w:p>
            <w:pPr>
              <w:spacing w:after="12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 руб.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руб.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950 руб.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руб. в день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руб. в день</w:t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руб. в день</w:t>
            </w:r>
          </w:p>
        </w:tc>
        <w:tc>
          <w:tcPr>
            <w:tcW w:w="1712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cantSplit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9.1.3.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от </w:t>
            </w:r>
            <w:r>
              <w:rPr>
                <w:b/>
                <w:bCs/>
                <w:sz w:val="20"/>
                <w:szCs w:val="20"/>
              </w:rPr>
              <w:t xml:space="preserve">125*310*435 (мм)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</w:p>
          <w:p>
            <w:pPr>
              <w:spacing w:after="12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370 руб.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680 руб.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1100 руб.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 руб. в день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руб. в день</w:t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руб. в день</w:t>
            </w:r>
          </w:p>
        </w:tc>
        <w:tc>
          <w:tcPr>
            <w:tcW w:w="1712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9.1.4.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от </w:t>
            </w:r>
            <w:r>
              <w:rPr>
                <w:b/>
                <w:bCs/>
                <w:sz w:val="20"/>
                <w:szCs w:val="20"/>
              </w:rPr>
              <w:t xml:space="preserve">175*310*435  (мм)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</w:p>
          <w:p>
            <w:pPr>
              <w:spacing w:after="12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460 руб.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860 руб.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1600 руб.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 руб. в день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руб. в день</w:t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 руб. в день</w:t>
            </w:r>
          </w:p>
        </w:tc>
        <w:tc>
          <w:tcPr>
            <w:tcW w:w="1712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9.1.5.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от </w:t>
            </w:r>
            <w:r>
              <w:rPr>
                <w:b/>
                <w:bCs/>
                <w:sz w:val="20"/>
                <w:szCs w:val="20"/>
              </w:rPr>
              <w:t xml:space="preserve">300*310*435 (мм)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</w:p>
          <w:p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660 руб.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1100 руб.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2100 руб.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 руб. в день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руб. в день</w:t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 руб. в день</w:t>
            </w:r>
          </w:p>
        </w:tc>
        <w:tc>
          <w:tcPr>
            <w:tcW w:w="17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9.1.6.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от </w:t>
            </w:r>
            <w:r>
              <w:rPr>
                <w:b/>
                <w:bCs/>
                <w:sz w:val="20"/>
                <w:szCs w:val="20"/>
              </w:rPr>
              <w:t xml:space="preserve">600*310*435 (мм)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</w:p>
          <w:p>
            <w:pPr>
              <w:spacing w:after="12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730 руб.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1600 руб.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2600 руб.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руб. в день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 руб. в день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 руб. в день</w:t>
            </w:r>
          </w:p>
        </w:tc>
        <w:tc>
          <w:tcPr>
            <w:tcW w:w="17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/>
              <w:widowControl w:val="off"/>
              <w:rPr>
                <w:sz w:val="20"/>
                <w:szCs w:val="20"/>
              </w:rPr>
            </w:pPr>
          </w:p>
        </w:tc>
      </w:tr>
      <w:t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9.2.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единовременного доступа к сейфовой ячейке одновременно с клиентом (его представителем) лица, его сопровождающего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210 руб. </w:t>
            </w:r>
            <w:r>
              <w:rPr>
                <w:color w:val="000000"/>
                <w:sz w:val="20"/>
                <w:szCs w:val="20"/>
              </w:rPr>
              <w:br w:type="textWrapping" w:clear="all"/>
            </w:r>
            <w:r>
              <w:rPr>
                <w:color w:val="000000"/>
                <w:sz w:val="20"/>
                <w:szCs w:val="20"/>
              </w:rPr>
              <w:t xml:space="preserve">за каждое посещение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НДС и уплачивается в момент предоставления услуги</w:t>
            </w:r>
          </w:p>
        </w:tc>
      </w:tr>
      <w:t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9.3.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Неустойка (штраф) за утрату</w:t>
            </w:r>
            <w:r>
              <w:rPr>
                <w:sz w:val="20"/>
                <w:szCs w:val="20"/>
              </w:rPr>
              <w:t xml:space="preserve">/порчу </w:t>
            </w:r>
            <w:r>
              <w:rPr>
                <w:sz w:val="20"/>
                <w:szCs w:val="20"/>
              </w:rPr>
              <w:t xml:space="preserve">ключей, порчу замка сейфовой ячейки и/или сейфовой ячейки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6000 руб.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Сумма неустойки уплачивается в </w:t>
            </w:r>
            <w:r>
              <w:rPr>
                <w:bCs/>
                <w:sz w:val="20"/>
                <w:szCs w:val="20"/>
              </w:rPr>
              <w:t xml:space="preserve">день получения Банком уведомления Клиента об утрате/порче ключей, порче замка сейфовой ячейки и/или сейфовой ячейки</w:t>
            </w:r>
          </w:p>
        </w:tc>
      </w:tr>
      <w:t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9.4.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Неустойка (штраф) за несвоев</w:t>
            </w:r>
            <w:r>
              <w:rPr>
                <w:sz w:val="20"/>
                <w:szCs w:val="20"/>
              </w:rPr>
              <w:t xml:space="preserve">ременный возврат ключей от сейфовой ячейки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500 руб.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Сумма неустойки уплачивается в день возврата ключа</w:t>
            </w:r>
          </w:p>
        </w:tc>
      </w:tr>
      <w:t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9.5.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155 руб. </w:t>
            </w:r>
            <w:r>
              <w:rPr>
                <w:color w:val="000000"/>
                <w:sz w:val="20"/>
                <w:szCs w:val="20"/>
              </w:rPr>
              <w:br w:type="textWrapping" w:clear="all"/>
            </w:r>
            <w:r>
              <w:rPr>
                <w:color w:val="000000"/>
                <w:sz w:val="20"/>
                <w:szCs w:val="20"/>
              </w:rPr>
              <w:t xml:space="preserve">за единицу банковской техники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НДС и уплачива</w:t>
            </w:r>
            <w:r>
              <w:rPr>
                <w:bCs/>
                <w:sz w:val="20"/>
                <w:szCs w:val="20"/>
              </w:rPr>
              <w:t xml:space="preserve">ется в момент предоставления услуги</w:t>
            </w:r>
          </w:p>
        </w:tc>
      </w:tr>
    </w:tbl>
    <w:p/>
    <w:p>
      <w:pPr>
        <w:pStyle w:val="1"/>
        <w:jc w:val="center"/>
        <w:rPr>
          <w:bCs w:val="0"/>
          <w:sz w:val="22"/>
          <w:szCs w:val="22"/>
        </w:rPr>
      </w:pPr>
      <w:bookmarkStart w:id="18" w:name="_Toc3391774"/>
      <w:bookmarkStart w:id="19" w:name="_Toc3391835"/>
      <w:r>
        <w:rPr>
          <w:bCs w:val="0"/>
          <w:sz w:val="22"/>
          <w:szCs w:val="22"/>
        </w:rPr>
        <w:t xml:space="preserve">10. Услуги инкассации</w:t>
      </w:r>
      <w:bookmarkEnd w:id="18"/>
      <w:bookmarkEnd w:id="19"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42"/>
        <w:gridCol w:w="3614"/>
        <w:gridCol w:w="123"/>
        <w:gridCol w:w="2100"/>
        <w:gridCol w:w="281"/>
        <w:gridCol w:w="2919"/>
        <w:gridCol w:w="136"/>
      </w:tblGrid>
      <w:tr>
        <w:trPr>
          <w:cantSplit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п/п</w:t>
            </w:r>
          </w:p>
        </w:tc>
        <w:tc>
          <w:tcPr>
            <w:tcW w:w="1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</w:p>
        </w:tc>
        <w:tc>
          <w:tcPr>
            <w:tcW w:w="10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</w:p>
        </w:tc>
        <w:tc>
          <w:tcPr>
            <w:tcW w:w="16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</w:p>
        </w:tc>
      </w:tr>
      <w:tr>
        <w:trPr>
          <w:gridAfter w:val="1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ind w:left="-51" w:firstLine="51"/>
              <w:jc w:val="center"/>
              <w:rPr>
                <w:bCs/>
                <w:sz w:val="20"/>
                <w:szCs w:val="20"/>
              </w:rPr>
            </w:pPr>
            <w:bookmarkStart w:id="20" w:name="_Toc421185903"/>
            <w:r>
              <w:rPr>
                <w:bCs/>
                <w:sz w:val="20"/>
                <w:szCs w:val="20"/>
              </w:rPr>
              <w:t xml:space="preserve">10.1.</w:t>
            </w:r>
          </w:p>
        </w:tc>
        <w:tc>
          <w:tcPr>
            <w:tcW w:w="446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ind w:left="-52" w:firstLine="5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Инкассация по договору с АО «Россельхозбанк»</w:t>
            </w:r>
          </w:p>
        </w:tc>
      </w:tr>
      <w:tr>
        <w:trPr>
          <w:gridAfter w:val="1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ind w:left="-51" w:firstLine="5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</w:t>
            </w:r>
            <w:r>
              <w:rPr>
                <w:bCs/>
                <w:sz w:val="20"/>
                <w:szCs w:val="20"/>
                <w:lang w:val="en-US"/>
              </w:rPr>
              <w:t xml:space="preserve">1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  <w:lang w:val="en-US"/>
              </w:rPr>
              <w:t xml:space="preserve">1</w:t>
            </w:r>
            <w:r>
              <w:rPr>
                <w:bCs/>
                <w:sz w:val="20"/>
                <w:szCs w:val="20"/>
              </w:rPr>
              <w:t xml:space="preserve">.</w:t>
            </w:r>
          </w:p>
        </w:tc>
        <w:tc>
          <w:tcPr>
            <w:tcW w:w="1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ind w:left="-51" w:firstLine="5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Инкассация денежной наличности (рубли и иностранная валюта), в том числе внесенной через информационноплатежные терминалы:</w:t>
            </w:r>
          </w:p>
          <w:p>
            <w:pPr>
              <w:spacing w:before="40"/>
              <w:ind w:left="17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с доставкой в подразделение Банка*;</w:t>
            </w:r>
          </w:p>
          <w:p>
            <w:pPr>
              <w:spacing w:before="40" w:after="40"/>
              <w:ind w:left="34" w:hanging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с доставкой в другую кредитную организацию</w:t>
            </w:r>
          </w:p>
        </w:tc>
        <w:tc>
          <w:tcPr>
            <w:tcW w:w="11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 0,15%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суммы </w:t>
            </w:r>
          </w:p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 600 000,00** руб. (вклю</w:t>
            </w:r>
            <w:r>
              <w:rPr>
                <w:sz w:val="20"/>
                <w:szCs w:val="20"/>
              </w:rPr>
              <w:t xml:space="preserve">чительно),</w:t>
            </w:r>
          </w:p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 360 руб.;</w:t>
            </w:r>
          </w:p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 0,10%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 600 000,01** руб. до 5 000 000,00* руб. (включительно); </w:t>
            </w:r>
          </w:p>
          <w:p>
            <w:pPr>
              <w:ind w:left="-51" w:firstLine="5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 0,05%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суммы с 5 000 000,01** руб. и выше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от суммы перевозимой денежной наличности за один заезд*** в один объект инкассации****. </w:t>
            </w:r>
          </w:p>
          <w:p>
            <w:pPr>
              <w:spacing w:before="4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Комиссия включает НДС.</w:t>
            </w:r>
          </w:p>
          <w:p>
            <w:pPr>
              <w:spacing w:before="40"/>
              <w:ind w:left="-52"/>
              <w:jc w:val="both"/>
              <w:rPr>
                <w:bCs/>
                <w:sz w:val="20"/>
                <w:szCs w:val="20"/>
              </w:rPr>
            </w:pPr>
          </w:p>
        </w:tc>
      </w:tr>
      <w:tr>
        <w:trPr>
          <w:gridAfter w:val="1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ind w:left="-51" w:firstLine="5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10.1.2.</w:t>
            </w:r>
          </w:p>
        </w:tc>
        <w:tc>
          <w:tcPr>
            <w:tcW w:w="1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Прием, пересчет денежной наличности, поступившей в инкассаторских сумках или других средствах для упаковки денежной</w:t>
            </w:r>
            <w:r>
              <w:rPr>
                <w:bCs/>
                <w:sz w:val="20"/>
                <w:szCs w:val="20"/>
              </w:rPr>
              <w:t xml:space="preserve"> наличности, доставленных инкассаторскими работниками АО «Россельхозбанк», с переводом денежных средств на счет клиента, открытый в другой кредитной организации</w:t>
            </w:r>
          </w:p>
        </w:tc>
        <w:tc>
          <w:tcPr>
            <w:tcW w:w="11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 0,2% от суммы,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 руб.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от суммы денежной наличности, поступившей по одному сопроводительному документу».</w:t>
            </w:r>
          </w:p>
        </w:tc>
      </w:tr>
      <w:tr>
        <w:trPr>
          <w:gridAfter w:val="1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ind w:left="-51" w:firstLine="5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10.2.</w:t>
            </w:r>
          </w:p>
        </w:tc>
        <w:tc>
          <w:tcPr>
            <w:tcW w:w="1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ind w:left="34" w:hanging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Доставка денежной наличности Банка России</w:t>
            </w:r>
          </w:p>
        </w:tc>
        <w:tc>
          <w:tcPr>
            <w:tcW w:w="11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 122</w:t>
            </w:r>
            <w:r>
              <w:rPr>
                <w:sz w:val="20"/>
                <w:szCs w:val="20"/>
                <w:lang w:val="en-US"/>
              </w:rPr>
              <w:t xml:space="preserve">0 </w:t>
            </w:r>
            <w:r>
              <w:rPr>
                <w:sz w:val="20"/>
                <w:szCs w:val="20"/>
              </w:rPr>
              <w:t xml:space="preserve">руб.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один заезд*** в один объект инкассации****.</w:t>
            </w:r>
          </w:p>
          <w:p>
            <w:pPr>
              <w:spacing w:before="40" w:after="40"/>
              <w:ind w:left="-52" w:firstLine="5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включает НДС.</w:t>
            </w:r>
          </w:p>
        </w:tc>
      </w:tr>
      <w:tr>
        <w:trPr>
          <w:gridAfter w:val="1"/>
          <w:trHeight w:val="70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ind w:left="-51" w:firstLine="5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10.3.</w:t>
            </w:r>
          </w:p>
        </w:tc>
        <w:tc>
          <w:tcPr>
            <w:tcW w:w="1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Доставка монеты/ банкнот Банка России в обмен на банкноты/монеты Банка России другого номинала</w:t>
            </w:r>
          </w:p>
        </w:tc>
        <w:tc>
          <w:tcPr>
            <w:tcW w:w="11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 1220 руб.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один заезд*** в один объект инкассации****.</w:t>
            </w:r>
          </w:p>
          <w:p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включает НДС.</w:t>
            </w:r>
          </w:p>
        </w:tc>
      </w:tr>
    </w:tbl>
    <w:p>
      <w:pPr>
        <w:jc w:val="both"/>
        <w:rPr>
          <w:bCs/>
          <w:sz w:val="20"/>
          <w:szCs w:val="20"/>
          <w:u w:val="single"/>
        </w:rPr>
      </w:pPr>
    </w:p>
    <w:p>
      <w:pPr>
        <w:jc w:val="both"/>
        <w:outlineLvl w:val="0"/>
        <w:rPr>
          <w:bCs/>
          <w:sz w:val="20"/>
          <w:szCs w:val="20"/>
        </w:rPr>
      </w:pPr>
      <w:bookmarkStart w:id="21" w:name="_Toc3391102"/>
      <w:bookmarkStart w:id="22" w:name="_Toc3391775"/>
      <w:bookmarkStart w:id="23" w:name="_Toc3391836"/>
      <w:r>
        <w:rPr>
          <w:bCs/>
          <w:sz w:val="20"/>
          <w:szCs w:val="20"/>
          <w:u w:val="single"/>
        </w:rPr>
        <w:t xml:space="preserve">Примечание</w:t>
      </w:r>
      <w:r>
        <w:rPr>
          <w:bCs/>
          <w:sz w:val="20"/>
          <w:szCs w:val="20"/>
        </w:rPr>
        <w:t xml:space="preserve">:</w:t>
      </w:r>
      <w:bookmarkEnd w:id="20"/>
      <w:bookmarkEnd w:id="21"/>
      <w:bookmarkEnd w:id="22"/>
    </w:p>
    <w:p>
      <w:pPr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* </w:t>
      </w:r>
      <w:r>
        <w:rPr>
          <w:bCs/>
          <w:sz w:val="20"/>
          <w:szCs w:val="20"/>
        </w:rPr>
        <w:t xml:space="preserve"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внутренние структурные подразделения.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 Пороговые значения сумм ком</w:t>
      </w:r>
      <w:r>
        <w:rPr>
          <w:sz w:val="20"/>
          <w:szCs w:val="20"/>
        </w:rPr>
        <w:t xml:space="preserve">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</w:p>
    <w:p>
      <w:pPr>
        <w:tabs>
          <w:tab w:val="left" w:pos="127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*** </w:t>
      </w:r>
      <w:r>
        <w:rPr>
          <w:b/>
          <w:sz w:val="20"/>
          <w:szCs w:val="20"/>
        </w:rPr>
        <w:t xml:space="preserve">Заезд</w:t>
      </w:r>
      <w:r>
        <w:rPr>
          <w:sz w:val="20"/>
          <w:szCs w:val="20"/>
        </w:rPr>
        <w:t xml:space="preserve">  прибытие бригады инкассаторских работников в здание клиента/помещение клиента (в здании)</w:t>
      </w:r>
      <w:r>
        <w:rPr>
          <w:color w:val="000000"/>
          <w:sz w:val="20"/>
          <w:szCs w:val="20"/>
        </w:rPr>
        <w:t xml:space="preserve"> на территор</w:t>
      </w:r>
      <w:r>
        <w:rPr>
          <w:color w:val="000000"/>
          <w:sz w:val="20"/>
          <w:szCs w:val="20"/>
        </w:rPr>
        <w:t xml:space="preserve">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информационноплатежного терминала.</w:t>
      </w:r>
    </w:p>
    <w:p>
      <w:pPr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**** </w:t>
      </w:r>
      <w:r>
        <w:rPr>
          <w:b/>
          <w:sz w:val="20"/>
          <w:szCs w:val="20"/>
        </w:rPr>
        <w:t xml:space="preserve">Объект инкассации</w:t>
      </w:r>
      <w:r>
        <w:rPr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здание клиента/помещение клиента (в здании) на территор</w:t>
      </w:r>
      <w:r>
        <w:rPr>
          <w:color w:val="000000"/>
          <w:sz w:val="20"/>
          <w:szCs w:val="20"/>
        </w:rPr>
        <w:t xml:space="preserve">ии которого осуществляется прием или передача денежной наличности между инкассаторскими работниками и клиентом/расположен информационноплатежный терминал.</w:t>
      </w:r>
    </w:p>
    <w:p>
      <w:pPr>
        <w:jc w:val="both"/>
        <w:rPr>
          <w:color w:val="000000"/>
          <w:sz w:val="20"/>
          <w:szCs w:val="20"/>
        </w:rPr>
      </w:pPr>
    </w:p>
    <w:p>
      <w:pPr>
        <w:pStyle w:val="4"/>
      </w:pPr>
    </w:p>
    <w:p>
      <w:pPr>
        <w:pStyle w:val="4"/>
      </w:pPr>
      <w:r>
        <w:t xml:space="preserve">11. Операции по покупкепродаже иностранной валюты</w:t>
      </w:r>
      <w:bookmarkEnd w:id="23"/>
    </w:p>
    <w:p/>
    <w:tbl>
      <w:tblPr>
        <w:tblW w:w="488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033"/>
        <w:gridCol w:w="1837"/>
        <w:gridCol w:w="987"/>
        <w:gridCol w:w="4133"/>
      </w:tblGrid>
      <w:tr>
        <w:trPr>
          <w:tblHeader/>
        </w:trPr>
        <w:tc>
          <w:tcPr>
            <w:tcW w:w="4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</w:p>
        </w:tc>
        <w:tc>
          <w:tcPr>
            <w:tcW w:w="10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</w:p>
        </w:tc>
        <w:tc>
          <w:tcPr>
            <w:tcW w:w="9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исполнения</w:t>
            </w:r>
          </w:p>
        </w:tc>
        <w:tc>
          <w:tcPr>
            <w:tcW w:w="2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(в % от суммы операции)</w:t>
            </w:r>
          </w:p>
        </w:tc>
      </w:tr>
      <w:tr>
        <w:trPr>
          <w:tblHeader/>
        </w:trPr>
        <w:tc>
          <w:tcPr>
            <w:tcW w:w="4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операции</w:t>
            </w:r>
          </w:p>
        </w:tc>
        <w:tc>
          <w:tcPr>
            <w:tcW w:w="2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ставка</w:t>
            </w:r>
          </w:p>
        </w:tc>
      </w:tr>
      <w:t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 Продажа иностранной валюты клиентом</w:t>
            </w:r>
          </w:p>
        </w:tc>
      </w:tr>
      <w:tr>
        <w:tc>
          <w:tcPr>
            <w:tcW w:w="4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11.1.1.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непосредственно Банку иностранной валюты по курсу Банка России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 России, действующий на дату подачи клиентом распоряжения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</w:p>
        </w:tc>
      </w:tr>
      <w:tr>
        <w:tc>
          <w:tcPr>
            <w:tcW w:w="4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распоряжений, предоставленных клиентом. Срок подачи распоряжений  до 16.00 ч</w:t>
            </w:r>
            <w:r>
              <w:rPr>
                <w:sz w:val="20"/>
                <w:szCs w:val="20"/>
              </w:rPr>
              <w:t xml:space="preserve">асов (по пятницам и в предпраздничные дни время подачи распоряжений уменьшается на соответствующее сокращение рабочего времени Банка). Распоряжения, предоставленные клиентами позже указанного срока, к исполнению Банком не принимаются. Списание средств со с</w:t>
            </w:r>
            <w:r>
              <w:rPr>
                <w:sz w:val="20"/>
                <w:szCs w:val="20"/>
              </w:rPr>
              <w:t xml:space="preserve">чета клиента и зачисление средств на счет клиента осуществляется Банком на основании распоряжения в день подачи клиентом распоряжения</w:t>
            </w:r>
          </w:p>
        </w:tc>
      </w:tr>
      <w:tr>
        <w:tc>
          <w:tcPr>
            <w:tcW w:w="45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11.1.2.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Банка² ³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</w:tr>
      <w:tr>
        <w:tc>
          <w:tcPr>
            <w:tcW w:w="454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иностранной валюты непосредственно Банку</w:t>
            </w:r>
          </w:p>
        </w:tc>
      </w:tr>
      <w:tr>
        <w:tc>
          <w:tcPr>
            <w:tcW w:w="45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распоряжений, предоставленных клиентом. Срок подачи распоряжений  до 16.00 часов (по пятницам и в предпраздничные дни время подачи распоряжений уменьшается на соответствующее сокращение рабочего времени Банка). Р</w:t>
            </w:r>
            <w:r>
              <w:rPr>
                <w:sz w:val="20"/>
                <w:szCs w:val="20"/>
              </w:rPr>
              <w:t xml:space="preserve">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</w:t>
            </w:r>
          </w:p>
        </w:tc>
      </w:tr>
      <w:tr>
        <w:tc>
          <w:tcPr>
            <w:tcW w:w="24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>
              <w:rPr>
                <w:b/>
                <w:sz w:val="20"/>
                <w:szCs w:val="20"/>
              </w:rPr>
              <w:t xml:space="preserve">1.2. Покупка иностранной валюты клиентом за российские рубли</w:t>
            </w:r>
          </w:p>
        </w:tc>
        <w:tc>
          <w:tcPr>
            <w:tcW w:w="2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* Операции по обязательной продаже части валютной выручки на внутреннем валютном рынке Российской Федерации осуществляются Банком по правилам п. 11.1 настоящих Тарифов с учетом требований нормати</w:t>
            </w:r>
            <w:r>
              <w:rPr>
                <w:i/>
                <w:sz w:val="16"/>
                <w:szCs w:val="16"/>
              </w:rPr>
              <w:t xml:space="preserve">вных документов ЦБ РФ.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</w:p>
        </w:tc>
      </w:tr>
      <w:tr>
        <w:tc>
          <w:tcPr>
            <w:tcW w:w="4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11.2.1.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непосредственно у Банка иностранной валюты по курсу Банка России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 России, действующий на дату подачи клиентом заявки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</w:p>
        </w:tc>
      </w:tr>
      <w:tr>
        <w:tc>
          <w:tcPr>
            <w:tcW w:w="4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непосредственно у Банка иностранной валюты по курсу Банка России</w:t>
            </w:r>
          </w:p>
        </w:tc>
      </w:tr>
      <w:tr>
        <w:tc>
          <w:tcPr>
            <w:tcW w:w="4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11.2.2.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заявки, предоставленной клиентом. Срок подачи заявки  до 16.00 часов (по пятницам и в предпраздничные дни время подачи заявки уменьшается на соответствующее сокращение рабочего времени Банка). Заявки, предоставле</w:t>
            </w:r>
            <w:r>
              <w:rPr>
                <w:sz w:val="20"/>
                <w:szCs w:val="20"/>
              </w:rPr>
              <w:t xml:space="preserve">нные клиентами позже указанного срока, к исполнению Банком не принимаются. Списание средств со счета клиента и зачисление средств </w:t>
            </w:r>
            <w:r>
              <w:rPr>
                <w:sz w:val="20"/>
                <w:szCs w:val="20"/>
              </w:rPr>
              <w:t xml:space="preserve">на счет клиента осуществляется Банком на основании заявки в день подачи клиентом заявки.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Банка² ³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</w:tr>
      <w:tr>
        <w:tc>
          <w:tcPr>
            <w:tcW w:w="4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непосредственно у Банка иностранной валюты по курсу Банка</w:t>
            </w:r>
          </w:p>
        </w:tc>
      </w:tr>
      <w:t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заявки, предоставленной клиентом. Срок подачи заявки  до 16.00 часов (по пятницам и в предпраздничные дни время подачи заявки уменьшается на соо</w:t>
            </w:r>
            <w:r>
              <w:rPr>
                <w:sz w:val="20"/>
                <w:szCs w:val="20"/>
              </w:rPr>
              <w:t xml:space="preserve">тветствующее сокращение рабочего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</w:t>
            </w:r>
            <w:r>
              <w:rPr>
                <w:sz w:val="20"/>
                <w:szCs w:val="20"/>
              </w:rPr>
              <w:t xml:space="preserve">в день подачи клиентом заявки.</w:t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Примечания:</w:t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 Покупка и продажа валюты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 Банк имеет право изменять Курс(ы) Банка и/или размер расчетной комиссии в течение дня. </w:t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 При совершении Банком операций, указанных в п.п. 11.1.1, 11.1.2, 11.2.1 и 11.2.2, Курс Банка и/или размер расчетной комиссии, действующий(ие) на дату и время соверш</w:t>
      </w:r>
      <w:r>
        <w:rPr>
          <w:i/>
          <w:sz w:val="16"/>
          <w:szCs w:val="16"/>
        </w:rPr>
        <w:t xml:space="preserve">ения операции, сообщаются клиенту после приема Банком к исполнению распоряжения/заявки.</w:t>
      </w:r>
    </w:p>
    <w:p/>
    <w:p>
      <w:pPr>
        <w:pStyle w:val="4"/>
      </w:pPr>
      <w:bookmarkStart w:id="24" w:name="_Toc421185904"/>
    </w:p>
    <w:p>
      <w:pPr>
        <w:pStyle w:val="4"/>
      </w:pPr>
    </w:p>
    <w:p>
      <w:pPr>
        <w:pStyle w:val="4"/>
      </w:pPr>
      <w:r>
        <w:t xml:space="preserve">12. Кредитные операции</w:t>
      </w:r>
      <w:bookmarkEnd w:id="24"/>
      <w:r>
        <w:t xml:space="preserve"> </w:t>
      </w:r>
    </w:p>
    <w:tbl>
      <w:tblPr>
        <w:tblW w:w="10178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3827"/>
        <w:gridCol w:w="2127"/>
        <w:gridCol w:w="3402"/>
      </w:tblGrid>
      <w:tr>
        <w:trPr>
          <w:trHeight w:val="397"/>
          <w:tblHeader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п/п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</w:p>
        </w:tc>
      </w:tr>
      <w:t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12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12.1.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кредита, в том числе способами открытия кредитной линии и кредитованием банковского счета (овердрафт)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widowControl w:val="off"/>
              <w:tabs>
                <w:tab w:val="left" w:pos="2844"/>
              </w:tabs>
              <w:spacing w:before="12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0,8%</w:t>
            </w:r>
          </w:p>
        </w:tc>
        <w:tc>
          <w:tcPr>
            <w:tcW w:w="3402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</w:t>
            </w:r>
            <w:r>
              <w:rPr>
                <w:sz w:val="20"/>
                <w:szCs w:val="20"/>
              </w:rPr>
              <w:t xml:space="preserve">ита). </w:t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увеличении лимита кредитования (лимита овердрафта) комиссия начисляется на сумму увеличения данного лимита и уплачивается в день заключения соответствующего дополнительного соглашения к договору</w:t>
            </w: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кредитного продукта «Стань фермером» в соответствии с Положением о кредитовании АО «Россельхозбанк» начинающих фермеров № 423-П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0,1%</w:t>
            </w:r>
          </w:p>
        </w:tc>
        <w:tc>
          <w:tcPr>
            <w:tcW w:w="3402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widowControl w:val="off"/>
              <w:tabs>
                <w:tab w:val="left" w:pos="2844"/>
              </w:tabs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402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2341"/>
        </w:trP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на приобретение зерна из федеральног</w:t>
            </w:r>
            <w:r>
              <w:rPr>
                <w:bCs/>
                <w:sz w:val="20"/>
                <w:szCs w:val="20"/>
              </w:rPr>
              <w:t xml:space="preserve">о интервенционного фонда № 372-П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402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</w:t>
            </w:r>
            <w:r>
              <w:rPr>
                <w:bCs/>
                <w:sz w:val="20"/>
                <w:szCs w:val="20"/>
              </w:rPr>
              <w:t xml:space="preserve">Положения о предоставлении кредитов «Оборотный – стандарт» № 495-П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40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540-П на период </w:t>
            </w:r>
            <w:r>
              <w:rPr>
                <w:bCs/>
                <w:sz w:val="20"/>
                <w:szCs w:val="20"/>
              </w:rPr>
              <w:t xml:space="preserve">действия льготных условий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40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</w:t>
            </w:r>
            <w:r>
              <w:rPr>
                <w:sz w:val="20"/>
                <w:szCs w:val="20"/>
              </w:rPr>
              <w:t xml:space="preserve"> среднего </w:t>
            </w:r>
            <w:r>
              <w:rPr>
                <w:sz w:val="20"/>
                <w:szCs w:val="20"/>
              </w:rPr>
              <w:t xml:space="preserve">предпринимательства за счет средств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«МСП Банк» № 547-П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  <w:p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ind w:left="7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40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 «Россельхозбанк» № 656-П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</w:p>
        </w:tc>
        <w:tc>
          <w:tcPr>
            <w:tcW w:w="340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</w:t>
            </w:r>
            <w:r>
              <w:rPr>
                <w:bCs/>
                <w:sz w:val="20"/>
                <w:szCs w:val="20"/>
              </w:rPr>
              <w:t xml:space="preserve">сельхозбанк» кредитов, предоставленных сторонними кредитными организациями № 376-П в рамках кредитных продуктов «</w:t>
            </w:r>
            <w:r>
              <w:rPr>
                <w:sz w:val="20"/>
                <w:szCs w:val="20"/>
              </w:rPr>
              <w:t xml:space="preserve">Сезонный Рефинанс</w:t>
            </w:r>
            <w:r>
              <w:rPr>
                <w:bCs/>
                <w:sz w:val="20"/>
                <w:szCs w:val="20"/>
              </w:rPr>
              <w:t xml:space="preserve">», «Сезонный Животноводство Рефинанс», «Сезонный Переработка Рефинанс», «Оборотный-стандарт Рефинанс»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40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кредитов на цели приобретения залогового имущества с торгов/имущества Банка № 694-П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40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</w:t>
            </w:r>
            <w:r>
              <w:rPr>
                <w:bCs/>
                <w:sz w:val="20"/>
                <w:szCs w:val="20"/>
              </w:rPr>
              <w:t xml:space="preserve">ному продукту «Бизнес-карта с лимитом кредитования» в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№ 738-П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40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</w:t>
            </w:r>
            <w:r>
              <w:rPr>
                <w:bCs/>
                <w:sz w:val="20"/>
                <w:szCs w:val="20"/>
              </w:rPr>
              <w:t xml:space="preserve">мательства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40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</w:p>
          <w:p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12.2.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кредита, кредитной линии и кредита в форме «овердрафт» в течение всего периода действия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widowControl w:val="off"/>
              <w:tabs>
                <w:tab w:val="left" w:pos="2844"/>
              </w:tabs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0,5% годовых</w:t>
            </w:r>
          </w:p>
        </w:tc>
        <w:tc>
          <w:tcPr>
            <w:tcW w:w="3402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1276"/>
              </w:tabs>
              <w:spacing w:before="120" w:after="4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и уплачивается в порядке, предусмотренном для уплаты процентов за пользование кредитом, в течение всего периода </w:t>
            </w:r>
            <w:r>
              <w:rPr>
                <w:sz w:val="20"/>
                <w:szCs w:val="20"/>
              </w:rPr>
              <w:t xml:space="preserve">действия кредитного договора/договора об открытии кредитной линии / дополнительного соглашения к договору банковского счета о кредитовании счета путем предоставления кредита в форме «овердрафт»</w:t>
            </w: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кредитного продукта «Агростарт» </w:t>
            </w:r>
            <w:r>
              <w:rPr>
                <w:sz w:val="20"/>
                <w:szCs w:val="20"/>
              </w:rPr>
              <w:t xml:space="preserve">в соответствии с Положением о кредитовании АО «Россельхозбанк» начинающих фермеров № 423-П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402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на приобретение зерна из федерального </w:t>
            </w:r>
            <w:r>
              <w:rPr>
                <w:bCs/>
                <w:sz w:val="20"/>
                <w:szCs w:val="20"/>
              </w:rPr>
              <w:t xml:space="preserve">интервенционного фонда № 372-П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402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596"/>
        </w:trP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widowControl w:val="off"/>
              <w:tabs>
                <w:tab w:val="left" w:pos="2844"/>
              </w:tabs>
              <w:spacing w:before="4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</w:p>
        </w:tc>
        <w:tc>
          <w:tcPr>
            <w:tcW w:w="3402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</w:t>
            </w:r>
            <w:r>
              <w:rPr>
                <w:bCs/>
                <w:sz w:val="20"/>
                <w:szCs w:val="20"/>
              </w:rPr>
              <w:t xml:space="preserve">Положения о предоставлении кредитов «Оборотный – стандарт» № 495-П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402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540-П на период </w:t>
            </w:r>
            <w:r>
              <w:rPr>
                <w:bCs/>
                <w:sz w:val="20"/>
                <w:szCs w:val="20"/>
              </w:rPr>
              <w:t xml:space="preserve">действия льготных условий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40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«МСП Банк» № 547-П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  <w:p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кре</w:t>
            </w:r>
            <w:r>
              <w:rPr>
                <w:bCs/>
                <w:sz w:val="20"/>
                <w:szCs w:val="20"/>
              </w:rPr>
              <w:t xml:space="preserve">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40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 «Россельхозбанк» № 656-П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40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</w:t>
            </w:r>
            <w:r>
              <w:rPr>
                <w:bCs/>
                <w:sz w:val="20"/>
                <w:szCs w:val="20"/>
              </w:rPr>
              <w:t xml:space="preserve">сельхозбанк» кредитов, предоставленных сторонними кредитными организациями № 376-П в рамках кредитных продуктов «</w:t>
            </w:r>
            <w:r>
              <w:rPr>
                <w:sz w:val="20"/>
                <w:szCs w:val="20"/>
              </w:rPr>
              <w:t xml:space="preserve">Сезонный Рефинанс</w:t>
            </w:r>
            <w:r>
              <w:rPr>
                <w:bCs/>
                <w:sz w:val="20"/>
                <w:szCs w:val="20"/>
              </w:rPr>
              <w:t xml:space="preserve">», «Сезонный Животноводство Рефинанс», «Сезонный Переработка Рефинанс», «Оборотный-стандарт Рефинанс»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40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№ 738-П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40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рефинансировании (реструктурировании) за счет средств АО «МСП Банк» кре</w:t>
            </w:r>
            <w:r>
              <w:rPr>
                <w:sz w:val="20"/>
                <w:szCs w:val="20"/>
              </w:rPr>
              <w:t xml:space="preserve">дитов, предоставленных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субъектам малого и среднего предпринимательства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40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</w:t>
            </w:r>
            <w:r>
              <w:rPr>
                <w:bCs/>
                <w:sz w:val="20"/>
                <w:szCs w:val="20"/>
              </w:rPr>
              <w:t xml:space="preserve">ной/ увеличенной льготной ставки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40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</w:p>
        </w:tc>
      </w:tr>
      <w:tr>
        <w:trPr>
          <w:trHeight w:val="577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12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12.3.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Резервирование (бронирование) денежных средств для выдачи кредита: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276"/>
              </w:tabs>
              <w:spacing w:before="12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по формуле простых процентов на сумму </w:t>
            </w:r>
            <w:r>
              <w:rPr>
                <w:sz w:val="20"/>
                <w:szCs w:val="20"/>
              </w:rPr>
              <w:t xml:space="preserve">неиспользованного остатка лимита кредитования</w:t>
            </w:r>
            <w:r>
              <w:rPr>
                <w:rStyle w:val="1-FNftref1Ciaeniinee-FNReferencianotaalpieFootnoteReferencefrUsedbyWordforHelpfootnotesymbolsSUPERSTableFootnotelast1Avg"/>
                <w:sz w:val="20"/>
                <w:szCs w:val="20"/>
              </w:rPr>
              <w:footnoteReference w:id="1"/>
            </w:r>
            <w:r>
              <w:rPr>
                <w:sz w:val="20"/>
                <w:szCs w:val="20"/>
              </w:rPr>
              <w:t xml:space="preserve"> со дня, следующего за: </w:t>
            </w:r>
          </w:p>
          <w:p>
            <w:pPr>
              <w:tabs>
                <w:tab w:val="left" w:pos="1134"/>
              </w:tabs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отлагательных условий выдачи кредитных средств:</w:t>
            </w:r>
          </w:p>
          <w:p>
            <w:pPr>
              <w:numPr>
                <w:numId w:val="25"/>
                <w:ilvl w:val="0"/>
              </w:numPr>
              <w:tabs>
                <w:tab w:val="left" w:pos="306"/>
                <w:tab w:val="left" w:pos="993"/>
              </w:tabs>
              <w:ind w:left="0"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</w:p>
          <w:p>
            <w:pPr>
              <w:tabs>
                <w:tab w:val="left" w:pos="306"/>
                <w:tab w:val="left" w:pos="993"/>
              </w:tabs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или</w:t>
            </w:r>
          </w:p>
          <w:p>
            <w:pPr>
              <w:numPr>
                <w:numId w:val="25"/>
                <w:ilvl w:val="0"/>
              </w:numPr>
              <w:tabs>
                <w:tab w:val="left" w:pos="306"/>
                <w:tab w:val="left" w:pos="993"/>
              </w:tabs>
              <w:ind w:left="0"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датой заключения дополнител</w:t>
            </w:r>
            <w:r>
              <w:rPr>
                <w:sz w:val="20"/>
                <w:szCs w:val="20"/>
              </w:rPr>
              <w:t xml:space="preserve">ьного соглашения к договору о выдаче транша (если выдача кредитных средств осуществляется на основании дополнительного соглашения к договору);</w:t>
            </w:r>
          </w:p>
          <w:p>
            <w:pPr>
              <w:tabs>
                <w:tab w:val="left" w:pos="306"/>
                <w:tab w:val="left" w:pos="1134"/>
              </w:tabs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наличии отлагательных условий выдачи кредитных средств:</w:t>
            </w:r>
          </w:p>
          <w:p>
            <w:pPr>
              <w:pStyle w:val="a3"/>
              <w:numPr>
                <w:numId w:val="25"/>
                <w:ilvl w:val="0"/>
              </w:numPr>
              <w:tabs>
                <w:tab w:val="left" w:pos="306"/>
                <w:tab w:val="left" w:pos="9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датой выполнения отлагательных условий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выдачи креди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та/ транша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</w:p>
          <w:p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предусмотренном договором.</w:t>
            </w: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</w:p>
        </w:tc>
        <w:tc>
          <w:tcPr>
            <w:tcW w:w="3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- в форме «овердрафт» 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</w:p>
        </w:tc>
        <w:tc>
          <w:tcPr>
            <w:tcW w:w="3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№ 738-П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 использованием связанного финансирования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«МСП Банк» № 547-П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№ 598-П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субъектам малого и среднего предпринимательства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по договору об открытии кредитной линии, 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Style w:val="1-FNftref1Ciaeniinee-FNReferencianotaalpieFootnoteReferencefrUsedbyWordforHelpfootnotesymbolsSUPERSTableFootnotelast1Avg"/>
                <w:bCs/>
                <w:sz w:val="20"/>
                <w:szCs w:val="20"/>
              </w:rPr>
              <w:footnoteReference w:id="2"/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9"/>
              </w:tabs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-при кредитовании по договору об открытии кредитной линии,  </w:t>
            </w:r>
            <w:r>
              <w:rPr>
                <w:bCs/>
                <w:sz w:val="20"/>
                <w:szCs w:val="20"/>
              </w:rPr>
              <w:t xml:space="preserve">заключенному </w:t>
            </w:r>
            <w:r>
              <w:rPr>
                <w:sz w:val="20"/>
                <w:szCs w:val="20"/>
              </w:rPr>
              <w:t xml:space="preserve">в рамках решения Министерства промышленности и торговли Российской Федерации о порядке предоставления субсидии № 23-60109-00982-Р</w:t>
            </w:r>
            <w:r>
              <w:rPr>
                <w:bCs/>
                <w:sz w:val="20"/>
                <w:szCs w:val="20"/>
              </w:rPr>
              <w:t xml:space="preserve"> (принятому в соответствии с постановлением Правительства Российской Федерации от 25.10.2023 № 1780) в течение пер</w:t>
            </w:r>
            <w:r>
              <w:rPr>
                <w:bCs/>
                <w:sz w:val="20"/>
                <w:szCs w:val="20"/>
              </w:rPr>
              <w:t xml:space="preserve">иода льготного кредитования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709"/>
              </w:tabs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</w:p>
          <w:p>
            <w:pPr>
              <w:tabs>
                <w:tab w:val="left" w:pos="709"/>
              </w:tabs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годовых»</w:t>
            </w:r>
          </w:p>
        </w:tc>
        <w:tc>
          <w:tcPr>
            <w:tcW w:w="3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12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12.4.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12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срока(ов) возврата кредита (основного долга) по инициативе заемщика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изменении: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окончательного срока возврата кредита (основного долга)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1%;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промежуточного (ых) срока(ов) возврата кредита: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5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0,15%;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6 до 30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0,35%;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31 до 60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0,7%;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60 календарных дней – </w:t>
            </w:r>
            <w:r>
              <w:rPr>
                <w:sz w:val="20"/>
                <w:szCs w:val="20"/>
              </w:rPr>
              <w:t xml:space="preserve">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1% 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договору/договору об открытии кредитной линии.</w:t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Данная комиссия н</w:t>
            </w:r>
            <w:r>
              <w:rPr>
                <w:sz w:val="20"/>
                <w:szCs w:val="20"/>
              </w:rPr>
              <w:t xml:space="preserve">е применяется в отношении изменения срока возврата кредита при осуществлении досрочного возврата кредита по инициативе заемщика</w:t>
            </w: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«МСП Банк» № 547-П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40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12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ind w:left="7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40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540-П </w:t>
            </w:r>
            <w:r>
              <w:rPr>
                <w:bCs/>
                <w:sz w:val="20"/>
                <w:szCs w:val="20"/>
              </w:rPr>
              <w:t xml:space="preserve">на период действия льготных условий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</w:p>
        </w:tc>
        <w:tc>
          <w:tcPr>
            <w:tcW w:w="340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</w:t>
            </w:r>
            <w:r>
              <w:rPr>
                <w:bCs/>
                <w:sz w:val="20"/>
                <w:szCs w:val="20"/>
              </w:rPr>
              <w:t xml:space="preserve">вании) за счет средств АО «МСП Банк» кредитов, предоставленных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субъектам малого и среднего предпринимательства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</w:p>
        </w:tc>
        <w:tc>
          <w:tcPr>
            <w:tcW w:w="340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льготной/увеличенной льготной ставки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</w:p>
        </w:tc>
        <w:tc>
          <w:tcPr>
            <w:tcW w:w="340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120" w:after="4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</w:t>
            </w:r>
            <w:r>
              <w:rPr>
                <w:bCs/>
                <w:sz w:val="20"/>
                <w:szCs w:val="20"/>
                <w:lang w:val="en-US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кредитной сделки по инициативе заемщи</w:t>
            </w:r>
            <w:r>
              <w:rPr>
                <w:bCs/>
                <w:sz w:val="20"/>
                <w:szCs w:val="20"/>
              </w:rPr>
              <w:t xml:space="preserve">ка при изменении процентной ставки по кредиту</w:t>
            </w:r>
          </w:p>
          <w:p>
            <w:pPr>
              <w:spacing w:before="120" w:after="4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сумме, на которую начисляется комиссия:</w:t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1%</w:t>
            </w:r>
            <w:r>
              <w:rPr>
                <w:sz w:val="20"/>
                <w:szCs w:val="20"/>
              </w:rPr>
              <w:t xml:space="preserve">;</w:t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1 000 000,01 до 50 000 000,00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0,8%;</w:t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50 000 000,01 до 100 000 000,00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0,5%;</w:t>
            </w:r>
          </w:p>
          <w:p>
            <w:pPr>
              <w:spacing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100 000 000,01 руб. </w:t>
            </w:r>
            <w:r>
              <w:rPr>
                <w:bCs/>
                <w:sz w:val="20"/>
                <w:szCs w:val="20"/>
              </w:rPr>
              <w:t xml:space="preserve">– 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0,15%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начисляется на сумму кредита (лимита кредитования), по которому уменьшается размер процентной ставки;</w:t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уплачивается единовр</w:t>
            </w:r>
            <w:r>
              <w:rPr>
                <w:bCs/>
                <w:sz w:val="20"/>
                <w:szCs w:val="20"/>
              </w:rPr>
              <w:t xml:space="preserve">еменно в день заключения дополнительного(ых) соглашения(ий) об изменении условий действующего кредитного договора (договора об открытии кредитной линии)</w:t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уменьшении процентной ставки по кредиту при проведении реструктуризации инвестиционных кредитов сроком до 3-х лет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</w:p>
          <w:p>
            <w:pPr>
              <w:spacing w:before="40"/>
              <w:ind w:lef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40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ind w:left="7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«Россельхозбанк» кредит</w:t>
            </w:r>
            <w:r>
              <w:rPr>
                <w:bCs/>
                <w:sz w:val="20"/>
                <w:szCs w:val="20"/>
              </w:rPr>
              <w:t xml:space="preserve">ов в рамках оказания содействия добровольному переселению соотечественников, проживающих за рубежом, и их адаптации в Российской Федерации  № 598-П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40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540-П </w:t>
            </w:r>
            <w:r>
              <w:rPr>
                <w:bCs/>
                <w:sz w:val="20"/>
                <w:szCs w:val="20"/>
              </w:rPr>
              <w:t xml:space="preserve">на период действия льготных условий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</w:p>
        </w:tc>
        <w:tc>
          <w:tcPr>
            <w:tcW w:w="340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</w:t>
            </w:r>
            <w:r>
              <w:rPr>
                <w:bCs/>
                <w:sz w:val="20"/>
                <w:szCs w:val="20"/>
              </w:rPr>
              <w:t xml:space="preserve">авленных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субъектам малого и среднего предпринимательства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40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данного раздела 12 «Кредитные операции» настоящих Тарифов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на период действия льготной/ увеличенной льготной ставки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40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12.6.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</w:p>
          <w:p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-108" w:right="-108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кредитным сделкам со сроком(ами), оставшимся(ися) до погашения в соответствии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графиком погашения (возврата) кредита (основного долга)/ окончательной даты возврата кредита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(при отсутствии графика погашения (возврата) кредита (основного долга</w:t>
            </w:r>
            <w:r>
              <w:rPr>
                <w:spacing w:val="-20"/>
                <w:sz w:val="20"/>
                <w:szCs w:val="20"/>
              </w:rPr>
              <w:t xml:space="preserve">)):</w:t>
            </w:r>
          </w:p>
          <w:p>
            <w:pPr>
              <w:ind w:left="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в т</w:t>
            </w:r>
            <w:r>
              <w:rPr>
                <w:bCs/>
                <w:sz w:val="20"/>
                <w:szCs w:val="20"/>
              </w:rPr>
              <w:t xml:space="preserve">ечение 30 календарных дней до плановой даты погашения по кредитному договору/траншу (включительно) комиссия – не взимается;</w:t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до 180</w:t>
            </w:r>
            <w:r>
              <w:rPr>
                <w:sz w:val="20"/>
                <w:szCs w:val="20"/>
              </w:rPr>
              <w:t xml:space="preserve"> календарных дней (включительно) – </w:t>
            </w: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1,0%;</w:t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 181 до 365 календарных дней (включительно) – </w:t>
            </w: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3,5%;</w:t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свыше 365 календарных дней – </w:t>
            </w:r>
          </w:p>
          <w:p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7,0%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вновь заключаемым кредитным сделкам данная комиссия не взимается (к</w:t>
            </w:r>
            <w:r>
              <w:rPr>
                <w:sz w:val="20"/>
                <w:szCs w:val="20"/>
              </w:rPr>
              <w:t xml:space="preserve">омиссия действует только в отношении кредитных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</w:p>
          <w:p>
            <w:pPr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к вышеуказанной комиссии взимаются комиссии финансирующего банка за досрочное погашение</w:t>
            </w:r>
          </w:p>
        </w:tc>
        <w:tc>
          <w:tcPr>
            <w:tcW w:w="340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120" w:after="120"/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«МСП Банк» № 547-П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  <w:p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субъектам малого и среднего предпринимательства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  <w:p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12.7.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Досрочный возврат кредита (основного долга) по инициативе заемщика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 в зависимости от срока, оставшегося до погашения</w:t>
            </w:r>
            <w:r>
              <w:rPr>
                <w:sz w:val="20"/>
                <w:szCs w:val="20"/>
                <w:vertAlign w:val="superscript"/>
              </w:rPr>
              <w:footnoteReference w:id="3"/>
            </w:r>
            <w:r>
              <w:rPr>
                <w:sz w:val="20"/>
                <w:szCs w:val="20"/>
                <w:vertAlign w:val="superscript"/>
              </w:rPr>
              <w:t xml:space="preserve">,</w:t>
            </w:r>
            <w:r>
              <w:rPr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34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об открытии кредитной линии с лимитом вы</w:t>
            </w:r>
            <w:r>
              <w:rPr>
                <w:bCs/>
                <w:sz w:val="20"/>
                <w:szCs w:val="20"/>
              </w:rPr>
              <w:t xml:space="preserve">дачи и лимитом задолженности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при установлении срока транша до 90 календарных дней (включительно) комиссия не взимается.</w:t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течение 30 календарных дней, оставшихся до даты погашения (возврата) Кредита/части кредита (включительно) комиссия не взимается.</w:t>
            </w:r>
          </w:p>
          <w:p>
            <w:pPr>
              <w:rPr>
                <w:bCs/>
                <w:sz w:val="20"/>
                <w:szCs w:val="20"/>
                <w:highlight w:val="yellow"/>
              </w:rPr>
            </w:pPr>
          </w:p>
          <w:p>
            <w:pPr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выдачи 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</w:p>
        </w:tc>
        <w:tc>
          <w:tcPr>
            <w:tcW w:w="3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задолженности 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</w:p>
        </w:tc>
        <w:tc>
          <w:tcPr>
            <w:tcW w:w="3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выдачи и лимитом задолженности 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</w:p>
        </w:tc>
        <w:tc>
          <w:tcPr>
            <w:tcW w:w="3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форме «овердрафт»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исключением комиссий, возмещаемых финансирующему банку за досрочное погашение</w:t>
            </w:r>
          </w:p>
        </w:tc>
        <w:tc>
          <w:tcPr>
            <w:tcW w:w="3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предоставления АО «Россельхозбанк» кредитов на цели, связанные с проведением сезонных работ, № 411-П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  <w:p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  <w:p>
            <w:pPr>
              <w:tabs>
                <w:tab w:val="left" w:pos="0"/>
              </w:tabs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continue"/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кредитного </w:t>
            </w:r>
            <w:r>
              <w:rPr>
                <w:bCs/>
                <w:sz w:val="20"/>
                <w:szCs w:val="20"/>
              </w:rPr>
              <w:t xml:space="preserve">продукта «Микро_АПК» в соответствии с Положением о кредитовании клиентов микробизнеса в АО «Россельхозбанк» № 656-П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40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кредитов, предоставленных сторонними кред</w:t>
            </w:r>
            <w:r>
              <w:rPr>
                <w:sz w:val="20"/>
                <w:szCs w:val="20"/>
              </w:rPr>
              <w:t xml:space="preserve">итными организациями № 376-П в рамках кредитных продуктов «Сезонный Рефинанс», «Сезонный Животноводство Рефинанс», «Сезонный Переработка Рефинанс»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40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№ 738-П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340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ind w:left="74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 Порядка кредитования АО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«Россельхозбанк» юридических лиц – публичных обществ в рамках Генерального соглашения о порядке заключения кредитных сделок № 447-П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  <w:p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субъектам малого и среднего предпринимательства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  <w:p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822" w:type="dxa"/>
            <w:vMerge w:val="restart"/>
            <w:tcBorders>
              <w:top w:val="non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sz w:val="20"/>
                <w:szCs w:val="20"/>
              </w:rPr>
              <w:t xml:space="preserve"> настоящих Тарифов </w:t>
            </w:r>
            <w:r>
              <w:rPr>
                <w:bCs/>
                <w:sz w:val="20"/>
                <w:szCs w:val="20"/>
              </w:rPr>
              <w:t xml:space="preserve">на период действия льготной/ увеличенной льготной ставки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  <w:p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8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9"/>
              </w:tabs>
              <w:spacing w:before="120" w:after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-при кредитовании в рамках решен</w:t>
            </w:r>
            <w:r>
              <w:rPr>
                <w:bCs/>
                <w:sz w:val="20"/>
                <w:szCs w:val="20"/>
              </w:rPr>
              <w:t xml:space="preserve">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9"/>
              </w:tabs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</w:t>
            </w:r>
          </w:p>
          <w:p>
            <w:pPr>
              <w:tabs>
                <w:tab w:val="left" w:pos="709"/>
              </w:tabs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годовых</w:t>
            </w:r>
          </w:p>
        </w:tc>
        <w:tc>
          <w:tcPr>
            <w:tcW w:w="3402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9"/>
              </w:tabs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части.»</w:t>
            </w:r>
          </w:p>
        </w:tc>
      </w:tr>
      <w:t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12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12.8.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Уменьшение/замена предмета залога (залогового имущества) по договору о залоге по инициативе заемщика</w:t>
            </w:r>
            <w:r>
              <w:rPr>
                <w:color w:val="000000"/>
                <w:sz w:val="20"/>
                <w:szCs w:val="20"/>
              </w:rPr>
              <w:t xml:space="preserve"> в случаях, предусмотренных договором о залоге/ ипотеке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0,2% от суммы, </w:t>
            </w:r>
          </w:p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- 30 000 руб.,</w:t>
            </w:r>
          </w:p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- 150 000 руб.</w:t>
            </w:r>
          </w:p>
        </w:tc>
        <w:tc>
          <w:tcPr>
            <w:tcW w:w="34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</w:t>
            </w:r>
            <w:r>
              <w:rPr>
                <w:sz w:val="20"/>
                <w:szCs w:val="20"/>
              </w:rPr>
              <w:t xml:space="preserve"> взимается дополнительно.</w:t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</w:p>
          <w:p>
            <w:pPr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уплачивается единовременно в день заключения соответствующего(их) дополнительного(ых) соглашения(ий) об изменении условий действую</w:t>
            </w:r>
            <w:r>
              <w:rPr>
                <w:bCs/>
                <w:sz w:val="20"/>
                <w:szCs w:val="20"/>
              </w:rPr>
              <w:t xml:space="preserve">щего договора о </w:t>
            </w:r>
            <w:r>
              <w:rPr>
                <w:bCs/>
                <w:sz w:val="20"/>
                <w:szCs w:val="20"/>
              </w:rPr>
              <w:t xml:space="preserve">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</w:t>
            </w:r>
            <w:r>
              <w:rPr>
                <w:bCs/>
                <w:sz w:val="20"/>
                <w:szCs w:val="20"/>
              </w:rPr>
              <w:t xml:space="preserve">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  <w:p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40"/>
              <w:jc w:val="both"/>
              <w:rPr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в рамках </w:t>
            </w:r>
            <w:r>
              <w:rPr>
                <w:bCs/>
                <w:sz w:val="20"/>
                <w:szCs w:val="20"/>
              </w:rPr>
              <w:t xml:space="preserve">реализации Программы стимулирования кредитования субъектов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малого и среднего предпринимательства </w:t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540-П на период действия льготных условий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</w:p>
        </w:tc>
        <w:tc>
          <w:tcPr>
            <w:tcW w:w="3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40"/>
              <w:jc w:val="both"/>
              <w:rPr>
                <w:sz w:val="20"/>
                <w:szCs w:val="20"/>
              </w:rPr>
            </w:pPr>
          </w:p>
        </w:tc>
      </w:tr>
      <w:tr>
        <w:tc>
          <w:tcPr>
            <w:tcW w:w="822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</w:p>
        </w:tc>
        <w:tc>
          <w:tcPr>
            <w:tcW w:w="2127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</w:p>
        </w:tc>
        <w:tc>
          <w:tcPr>
            <w:tcW w:w="34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40"/>
              <w:jc w:val="both"/>
              <w:rPr>
                <w:sz w:val="20"/>
                <w:szCs w:val="20"/>
              </w:rPr>
            </w:pPr>
          </w:p>
        </w:tc>
      </w:tr>
    </w:tbl>
    <w:p>
      <w:pPr>
        <w:ind w:left="284"/>
        <w:jc w:val="both"/>
        <w:rPr>
          <w:bCs/>
          <w:sz w:val="20"/>
          <w:szCs w:val="20"/>
        </w:rPr>
      </w:pP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 настоящем разделе Тарифов Банка используется следующий термин:</w:t>
      </w:r>
    </w:p>
    <w:p>
      <w:pPr>
        <w:tabs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 xml:space="preserve">Лимит кредитования</w:t>
      </w:r>
      <w:r>
        <w:rPr>
          <w:bCs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</w:t>
      </w:r>
      <w:r>
        <w:rPr>
          <w:bCs/>
          <w:sz w:val="20"/>
          <w:szCs w:val="20"/>
        </w:rPr>
        <w:t xml:space="preserve">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</w:p>
    <w:p>
      <w:pPr>
        <w:spacing w:before="120"/>
        <w:jc w:val="both"/>
        <w:rPr>
          <w:i/>
          <w:sz w:val="20"/>
          <w:szCs w:val="20"/>
        </w:rPr>
      </w:pPr>
      <w:r>
        <w:rPr>
          <w:bCs/>
          <w:iCs/>
          <w:sz w:val="20"/>
          <w:szCs w:val="20"/>
          <w:u w:val="single"/>
        </w:rPr>
        <w:t xml:space="preserve">Примечание</w:t>
      </w:r>
      <w:r>
        <w:rPr>
          <w:bCs/>
          <w:iCs/>
          <w:sz w:val="20"/>
          <w:szCs w:val="20"/>
        </w:rPr>
        <w:t xml:space="preserve">: </w:t>
      </w:r>
    </w:p>
    <w:p>
      <w:pPr>
        <w:tabs>
          <w:tab w:val="left" w:pos="284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</w:t>
      </w:r>
      <w:r>
        <w:rPr>
          <w:sz w:val="20"/>
          <w:szCs w:val="20"/>
        </w:rPr>
        <w:tab/>
        <w:t xml:space="preserve"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</w:p>
    <w:p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bCs/>
          <w:iCs/>
          <w:sz w:val="20"/>
          <w:szCs w:val="20"/>
        </w:rPr>
        <w:t xml:space="preserve">2.</w:t>
      </w:r>
      <w:r>
        <w:rPr>
          <w:bCs/>
          <w:iCs/>
          <w:sz w:val="20"/>
          <w:szCs w:val="20"/>
        </w:rPr>
        <w:tab/>
        <w:t xml:space="preserve">Установление размера(ов) комиссии(ий) и/или иного порядка её(их) уплаты, не предусмотренных настоящ</w:t>
      </w:r>
      <w:r>
        <w:rPr>
          <w:bCs/>
          <w:iCs/>
          <w:sz w:val="20"/>
          <w:szCs w:val="20"/>
        </w:rPr>
        <w:t xml:space="preserve">им разделом Тарифов,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решением уполномоченного органа головного офиса Банка (Комитета по управлени</w:t>
      </w:r>
      <w:r>
        <w:rPr>
          <w:bCs/>
          <w:iCs/>
          <w:sz w:val="20"/>
          <w:szCs w:val="20"/>
        </w:rPr>
        <w:t xml:space="preserve">ю активами и пассивами АО «Россельхозбанк» либо Кредитного комитета АО «Россельхозбанк», либо Правления АО «Россельхозбанк») и оформляется отдельным соглашением между Банком и Клиентом.</w:t>
      </w:r>
    </w:p>
    <w:p>
      <w:pPr>
        <w:spacing w:before="120"/>
        <w:jc w:val="both"/>
        <w:outlineLvl w:val="5"/>
        <w:rPr>
          <w:b/>
          <w:bCs/>
          <w:iCs/>
          <w:sz w:val="20"/>
          <w:szCs w:val="20"/>
          <w:u w:val="single"/>
        </w:rPr>
      </w:pPr>
      <w:r>
        <w:rPr>
          <w:b/>
          <w:bCs/>
          <w:iCs/>
          <w:sz w:val="20"/>
          <w:szCs w:val="20"/>
          <w:u w:val="single"/>
        </w:rPr>
        <w:t xml:space="preserve">Льготные программы, комиссии по которым не взимаются в соответствии с </w:t>
      </w:r>
      <w:r>
        <w:rPr>
          <w:b/>
          <w:bCs/>
          <w:iCs/>
          <w:sz w:val="20"/>
          <w:szCs w:val="20"/>
          <w:u w:val="single"/>
        </w:rPr>
        <w:t xml:space="preserve">Перечнями 1-2:</w:t>
      </w:r>
    </w:p>
    <w:p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</w:t>
      </w:r>
      <w:r>
        <w:rPr>
          <w:bCs/>
          <w:iCs/>
          <w:sz w:val="20"/>
          <w:szCs w:val="20"/>
        </w:rPr>
        <w:t xml:space="preserve">авке инвесторам для реализации инвестиционных проектов, необходимых для устойчивого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</w:t>
      </w:r>
      <w:r>
        <w:rPr>
          <w:bCs/>
          <w:iCs/>
          <w:sz w:val="20"/>
          <w:szCs w:val="20"/>
        </w:rPr>
        <w:t xml:space="preserve">ва Российской Федерации от 09.02.2021 № 141) (далее – ППРФ от 09.02.2021 № 141);</w:t>
      </w:r>
    </w:p>
    <w:p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-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трансформации, реали</w:t>
      </w:r>
      <w:r>
        <w:rPr>
          <w:bCs/>
          <w:iCs/>
          <w:sz w:val="20"/>
          <w:szCs w:val="20"/>
        </w:rPr>
        <w:t xml:space="preserve">зуемых на основе российских решений в сфере информационных технологий (утв. постановлением Правительства Российской Федерации </w:t>
      </w:r>
      <w:r>
        <w:rPr>
          <w:bCs/>
          <w:iCs/>
          <w:sz w:val="20"/>
          <w:szCs w:val="20"/>
        </w:rPr>
        <w:br w:type="textWrapping" w:clear="all"/>
      </w:r>
      <w:r>
        <w:rPr>
          <w:bCs/>
          <w:iCs/>
          <w:sz w:val="20"/>
          <w:szCs w:val="20"/>
        </w:rPr>
        <w:t xml:space="preserve">от 05.12.2019 № 1598) (далее – ППРФ от 05.12.2019 № 1598); </w:t>
      </w:r>
    </w:p>
    <w:p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</w:t>
      </w:r>
      <w:r>
        <w:rPr>
          <w:bCs/>
          <w:iCs/>
          <w:sz w:val="20"/>
          <w:szCs w:val="20"/>
        </w:rPr>
        <w:t xml:space="preserve">ьного бюджета российским кредитным организациям на возмещение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</w:t>
      </w:r>
      <w:r>
        <w:rPr>
          <w:bCs/>
          <w:iCs/>
          <w:sz w:val="20"/>
          <w:szCs w:val="20"/>
        </w:rPr>
        <w:t xml:space="preserve">тва Российской Федерации от 30.12.2017 № 1706) (далее – ППРФ от 30.12.2017 № 1706); </w:t>
      </w:r>
    </w:p>
    <w:p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</w:t>
      </w:r>
      <w:r>
        <w:rPr>
          <w:bCs/>
          <w:iCs/>
          <w:sz w:val="20"/>
          <w:szCs w:val="20"/>
        </w:rPr>
        <w:t xml:space="preserve">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</w:t>
      </w:r>
      <w:r>
        <w:rPr>
          <w:bCs/>
          <w:iCs/>
          <w:sz w:val="20"/>
          <w:szCs w:val="20"/>
        </w:rPr>
        <w:t xml:space="preserve">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</w:t>
      </w:r>
      <w:r>
        <w:rPr>
          <w:bCs/>
          <w:iCs/>
          <w:sz w:val="20"/>
          <w:szCs w:val="20"/>
        </w:rPr>
        <w:br w:type="textWrapping" w:clear="all"/>
      </w:r>
      <w:r>
        <w:rPr>
          <w:bCs/>
          <w:iCs/>
          <w:sz w:val="20"/>
          <w:szCs w:val="20"/>
        </w:rPr>
        <w:t xml:space="preserve">(утв. постановлением Правительства Российской Федерации от 29.12.2016 № 1528) (далее – ППРФ от </w:t>
      </w:r>
      <w:r>
        <w:rPr>
          <w:bCs/>
          <w:iCs/>
          <w:sz w:val="20"/>
          <w:szCs w:val="20"/>
        </w:rPr>
        <w:t xml:space="preserve">29.12.2016 </w:t>
      </w:r>
      <w:r>
        <w:rPr>
          <w:bCs/>
          <w:iCs/>
          <w:sz w:val="20"/>
          <w:szCs w:val="20"/>
        </w:rPr>
        <w:br w:type="textWrapping" w:clear="all"/>
      </w:r>
      <w:r>
        <w:rPr>
          <w:bCs/>
          <w:iCs/>
          <w:sz w:val="20"/>
          <w:szCs w:val="20"/>
        </w:rPr>
        <w:t xml:space="preserve">№ 1528); </w:t>
      </w:r>
    </w:p>
    <w:p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sz w:val="20"/>
        </w:rPr>
        <w:t xml:space="preserve"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</w:t>
      </w:r>
      <w:r>
        <w:rPr>
          <w:sz w:val="20"/>
        </w:rPr>
        <w:t xml:space="preserve">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</w:t>
      </w:r>
      <w:r>
        <w:rPr>
          <w:sz w:val="20"/>
        </w:rPr>
        <w:t xml:space="preserve">ую (промышленную) переработку сельскохозяйственной продукции и ее реализацию,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26.04.2019 № 512) (далее – ППРФ от 26.04.2019 № 512); </w:t>
      </w:r>
    </w:p>
    <w:p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sz w:val="20"/>
        </w:rPr>
        <w:t xml:space="preserve">- при кредитовании в рамках Правил предоставл</w:t>
      </w:r>
      <w:r>
        <w:rPr>
          <w:sz w:val="20"/>
        </w:rPr>
        <w:t xml:space="preserve">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</w:t>
      </w:r>
      <w:r>
        <w:rPr>
          <w:sz w:val="20"/>
        </w:rPr>
        <w:t xml:space="preserve">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24.12.2019 </w:t>
      </w:r>
      <w:r>
        <w:rPr>
          <w:bCs/>
          <w:iCs/>
          <w:sz w:val="20"/>
          <w:szCs w:val="20"/>
        </w:rPr>
        <w:t xml:space="preserve">№ 1804) (далее – ППРФ от 24.12.2019 № 1804);</w:t>
      </w:r>
    </w:p>
    <w:p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</w:t>
      </w:r>
      <w:r>
        <w:rPr>
          <w:sz w:val="20"/>
        </w:rPr>
        <w:t xml:space="preserve">кредитам</w:t>
      </w:r>
      <w:r>
        <w:rPr>
          <w:sz w:val="20"/>
        </w:rPr>
        <w:t xml:space="preserve">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</w:t>
      </w:r>
      <w:r>
        <w:rPr>
          <w:bCs/>
          <w:iCs/>
          <w:sz w:val="20"/>
          <w:szCs w:val="20"/>
        </w:rPr>
        <w:t xml:space="preserve"> 30.12.2018 № 1764) (далее – ППРФ от 30.12.2018 </w:t>
      </w:r>
      <w:r>
        <w:rPr>
          <w:bCs/>
          <w:iCs/>
          <w:sz w:val="20"/>
          <w:szCs w:val="20"/>
        </w:rPr>
        <w:br w:type="textWrapping" w:clear="all"/>
      </w:r>
      <w:r>
        <w:rPr>
          <w:bCs/>
          <w:iCs/>
          <w:sz w:val="20"/>
          <w:szCs w:val="20"/>
        </w:rPr>
        <w:t xml:space="preserve">№ 1764); </w:t>
      </w:r>
    </w:p>
    <w:p>
      <w:pPr>
        <w:spacing w:before="40" w:after="12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</w:t>
      </w:r>
      <w:r>
        <w:rPr>
          <w:bCs/>
          <w:iCs/>
          <w:sz w:val="20"/>
          <w:szCs w:val="20"/>
        </w:rPr>
        <w:t xml:space="preserve">зациям и (или) индивидуальным предпринимателям </w:t>
      </w:r>
      <w:r>
        <w:rPr>
          <w:sz w:val="20"/>
          <w:szCs w:val="20"/>
        </w:rPr>
        <w:t xml:space="preserve">на приобретение, строительство, модернизацию, реконструкцию объектов недвижимого имущества в целях осуществления деятельности в сфере промышленности (утв. постановлением Правительства Российской Федерации от 0</w:t>
      </w:r>
      <w:r>
        <w:rPr>
          <w:sz w:val="20"/>
          <w:szCs w:val="20"/>
        </w:rPr>
        <w:t xml:space="preserve">6.09.2022 № 1570) (далее – ППРФ от 06.09.2022 № 1570</w:t>
      </w:r>
      <w:r>
        <w:rPr>
          <w:bCs/>
          <w:iCs/>
          <w:sz w:val="20"/>
          <w:szCs w:val="20"/>
        </w:rPr>
        <w:t xml:space="preserve">).</w:t>
      </w:r>
    </w:p>
    <w:p>
      <w:pPr>
        <w:spacing w:before="40" w:after="40"/>
        <w:jc w:val="both"/>
        <w:outlineLvl w:val="5"/>
        <w:rPr>
          <w:sz w:val="20"/>
          <w:szCs w:val="20"/>
        </w:rPr>
      </w:pPr>
      <w:r>
        <w:rPr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22-68850-00258-Р «Возмещение недополученных российскими кредитными организа</w:t>
      </w:r>
      <w:r>
        <w:rPr>
          <w:sz w:val="20"/>
          <w:szCs w:val="20"/>
        </w:rPr>
        <w:t xml:space="preserve">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потребительских кооперативов), организаци</w:t>
      </w:r>
      <w:r>
        <w:rPr>
          <w:sz w:val="20"/>
          <w:szCs w:val="20"/>
        </w:rPr>
        <w:t xml:space="preserve">ям</w:t>
      </w:r>
      <w:r>
        <w:rPr>
          <w:sz w:val="20"/>
          <w:szCs w:val="20"/>
        </w:rPr>
        <w:br/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 258-Р), принятого в соответствии с постановле</w:t>
      </w:r>
      <w:r>
        <w:rPr>
          <w:sz w:val="20"/>
          <w:szCs w:val="20"/>
        </w:rPr>
        <w:t xml:space="preserve">нием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</w:t>
      </w:r>
      <w:r>
        <w:rPr>
          <w:sz w:val="20"/>
          <w:szCs w:val="20"/>
        </w:rPr>
        <w:t xml:space="preserve">е физическим лицам - производителям товаров, работ, услуг (далее – ППРФ от 25.10.2023 № 1780);</w:t>
      </w:r>
    </w:p>
    <w:p>
      <w:pPr>
        <w:spacing w:before="40" w:after="40"/>
        <w:jc w:val="both"/>
        <w:outlineLvl w:val="5"/>
        <w:rPr>
          <w:sz w:val="20"/>
          <w:szCs w:val="20"/>
        </w:rPr>
      </w:pPr>
      <w:r>
        <w:rPr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22-68850-00358-Р «Возмещение недопо</w:t>
      </w:r>
      <w:r>
        <w:rPr>
          <w:sz w:val="20"/>
          <w:szCs w:val="20"/>
        </w:rPr>
        <w:t xml:space="preserve">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</w:t>
      </w:r>
      <w:r>
        <w:rPr>
          <w:sz w:val="20"/>
          <w:szCs w:val="20"/>
        </w:rPr>
        <w:t xml:space="preserve">отребительских кооперативов), организациям</w:t>
      </w:r>
      <w:r>
        <w:rPr>
          <w:sz w:val="20"/>
          <w:szCs w:val="20"/>
        </w:rPr>
        <w:br/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 358-Р</w:t>
      </w:r>
      <w:r>
        <w:rPr>
          <w:sz w:val="20"/>
          <w:szCs w:val="20"/>
        </w:rPr>
        <w:t xml:space="preserve">), принятого в соответствии с ППРФ от 25.10.2023 № 1780;</w:t>
      </w:r>
    </w:p>
    <w:p>
      <w:pPr>
        <w:spacing w:before="40" w:after="120"/>
        <w:jc w:val="both"/>
        <w:outlineLvl w:val="5"/>
        <w:rPr>
          <w:sz w:val="20"/>
          <w:szCs w:val="20"/>
        </w:rPr>
      </w:pPr>
      <w:r>
        <w:rPr>
          <w:sz w:val="20"/>
          <w:szCs w:val="20"/>
        </w:rPr>
        <w:t xml:space="preserve">- при кредитовании в рамках решения Министерства экономического развития Российской Федерации о порядке предоставления субсидии № 23-61781-01201-Р «Реализация механизма государственной поддержки инве</w:t>
      </w:r>
      <w:r>
        <w:rPr>
          <w:sz w:val="20"/>
          <w:szCs w:val="20"/>
        </w:rPr>
        <w:t xml:space="preserve">стиционных проектов по созданию туристической инфраструктуры в форме льготного кредитования (далее – Решение № 1201-Р)», принятого в соответствии с ППРФ от 25.10.2023 № 1780.</w:t>
      </w:r>
    </w:p>
    <w:p>
      <w:pPr>
        <w:spacing w:before="40" w:after="120"/>
        <w:jc w:val="both"/>
        <w:outlineLvl w:val="5"/>
      </w:pPr>
      <w:r>
        <w:rPr>
          <w:sz w:val="20"/>
          <w:szCs w:val="20"/>
        </w:rPr>
        <w:t xml:space="preserve">-</w:t>
      </w:r>
      <w:r>
        <w:rPr>
          <w:sz w:val="20"/>
          <w:szCs w:val="20"/>
        </w:rPr>
        <w:tab/>
        <w:t xml:space="preserve">при кредитовании в рамках решения Министерства сельского хозяйства Российской Ф</w:t>
      </w:r>
      <w:r>
        <w:rPr>
          <w:sz w:val="20"/>
          <w:szCs w:val="20"/>
        </w:rPr>
        <w:t xml:space="preserve">едерации о порядке предоставления субсидии № 24-68701-01553-Р «Субсидии Государственному специализированному Российскому экспортно-импортному банку (акционерное общество) и Акционерному обществу «Российский Сельскохозяйственный банк» в целях компенсации не</w:t>
      </w:r>
      <w:r>
        <w:rPr>
          <w:sz w:val="20"/>
          <w:szCs w:val="20"/>
        </w:rPr>
        <w:t xml:space="preserve">дополученных доходов по кредитам и (или) по иным инструментам финансирования, предоставленным для поддержки производства и поставки продукции агропромышленного комплекса на внешние рынки» (далее – Решение № 1553-Р), принятого в соответствии с ППРФ от 25.10</w:t>
      </w:r>
      <w:r>
        <w:rPr>
          <w:sz w:val="20"/>
          <w:szCs w:val="20"/>
        </w:rPr>
        <w:t xml:space="preserve">.2023 № 1780</w:t>
      </w:r>
      <w:r>
        <w:t xml:space="preserve">.</w:t>
      </w:r>
    </w:p>
    <w:p>
      <w:pPr>
        <w:jc w:val="both"/>
        <w:outlineLvl w:val="5"/>
        <w:rPr>
          <w:sz w:val="20"/>
          <w:szCs w:val="20"/>
        </w:rPr>
      </w:pPr>
      <w:r>
        <w:rPr>
          <w:sz w:val="20"/>
          <w:szCs w:val="20"/>
        </w:rPr>
        <w:t xml:space="preserve">- при кредитовании в рамках решения М</w:t>
      </w:r>
      <w:r>
        <w:rPr>
          <w:sz w:val="20"/>
          <w:szCs w:val="20"/>
        </w:rPr>
        <w:t xml:space="preserve">инистерства промышленности и торговли Российской Федерации о порядке предоставления субсидии № 23-60109-00982-Р «Субсидии российским кредитным организациям на возмещение недополученных ими доходов п кредитам, выданным российским организациям и (или) индиви</w:t>
      </w:r>
      <w:r>
        <w:rPr>
          <w:sz w:val="20"/>
          <w:szCs w:val="20"/>
        </w:rPr>
        <w:t xml:space="preserve">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промышленности» (далее – Решение № 982-Р), принятого в соответствии с ППРФ от 25.10.2023 № 1780;</w:t>
      </w:r>
    </w:p>
    <w:p>
      <w:pPr>
        <w:spacing w:before="40" w:after="120"/>
        <w:jc w:val="both"/>
        <w:outlineLvl w:val="5"/>
        <w:rPr>
          <w:sz w:val="20"/>
          <w:szCs w:val="20"/>
        </w:rPr>
      </w:pPr>
      <w:r>
        <w:rPr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 22-62282-00665-Р «Субсидии российским кредитным организациям, международным финансовым организациям и государственной корпорации </w:t>
      </w:r>
      <w:r>
        <w:rPr>
          <w:sz w:val="20"/>
          <w:szCs w:val="20"/>
        </w:rPr>
        <w:t xml:space="preserve">развития «ВЭБ.РФ» на возмещение недополученных доходов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</w:t>
      </w:r>
      <w:r>
        <w:rPr>
          <w:sz w:val="20"/>
          <w:szCs w:val="20"/>
        </w:rPr>
        <w:t xml:space="preserve">строительство жилых зданий, по льготной ставке» (далее – Решение № 665-Р), принятого в соответствии с ППРФ от 25.10.2023 </w:t>
      </w:r>
      <w:r>
        <w:rPr>
          <w:sz w:val="20"/>
          <w:szCs w:val="20"/>
        </w:rPr>
        <w:br/>
        <w:t xml:space="preserve">№ 1780.</w:t>
      </w:r>
    </w:p>
    <w:p>
      <w:pPr>
        <w:spacing w:before="40" w:after="120"/>
        <w:jc w:val="both"/>
        <w:outlineLvl w:val="5"/>
        <w:rPr>
          <w:bCs/>
          <w:iCs/>
          <w:sz w:val="20"/>
          <w:szCs w:val="20"/>
        </w:rPr>
      </w:pP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«№</w:t>
            </w:r>
            <w:r>
              <w:rPr>
                <w:b/>
                <w:bCs/>
                <w:iCs/>
                <w:sz w:val="20"/>
                <w:szCs w:val="20"/>
              </w:rPr>
              <w:br/>
              <w:t xml:space="preserve">п/п</w:t>
            </w:r>
          </w:p>
        </w:tc>
        <w:tc>
          <w:tcPr>
            <w:tcW w:w="8647" w:type="dxa"/>
            <w:gridSpan w:val="2"/>
            <w:shd w:val="clear" w:color="auto" w:fill="auto"/>
          </w:tcPr>
          <w:p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Перечень льготных программ</w:t>
            </w:r>
          </w:p>
        </w:tc>
      </w:tr>
      <w:tr>
        <w:tc>
          <w:tcPr>
            <w:tcW w:w="675" w:type="dxa"/>
            <w:vMerge w:val="continue"/>
            <w:shd w:val="clear" w:color="auto" w:fill="auto"/>
          </w:tcPr>
          <w:p>
            <w:pPr>
              <w:keepNext/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Перечень 1</w:t>
            </w:r>
          </w:p>
        </w:tc>
        <w:tc>
          <w:tcPr>
            <w:tcW w:w="4394" w:type="dxa"/>
            <w:shd w:val="clear" w:color="auto" w:fill="auto"/>
          </w:tcPr>
          <w:p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Перечень 2</w:t>
            </w:r>
          </w:p>
        </w:tc>
      </w:tr>
      <w:tr>
        <w:tc>
          <w:tcPr>
            <w:tcW w:w="675" w:type="dxa"/>
            <w:vMerge w:val="continue"/>
            <w:shd w:val="clear" w:color="auto" w:fill="auto"/>
          </w:tcPr>
          <w:p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Пункты раздела 12 «Кредитные операции»</w:t>
            </w:r>
          </w:p>
        </w:tc>
      </w:tr>
      <w:tr>
        <w:tc>
          <w:tcPr>
            <w:tcW w:w="675" w:type="dxa"/>
            <w:vMerge w:val="continue"/>
            <w:shd w:val="clear" w:color="auto" w:fill="auto"/>
          </w:tcPr>
          <w:p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12.1, 12.2, 12.4, 12.5, 12.8</w:t>
            </w:r>
          </w:p>
        </w:tc>
        <w:tc>
          <w:tcPr>
            <w:tcW w:w="4394" w:type="dxa"/>
            <w:shd w:val="clear" w:color="auto" w:fill="auto"/>
          </w:tcPr>
          <w:p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12.3, 12.7</w:t>
            </w:r>
          </w:p>
        </w:tc>
      </w:tr>
      <w:tr>
        <w:tc>
          <w:tcPr>
            <w:tcW w:w="675" w:type="dxa"/>
            <w:shd w:val="clear" w:color="auto" w:fill="auto"/>
          </w:tcPr>
          <w:p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1</w:t>
            </w:r>
          </w:p>
        </w:tc>
        <w:tc>
          <w:tcPr>
            <w:tcW w:w="4253" w:type="dxa"/>
            <w:shd w:val="clear" w:color="auto" w:fill="auto"/>
          </w:tcPr>
          <w:p>
            <w:pPr>
              <w:keepNext/>
              <w:spacing w:before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29.12.2016 № 1528 </w:t>
            </w:r>
          </w:p>
          <w:p>
            <w:pPr>
              <w:keepNext/>
              <w:spacing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(за исключением п. 12.1)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29.12.2016 № 1528 </w:t>
            </w:r>
          </w:p>
        </w:tc>
      </w:tr>
      <w:tr>
        <w:tc>
          <w:tcPr>
            <w:tcW w:w="675" w:type="dxa"/>
            <w:shd w:val="clear" w:color="auto" w:fill="auto"/>
          </w:tcPr>
          <w:p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2</w:t>
            </w:r>
          </w:p>
        </w:tc>
        <w:tc>
          <w:tcPr>
            <w:tcW w:w="4253" w:type="dxa"/>
            <w:shd w:val="clear" w:color="auto" w:fill="auto"/>
          </w:tcPr>
          <w:p>
            <w:pPr>
              <w:keepNext/>
              <w:spacing w:before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26.04.2019 № 512 </w:t>
            </w:r>
          </w:p>
          <w:p>
            <w:pPr>
              <w:keepNext/>
              <w:spacing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(за исключением п. 12.1)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26.04.2019 № 512 </w:t>
            </w:r>
          </w:p>
        </w:tc>
      </w:tr>
      <w:tr>
        <w:tc>
          <w:tcPr>
            <w:tcW w:w="675" w:type="dxa"/>
            <w:shd w:val="clear" w:color="auto" w:fill="auto"/>
          </w:tcPr>
          <w:p>
            <w:pPr>
              <w:spacing w:before="40" w:after="4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3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24.12.2019 № 1804 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24.12.2019 № 1804 </w:t>
            </w:r>
          </w:p>
        </w:tc>
      </w:tr>
      <w:tr>
        <w:tc>
          <w:tcPr>
            <w:tcW w:w="675" w:type="dxa"/>
            <w:shd w:val="clear" w:color="auto" w:fill="auto"/>
          </w:tcPr>
          <w:p>
            <w:pPr>
              <w:spacing w:before="40" w:after="4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4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30.12.2018 № 1764 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spacing w:before="40" w:after="4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5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09.02.2021 № 141 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09.02.2021 № 141</w:t>
            </w:r>
          </w:p>
        </w:tc>
      </w:tr>
      <w:tr>
        <w:tc>
          <w:tcPr>
            <w:tcW w:w="675" w:type="dxa"/>
            <w:shd w:val="clear" w:color="auto" w:fill="auto"/>
          </w:tcPr>
          <w:p>
            <w:pPr>
              <w:spacing w:before="40" w:after="4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6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05.12.2019 № 1598 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05.12.2019 № 1598</w:t>
            </w:r>
          </w:p>
        </w:tc>
      </w:tr>
      <w:tr>
        <w:tc>
          <w:tcPr>
            <w:tcW w:w="675" w:type="dxa"/>
            <w:shd w:val="clear" w:color="auto" w:fill="auto"/>
          </w:tcPr>
          <w:p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7</w:t>
            </w:r>
          </w:p>
        </w:tc>
        <w:tc>
          <w:tcPr>
            <w:tcW w:w="4253" w:type="dxa"/>
            <w:shd w:val="clear" w:color="auto" w:fill="auto"/>
          </w:tcPr>
          <w:p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30.12.2017 № 1706 </w:t>
            </w:r>
          </w:p>
        </w:tc>
        <w:tc>
          <w:tcPr>
            <w:tcW w:w="4394" w:type="dxa"/>
            <w:shd w:val="clear" w:color="auto" w:fill="auto"/>
          </w:tcPr>
          <w:p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8</w:t>
            </w:r>
          </w:p>
        </w:tc>
        <w:tc>
          <w:tcPr>
            <w:tcW w:w="4253" w:type="dxa"/>
            <w:shd w:val="clear" w:color="auto" w:fill="auto"/>
          </w:tcPr>
          <w:p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06.09.2022 № 1570 </w:t>
            </w:r>
            <w:r>
              <w:rPr>
                <w:bCs/>
                <w:iCs/>
                <w:sz w:val="20"/>
                <w:szCs w:val="20"/>
              </w:rPr>
              <w:br/>
            </w:r>
            <w:r>
              <w:rPr>
                <w:bCs/>
                <w:iCs/>
                <w:sz w:val="20"/>
                <w:szCs w:val="20"/>
              </w:rPr>
              <w:t xml:space="preserve">(за исключением п. 12.1)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06.092022 № 1570</w:t>
            </w:r>
          </w:p>
        </w:tc>
      </w:tr>
      <w:tr>
        <w:tc>
          <w:tcPr>
            <w:tcW w:w="675" w:type="dxa"/>
            <w:shd w:val="clear" w:color="auto" w:fill="auto"/>
          </w:tcPr>
          <w:p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9</w:t>
            </w:r>
          </w:p>
        </w:tc>
        <w:tc>
          <w:tcPr>
            <w:tcW w:w="4253" w:type="dxa"/>
            <w:shd w:val="clear" w:color="auto" w:fill="auto"/>
          </w:tcPr>
          <w:p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258-Р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</w:p>
        </w:tc>
        <w:tc>
          <w:tcPr>
            <w:tcW w:w="4394" w:type="dxa"/>
            <w:shd w:val="clear" w:color="auto" w:fill="auto"/>
          </w:tcPr>
          <w:p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258-Р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</w:p>
        </w:tc>
      </w:tr>
      <w:tr>
        <w:tc>
          <w:tcPr>
            <w:tcW w:w="675" w:type="dxa"/>
            <w:shd w:val="clear" w:color="auto" w:fill="auto"/>
          </w:tcPr>
          <w:p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10</w:t>
            </w:r>
          </w:p>
        </w:tc>
        <w:tc>
          <w:tcPr>
            <w:tcW w:w="4253" w:type="dxa"/>
            <w:shd w:val="clear" w:color="auto" w:fill="auto"/>
          </w:tcPr>
          <w:p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358-Р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</w:p>
        </w:tc>
        <w:tc>
          <w:tcPr>
            <w:tcW w:w="4394" w:type="dxa"/>
            <w:shd w:val="clear" w:color="auto" w:fill="auto"/>
          </w:tcPr>
          <w:p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358-Р (в рамках </w:t>
            </w:r>
            <w:r>
              <w:rPr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</w:p>
        </w:tc>
      </w:tr>
      <w:tr>
        <w:tc>
          <w:tcPr>
            <w:tcW w:w="675" w:type="dxa"/>
            <w:shd w:val="clear" w:color="auto" w:fill="auto"/>
          </w:tcPr>
          <w:p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11</w:t>
            </w:r>
          </w:p>
        </w:tc>
        <w:tc>
          <w:tcPr>
            <w:tcW w:w="4253" w:type="dxa"/>
            <w:shd w:val="clear" w:color="auto" w:fill="auto"/>
          </w:tcPr>
          <w:p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1201-Р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</w:p>
        </w:tc>
        <w:tc>
          <w:tcPr>
            <w:tcW w:w="4394" w:type="dxa"/>
            <w:shd w:val="clear" w:color="auto" w:fill="auto"/>
          </w:tcPr>
          <w:p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1201-Р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</w:p>
        </w:tc>
      </w:tr>
      <w:tr>
        <w:tc>
          <w:tcPr>
            <w:tcW w:w="675" w:type="dxa"/>
            <w:shd w:val="clear" w:color="auto" w:fill="auto"/>
          </w:tcPr>
          <w:p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12</w:t>
            </w:r>
          </w:p>
        </w:tc>
        <w:tc>
          <w:tcPr>
            <w:tcW w:w="4253" w:type="dxa"/>
            <w:shd w:val="clear" w:color="auto" w:fill="auto"/>
          </w:tcPr>
          <w:p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1553-Р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</w:p>
        </w:tc>
        <w:tc>
          <w:tcPr>
            <w:tcW w:w="4394" w:type="dxa"/>
            <w:shd w:val="clear" w:color="auto" w:fill="auto"/>
          </w:tcPr>
          <w:p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1553-Р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</w:t>
            </w:r>
            <w:r>
              <w:rPr>
                <w:bCs/>
                <w:iCs/>
                <w:sz w:val="20"/>
                <w:szCs w:val="20"/>
              </w:rPr>
              <w:t xml:space="preserve">№ 1780)</w:t>
            </w:r>
          </w:p>
        </w:tc>
      </w:tr>
      <w:tr>
        <w:tc>
          <w:tcPr>
            <w:tcW w:w="675" w:type="dxa"/>
            <w:shd w:val="clear" w:color="auto" w:fill="auto"/>
          </w:tcPr>
          <w:p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13</w:t>
            </w:r>
          </w:p>
        </w:tc>
        <w:tc>
          <w:tcPr>
            <w:tcW w:w="4253" w:type="dxa"/>
            <w:shd w:val="clear" w:color="auto" w:fill="auto"/>
          </w:tcPr>
          <w:p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982-Р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 »</w:t>
            </w:r>
          </w:p>
        </w:tc>
        <w:tc>
          <w:tcPr>
            <w:tcW w:w="4394" w:type="dxa"/>
            <w:shd w:val="clear" w:color="auto" w:fill="auto"/>
          </w:tcPr>
          <w:p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14</w:t>
            </w:r>
          </w:p>
        </w:tc>
        <w:tc>
          <w:tcPr>
            <w:tcW w:w="4253" w:type="dxa"/>
            <w:shd w:val="clear" w:color="auto" w:fill="auto"/>
          </w:tcPr>
          <w:p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</w:p>
        </w:tc>
        <w:tc>
          <w:tcPr>
            <w:tcW w:w="4394" w:type="dxa"/>
            <w:shd w:val="clear" w:color="auto" w:fill="auto"/>
          </w:tcPr>
          <w:p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1780)»</w:t>
            </w:r>
          </w:p>
        </w:tc>
      </w:tr>
    </w:tbl>
    <w:p>
      <w:pPr>
        <w:spacing w:before="120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*Льготные программы кредитования в рамках решений о порядке предоставления субсидии, разработанных в соответствии с требованиями постановления Правительства Российской Федерации от 25.10.2023 № 1780 «Об утверждении Правил предоставления из бюджетов бюджетн</w:t>
      </w:r>
      <w:r>
        <w:rPr>
          <w:bCs/>
          <w:iCs/>
          <w:sz w:val="20"/>
          <w:szCs w:val="20"/>
        </w:rPr>
        <w:t xml:space="preserve">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услуг».».</w:t>
      </w:r>
    </w:p>
    <w:p>
      <w:pPr>
        <w:spacing w:after="120"/>
        <w:jc w:val="both"/>
        <w:outlineLvl w:val="5"/>
        <w:rPr>
          <w:bCs/>
          <w:iCs/>
          <w:sz w:val="20"/>
          <w:szCs w:val="20"/>
        </w:rPr>
      </w:pPr>
    </w:p>
    <w:p/>
    <w:p/>
    <w:p>
      <w:pPr>
        <w:pStyle w:val="4"/>
      </w:pPr>
      <w:r>
        <w:t xml:space="preserve">13. </w:t>
      </w:r>
      <w:r>
        <w:rPr>
          <w:sz w:val="24"/>
          <w:szCs w:val="24"/>
        </w:rPr>
        <w:t xml:space="preserve">Обслуживание торгово-сервисных предприятий</w:t>
      </w:r>
      <w:r>
        <w:rPr>
          <w:rStyle w:val="1-FNftref1Ciaeniinee-FNReferencianotaalpieFootnoteReferencefrUsedbyWordforHelpfootnotesymbolsSUPERSTableFootnotelast1Avg"/>
          <w:sz w:val="24"/>
          <w:szCs w:val="24"/>
        </w:rPr>
        <w:t xml:space="preserve">*</w:t>
      </w:r>
      <w:r>
        <w:rPr>
          <w:sz w:val="24"/>
          <w:szCs w:val="24"/>
        </w:rPr>
        <w:t xml:space="preserve">, прин</w:t>
      </w:r>
      <w:r>
        <w:rPr>
          <w:sz w:val="24"/>
          <w:szCs w:val="24"/>
        </w:rPr>
        <w:t xml:space="preserve">имающих к оплате платежные карты, а также принимающих оплату через сервис быстрых платежей платежной системы Банка России</w:t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"/>
        <w:gridCol w:w="3825"/>
        <w:gridCol w:w="2070"/>
        <w:gridCol w:w="3229"/>
      </w:tblGrid>
      <w:tr>
        <w:trPr>
          <w:tblHeader/>
        </w:trPr>
        <w:tc>
          <w:tcPr>
            <w:tcW w:w="490" w:type="pct"/>
            <w:shd w:val="clear" w:color="auto" w:fill="fff2cc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</w:p>
        </w:tc>
        <w:tc>
          <w:tcPr>
            <w:tcW w:w="1891" w:type="pct"/>
            <w:shd w:val="clear" w:color="auto" w:fill="fff2cc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</w:p>
        </w:tc>
        <w:tc>
          <w:tcPr>
            <w:tcW w:w="1023" w:type="pct"/>
            <w:shd w:val="clear" w:color="auto" w:fill="fff2cc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</w:p>
        </w:tc>
        <w:tc>
          <w:tcPr>
            <w:tcW w:w="1596" w:type="pct"/>
            <w:shd w:val="clear" w:color="auto" w:fill="fff2cc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</w:p>
        </w:tc>
      </w:tr>
      <w:tr>
        <w:tc>
          <w:tcPr>
            <w:tcW w:w="490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13.1.</w:t>
            </w:r>
          </w:p>
        </w:tc>
        <w:tc>
          <w:tcPr>
            <w:tcW w:w="1891" w:type="pct"/>
            <w:vAlign w:val="center"/>
          </w:tcPr>
          <w:p>
            <w:pPr>
              <w:spacing w:before="40" w:after="4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Комиссия за услугу «Торговый эквайринг», подключенную путем присоединения к Условиям эквайрингового обслуживания клиентов АО «Россельхозбанк» (торговый эквайринг) в соответствии с Тарифами Банка, с использованием карты JCB International, UnionPay Internati</w:t>
            </w:r>
            <w:r>
              <w:rPr>
                <w:iCs/>
                <w:color w:val="000000"/>
                <w:sz w:val="20"/>
                <w:szCs w:val="20"/>
              </w:rPr>
              <w:t xml:space="preserve">onal, национальной платежной системы «Мир» и иных международных платежных систем (В) (М), осуществление операций по картам которых обеспечивается АО «Национальная система платежных карт».</w:t>
            </w:r>
          </w:p>
        </w:tc>
        <w:tc>
          <w:tcPr>
            <w:tcW w:w="1023" w:type="pct"/>
          </w:tcPr>
          <w:p>
            <w:pPr>
              <w:spacing w:before="40" w:after="4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Приложению к Тарифам</w:t>
            </w:r>
          </w:p>
        </w:tc>
        <w:tc>
          <w:tcPr>
            <w:tcW w:w="1596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90" w:type="pc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13.2.</w:t>
            </w:r>
          </w:p>
        </w:tc>
        <w:tc>
          <w:tcPr>
            <w:tcW w:w="1891" w:type="pct"/>
          </w:tcPr>
          <w:p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картами»</w:t>
            </w:r>
          </w:p>
        </w:tc>
        <w:tc>
          <w:tcPr>
            <w:tcW w:w="1023" w:type="pct"/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взимается</w:t>
            </w:r>
          </w:p>
        </w:tc>
        <w:tc>
          <w:tcPr>
            <w:tcW w:w="1596" w:type="pct"/>
          </w:tcPr>
          <w:p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</w:t>
            </w:r>
            <w:r>
              <w:rPr>
                <w:bCs/>
                <w:sz w:val="20"/>
                <w:szCs w:val="20"/>
              </w:rPr>
              <w:t xml:space="preserve">операциям с платежными картами</w:t>
            </w:r>
          </w:p>
        </w:tc>
      </w:tr>
      <w:tr>
        <w:tc>
          <w:tcPr>
            <w:tcW w:w="490" w:type="pct"/>
            <w:vAlign w:val="center"/>
          </w:tcPr>
          <w:p>
            <w:pPr>
              <w:spacing w:before="40" w:after="40"/>
              <w:ind w:left="72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</w:t>
            </w:r>
          </w:p>
        </w:tc>
        <w:tc>
          <w:tcPr>
            <w:tcW w:w="1891" w:type="pct"/>
            <w:vAlign w:val="center"/>
          </w:tcPr>
          <w:p>
            <w:pPr>
              <w:spacing w:before="40" w:after="40"/>
              <w:ind w:left="72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в сети Интернет:</w:t>
            </w:r>
          </w:p>
        </w:tc>
        <w:tc>
          <w:tcPr>
            <w:tcW w:w="1023" w:type="pct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90" w:type="pct"/>
          </w:tcPr>
          <w:p>
            <w:pPr>
              <w:spacing w:before="40" w:after="40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13.3.1.</w:t>
            </w:r>
          </w:p>
        </w:tc>
        <w:tc>
          <w:tcPr>
            <w:tcW w:w="1891" w:type="pct"/>
            <w:vAlign w:val="center"/>
          </w:tcPr>
          <w:p>
            <w:pPr>
              <w:spacing w:before="40" w:after="40"/>
              <w:ind w:left="72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</w:t>
            </w:r>
            <w:r>
              <w:rPr>
                <w:sz w:val="20"/>
                <w:szCs w:val="20"/>
              </w:rPr>
              <w:t xml:space="preserve"> использованием карты JCB International, UnionPay International, национальной платежной системы </w:t>
            </w:r>
            <w:r>
              <w:rPr>
                <w:sz w:val="20"/>
                <w:szCs w:val="20"/>
              </w:rPr>
              <w:t xml:space="preserve">«Мир» и иных международных платежных систем (В) (М), осуществление операций </w:t>
            </w:r>
            <w:r>
              <w:rPr>
                <w:sz w:val="20"/>
                <w:szCs w:val="20"/>
              </w:rPr>
              <w:br/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 (кроме карт, выпущенных АО «Россельхозбан</w:t>
            </w:r>
            <w:r>
              <w:rPr>
                <w:sz w:val="20"/>
                <w:szCs w:val="20"/>
              </w:rPr>
              <w:t xml:space="preserve">к»)</w:t>
            </w:r>
          </w:p>
        </w:tc>
        <w:tc>
          <w:tcPr>
            <w:tcW w:w="1023" w:type="pct"/>
          </w:tcPr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</w:p>
        </w:tc>
        <w:tc>
          <w:tcPr>
            <w:tcW w:w="1596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90" w:type="pct"/>
          </w:tcPr>
          <w:p>
            <w:pPr>
              <w:spacing w:before="40" w:after="40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13.3.2.</w:t>
            </w:r>
          </w:p>
        </w:tc>
        <w:tc>
          <w:tcPr>
            <w:tcW w:w="1891" w:type="pct"/>
            <w:vAlign w:val="center"/>
          </w:tcPr>
          <w:p>
            <w:pPr>
              <w:spacing w:before="40" w:after="4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</w:t>
            </w:r>
            <w:r>
              <w:rPr>
                <w:sz w:val="20"/>
                <w:szCs w:val="20"/>
              </w:rPr>
              <w:t xml:space="preserve"> использованием карты, выпущенной АО «Россельхозбанк» (JCB International, UnionPay International, национальная платежная система «Мир» и иные международные платежные системы (В) (М), осуществление операций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 (всех категорий))</w:t>
            </w:r>
          </w:p>
        </w:tc>
        <w:tc>
          <w:tcPr>
            <w:tcW w:w="1023" w:type="pct"/>
          </w:tcPr>
          <w:p>
            <w:pPr>
              <w:spacing w:before="40" w:after="4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</w:p>
        </w:tc>
        <w:tc>
          <w:tcPr>
            <w:tcW w:w="1596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90" w:type="pct"/>
          </w:tcPr>
          <w:p>
            <w:pPr>
              <w:spacing w:before="40" w:after="40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13.4.</w:t>
            </w:r>
          </w:p>
        </w:tc>
        <w:tc>
          <w:tcPr>
            <w:tcW w:w="1891" w:type="pct"/>
          </w:tcPr>
          <w:p>
            <w:pPr>
              <w:spacing w:before="40" w:after="40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Ежемесячная комиссия за оказание услуги по сбору, обработке и рассы</w:t>
            </w:r>
            <w:r>
              <w:rPr>
                <w:sz w:val="20"/>
                <w:szCs w:val="20"/>
              </w:rPr>
              <w:t xml:space="preserve">лке участникам расчетов информации по операциям с платежными картами, совершаемым в сети Интернет.</w:t>
            </w:r>
          </w:p>
        </w:tc>
        <w:tc>
          <w:tcPr>
            <w:tcW w:w="1023" w:type="pct"/>
          </w:tcPr>
          <w:p>
            <w:pPr>
              <w:spacing w:before="40" w:after="40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</w:p>
        </w:tc>
        <w:tc>
          <w:tcPr>
            <w:tcW w:w="1596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90" w:type="pct"/>
          </w:tcPr>
          <w:p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13.5.</w:t>
            </w:r>
          </w:p>
        </w:tc>
        <w:tc>
          <w:tcPr>
            <w:tcW w:w="1891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</w:t>
            </w:r>
            <w:r>
              <w:rPr>
                <w:sz w:val="20"/>
                <w:szCs w:val="20"/>
              </w:rPr>
              <w:t xml:space="preserve">овершение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предпринимателей и самозанятых</w:t>
            </w:r>
          </w:p>
        </w:tc>
        <w:tc>
          <w:tcPr>
            <w:tcW w:w="1023" w:type="pct"/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pct"/>
            <w:vAlign w:val="center"/>
          </w:tcPr>
          <w:p>
            <w:pPr>
              <w:spacing w:before="40" w:after="40"/>
              <w:rPr>
                <w:color w:val="ff0000"/>
                <w:sz w:val="20"/>
                <w:szCs w:val="20"/>
              </w:rPr>
            </w:pPr>
          </w:p>
        </w:tc>
      </w:tr>
      <w:tr>
        <w:tc>
          <w:tcPr>
            <w:tcW w:w="490" w:type="pct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</w:t>
            </w:r>
          </w:p>
        </w:tc>
        <w:tc>
          <w:tcPr>
            <w:tcW w:w="1891" w:type="pct"/>
          </w:tcPr>
          <w:p>
            <w:pPr>
              <w:spacing w:before="40" w:after="40"/>
              <w:ind w:lef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зависимости от классификации получателя по типу деятельности: </w:t>
            </w:r>
          </w:p>
        </w:tc>
        <w:tc>
          <w:tcPr>
            <w:tcW w:w="1023" w:type="pct"/>
          </w:tcPr>
          <w:p>
            <w:pPr>
              <w:spacing w:before="40" w:after="40"/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pct"/>
            <w:vAlign w:val="center"/>
          </w:tcPr>
          <w:p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>
        <w:tc>
          <w:tcPr>
            <w:tcW w:w="490" w:type="pct"/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13.5.1.1.</w:t>
            </w:r>
          </w:p>
        </w:tc>
        <w:tc>
          <w:tcPr>
            <w:tcW w:w="1891" w:type="pct"/>
          </w:tcPr>
          <w:p>
            <w:pPr>
              <w:spacing w:before="40" w:after="40"/>
              <w:ind w:lef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Государственные платежи</w:t>
            </w:r>
          </w:p>
        </w:tc>
        <w:tc>
          <w:tcPr>
            <w:tcW w:w="1023" w:type="pct"/>
          </w:tcPr>
          <w:p>
            <w:pPr>
              <w:spacing w:before="40" w:after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взимается</w:t>
            </w:r>
          </w:p>
        </w:tc>
        <w:tc>
          <w:tcPr>
            <w:tcW w:w="1596" w:type="pct"/>
            <w:vAlign w:val="center"/>
          </w:tcPr>
          <w:p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>
        <w:tc>
          <w:tcPr>
            <w:tcW w:w="490" w:type="pct"/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13.5.1.2.</w:t>
            </w:r>
          </w:p>
        </w:tc>
        <w:tc>
          <w:tcPr>
            <w:tcW w:w="1891" w:type="pct"/>
          </w:tcPr>
          <w:p>
            <w:pPr>
              <w:spacing w:before="40" w:after="40"/>
              <w:ind w:lef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услуг медицинских и образовательных учреждений, платежи в пользу благотворительных ор</w:t>
            </w:r>
            <w:r>
              <w:rPr>
                <w:sz w:val="20"/>
                <w:szCs w:val="20"/>
              </w:rPr>
              <w:t xml:space="preserve">ганизаций, оплата услуг транспортной инфраструктуры, оплата телекоммуникационных, информационных и почтовых услуг, оплата потребительских товаров и товаров повседневного спроса, оплата лекарств, биологически-активных добавок и иных товаров медицинского наз</w:t>
            </w:r>
            <w:r>
              <w:rPr>
                <w:sz w:val="20"/>
                <w:szCs w:val="20"/>
              </w:rPr>
              <w:t xml:space="preserve">начения, исключая медтехнику, оплата услуг страховых компаний, перевод денежных средств на счета профессиональных участников рынка ценных бумаг и управляющих компаний инвестиционных фондов, паевых инвестиционных фондов и негосударственных пенсионных фондов</w:t>
            </w:r>
          </w:p>
        </w:tc>
        <w:tc>
          <w:tcPr>
            <w:tcW w:w="1023" w:type="pct"/>
          </w:tcPr>
          <w:p>
            <w:pPr>
              <w:spacing w:before="40" w:after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0,40% от суммы операции,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но не более 1 500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операцию</w:t>
            </w:r>
          </w:p>
        </w:tc>
        <w:tc>
          <w:tcPr>
            <w:tcW w:w="1596" w:type="pct"/>
            <w:vAlign w:val="center"/>
          </w:tcPr>
          <w:p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>
        <w:tc>
          <w:tcPr>
            <w:tcW w:w="490" w:type="pct"/>
          </w:tcPr>
          <w:p>
            <w:pPr>
              <w:spacing w:before="40" w:after="40"/>
              <w:ind w:lef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13.5.1.3.</w:t>
            </w:r>
          </w:p>
        </w:tc>
        <w:tc>
          <w:tcPr>
            <w:tcW w:w="1891" w:type="pct"/>
          </w:tcPr>
          <w:p>
            <w:pPr>
              <w:spacing w:before="40" w:after="40"/>
              <w:ind w:lef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жилищно-коммунальных услуг</w:t>
            </w:r>
          </w:p>
        </w:tc>
        <w:tc>
          <w:tcPr>
            <w:tcW w:w="1023" w:type="pct"/>
          </w:tcPr>
          <w:p>
            <w:pPr>
              <w:spacing w:before="40" w:after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0,20% от суммы операции,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но не более 10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операцию</w:t>
            </w:r>
          </w:p>
        </w:tc>
        <w:tc>
          <w:tcPr>
            <w:tcW w:w="1596" w:type="pct"/>
            <w:vAlign w:val="center"/>
          </w:tcPr>
          <w:p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>
        <w:tc>
          <w:tcPr>
            <w:tcW w:w="490" w:type="pct"/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13.5.1.4.</w:t>
            </w:r>
          </w:p>
        </w:tc>
        <w:tc>
          <w:tcPr>
            <w:tcW w:w="1891" w:type="pct"/>
          </w:tcPr>
          <w:p>
            <w:pPr>
              <w:spacing w:before="40" w:after="40"/>
              <w:ind w:lef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товаров (работ, услуг), не включенных 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п.п. 13.5.1.1, 13.5.1.2 и 13.5.1.3</w:t>
            </w:r>
          </w:p>
        </w:tc>
        <w:tc>
          <w:tcPr>
            <w:tcW w:w="1023" w:type="pct"/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0,70% от суммы операции, но не более 1 500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операцию</w:t>
            </w:r>
          </w:p>
        </w:tc>
        <w:tc>
          <w:tcPr>
            <w:tcW w:w="1596" w:type="pct"/>
            <w:vAlign w:val="center"/>
          </w:tcPr>
          <w:p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>
        <w:tc>
          <w:tcPr>
            <w:tcW w:w="490" w:type="pct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13.5.2.</w:t>
            </w:r>
          </w:p>
        </w:tc>
        <w:tc>
          <w:tcPr>
            <w:tcW w:w="1891" w:type="pct"/>
          </w:tcPr>
          <w:p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Обработка операции, инициируемой ТСП, по возврату плательщику ранее перечисленных им денежных средств в счет оплаты товаров (работ, услуг)</w:t>
            </w:r>
          </w:p>
        </w:tc>
        <w:tc>
          <w:tcPr>
            <w:tcW w:w="1023" w:type="pct"/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</w:p>
        </w:tc>
        <w:tc>
          <w:tcPr>
            <w:tcW w:w="1596" w:type="pct"/>
            <w:vAlign w:val="center"/>
          </w:tcPr>
          <w:p>
            <w:pPr>
              <w:spacing w:before="40" w:after="40"/>
              <w:rPr>
                <w:color w:val="ff0000"/>
                <w:sz w:val="20"/>
                <w:szCs w:val="20"/>
              </w:rPr>
            </w:pPr>
          </w:p>
        </w:tc>
      </w:tr>
      <w:tr>
        <w:tc>
          <w:tcPr>
            <w:tcW w:w="490" w:type="pct"/>
          </w:tcPr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13.6.</w:t>
            </w:r>
          </w:p>
        </w:tc>
        <w:tc>
          <w:tcPr>
            <w:tcW w:w="1891" w:type="pct"/>
            <w:vAlign w:val="center"/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с использованием сервиса быстрых платежей платежной системы Банка России, при осуществлении их перевода юридическими лицами, индивидуальными предпринимателями в пользу юридических лиц и индивидуальных пр</w:t>
            </w:r>
            <w:r>
              <w:rPr>
                <w:sz w:val="20"/>
                <w:szCs w:val="20"/>
              </w:rPr>
              <w:t xml:space="preserve">едпринимателей:</w:t>
            </w:r>
          </w:p>
        </w:tc>
        <w:tc>
          <w:tcPr>
            <w:tcW w:w="1023" w:type="pct"/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pct"/>
            <w:vAlign w:val="center"/>
          </w:tcPr>
          <w:p>
            <w:pPr>
              <w:spacing w:before="40" w:after="40"/>
              <w:rPr>
                <w:color w:val="ff0000"/>
                <w:sz w:val="20"/>
                <w:szCs w:val="20"/>
              </w:rPr>
            </w:pPr>
          </w:p>
        </w:tc>
      </w:tr>
      <w:tr>
        <w:tc>
          <w:tcPr>
            <w:tcW w:w="490" w:type="pct"/>
          </w:tcPr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13.6.1</w:t>
            </w:r>
          </w:p>
        </w:tc>
        <w:tc>
          <w:tcPr>
            <w:tcW w:w="1891" w:type="pct"/>
            <w:vAlign w:val="center"/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уплачиваемая клиентами Банка, являющимися отправителями денежных средств</w:t>
            </w:r>
          </w:p>
        </w:tc>
        <w:tc>
          <w:tcPr>
            <w:tcW w:w="1023" w:type="pct"/>
            <w:vAlign w:val="center"/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37 руб. за операцию</w:t>
            </w:r>
          </w:p>
        </w:tc>
        <w:tc>
          <w:tcPr>
            <w:tcW w:w="1596" w:type="pct"/>
            <w:vAlign w:val="center"/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лимит одного перевода – 999 999,99 руб.</w:t>
            </w:r>
          </w:p>
        </w:tc>
      </w:tr>
      <w:tr>
        <w:tc>
          <w:tcPr>
            <w:tcW w:w="490" w:type="pct"/>
          </w:tcPr>
          <w:p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13.6.2</w:t>
            </w:r>
          </w:p>
        </w:tc>
        <w:tc>
          <w:tcPr>
            <w:tcW w:w="1891" w:type="pct"/>
            <w:vAlign w:val="center"/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уплачиваемая клиентами Банка, являющимися получателями денежных средств</w:t>
            </w:r>
          </w:p>
        </w:tc>
        <w:tc>
          <w:tcPr>
            <w:tcW w:w="1023" w:type="pct"/>
            <w:vAlign w:val="center"/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взимается»</w:t>
            </w:r>
          </w:p>
        </w:tc>
        <w:tc>
          <w:tcPr>
            <w:tcW w:w="1596" w:type="pct"/>
            <w:vAlign w:val="center"/>
          </w:tcPr>
          <w:p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</w:tr>
    </w:tbl>
    <w:p>
      <w:pPr>
        <w:pStyle w:val="a3"/>
        <w:tabs>
          <w:tab w:val="left" w:pos="426"/>
        </w:tabs>
        <w:spacing w:line="240" w:lineRule="auto"/>
        <w:ind w:left="0"/>
        <w:jc w:val="both"/>
        <w:rPr>
          <w:i/>
          <w:sz w:val="24"/>
          <w:szCs w:val="24"/>
        </w:rPr>
      </w:pPr>
      <w:r>
        <w:rPr>
          <w:rStyle w:val="1-FNftref1Ciaeniinee-FNReferencianotaalpieFootnoteReferencefrUsedbyWordforHelpfootnotesymbolsSUPERSTableFootnotelast1Avg"/>
        </w:rPr>
        <w:t xml:space="preserve">*</w:t>
      </w:r>
      <w:r>
        <w:rPr>
          <w:rFonts w:ascii="Times New Roman" w:hAnsi="Times New Roman"/>
          <w:i/>
          <w:sz w:val="16"/>
          <w:szCs w:val="16"/>
        </w:rPr>
        <w:t xml:space="preserve">Под </w:t>
      </w:r>
      <w:r>
        <w:rPr>
          <w:rFonts w:ascii="Times New Roman" w:hAnsi="Times New Roman"/>
          <w:i/>
          <w:sz w:val="16"/>
          <w:szCs w:val="16"/>
          <w:u w:val="single"/>
        </w:rPr>
        <w:t xml:space="preserve">торгово-сервисным предприятием</w:t>
      </w:r>
      <w:r>
        <w:rPr>
          <w:rFonts w:ascii="Times New Roman" w:hAnsi="Times New Roman"/>
          <w:i/>
          <w:sz w:val="16"/>
          <w:szCs w:val="16"/>
        </w:rPr>
        <w:t xml:space="preserve"> (ТСП) для целей настоящего раздела понимается юридическое лицо, индивидуальный предприниматель, бюджетное учреждение, нотариус, занимающийся частной практикой, иные организации и учреждения независимо от вида деятельн</w:t>
      </w:r>
      <w:r>
        <w:rPr>
          <w:rFonts w:ascii="Times New Roman" w:hAnsi="Times New Roman"/>
          <w:i/>
          <w:sz w:val="16"/>
          <w:szCs w:val="16"/>
        </w:rPr>
        <w:t xml:space="preserve">ости и организационно-правовой формы, заключившие с Банком договор эквайринга или договор, предусматривающий обслуживание в сервисе быстрых платежей платежной системы Банка России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.</w:t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 Обслуживание бюджетных учреждений, принимающих к оплате платежн</w:t>
      </w:r>
      <w:r>
        <w:rPr>
          <w:i/>
          <w:sz w:val="16"/>
          <w:szCs w:val="16"/>
        </w:rPr>
        <w:t xml:space="preserve">ые карты, осуществляется без взимания комиссионного вознаграждения.</w:t>
      </w:r>
    </w:p>
    <w:p>
      <w:pPr>
        <w:rPr>
          <w:i/>
          <w:sz w:val="16"/>
          <w:szCs w:val="16"/>
        </w:rPr>
      </w:pPr>
    </w:p>
    <w:p>
      <w:pPr>
        <w:pStyle w:val="1112111"/>
        <w:jc w:val="both"/>
        <w:rPr>
          <w:i/>
          <w:sz w:val="16"/>
          <w:szCs w:val="16"/>
        </w:rPr>
      </w:pPr>
      <w:r>
        <w:rPr>
          <w:i/>
          <w:sz w:val="18"/>
          <w:szCs w:val="18"/>
          <w:vertAlign w:val="superscript"/>
        </w:rPr>
        <w:t xml:space="preserve">**</w:t>
      </w:r>
      <w:r>
        <w:rPr>
          <w:i/>
          <w:sz w:val="18"/>
          <w:szCs w:val="18"/>
        </w:rPr>
        <w:t xml:space="preserve"> </w:t>
      </w:r>
      <w:r>
        <w:rPr>
          <w:i/>
          <w:sz w:val="16"/>
          <w:szCs w:val="16"/>
        </w:rPr>
        <w:t xml:space="preserve">Тарифы, установленные пунктом 13.1.2, применяются при предоставлении услуг новым Клиентам Банка. Новым Клиентом является Клиент, у которого </w:t>
      </w:r>
      <w:r>
        <w:rPr>
          <w:i/>
          <w:sz w:val="16"/>
          <w:szCs w:val="16"/>
        </w:rPr>
        <w:t xml:space="preserve">на момент подключения услуги отсутствует действующий Договор эквайринга в рамках одного регионального филиала Банка/внутреннего структурного подразделения Банка и ранее действующие Договоры эквайринга были расторгнуты Клиентом/Банком более 3 месяцев назад.</w:t>
      </w:r>
    </w:p>
    <w:p>
      <w:pPr>
        <w:rPr>
          <w:i/>
          <w:sz w:val="16"/>
          <w:szCs w:val="16"/>
        </w:rPr>
      </w:pPr>
    </w:p>
    <w:p/>
    <w:p>
      <w:pPr>
        <w:pStyle w:val="4"/>
      </w:pPr>
      <w:r>
        <w:t xml:space="preserve">14. Депозитарные услуги*</w:t>
      </w:r>
    </w:p>
    <w:p/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16"/>
        <w:gridCol w:w="3534"/>
        <w:gridCol w:w="1831"/>
        <w:gridCol w:w="1018"/>
        <w:gridCol w:w="2816"/>
      </w:tblGrid>
      <w:tr>
        <w:trPr>
          <w:tblHeader/>
        </w:trP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</w:p>
        </w:tc>
        <w:tc>
          <w:tcPr>
            <w:tcW w:w="1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</w:p>
        </w:tc>
      </w:tr>
      <w:t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 Административные операции</w:t>
            </w:r>
          </w:p>
        </w:tc>
      </w:tr>
      <w:t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14.1.1.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Default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Открытие счета депо</w:t>
            </w:r>
          </w:p>
        </w:tc>
        <w:tc>
          <w:tcPr>
            <w:tcW w:w="1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Default"/>
              <w:spacing w:before="40" w:after="40"/>
              <w:jc w:val="center"/>
              <w:rPr>
                <w:rFonts w:eastAsia="Arial Unicode MS"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2 000 руб., </w:t>
            </w:r>
          </w:p>
          <w:p>
            <w:pPr>
              <w:pStyle w:val="Default"/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100 руб. за каждый последующий счет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Arial Unicode MS"/>
                <w:sz w:val="20"/>
                <w:szCs w:val="20"/>
              </w:rPr>
            </w:pPr>
          </w:p>
        </w:tc>
      </w:tr>
      <w:t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14.1.2.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Default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Открытие индивидуального раздела на междепозитарном счете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в НКО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НРД и в других депозитариях по поручению клиента</w:t>
            </w:r>
          </w:p>
        </w:tc>
        <w:tc>
          <w:tcPr>
            <w:tcW w:w="1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Default"/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 за каждый раздел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Arial Unicode MS"/>
                <w:sz w:val="20"/>
                <w:szCs w:val="20"/>
              </w:rPr>
            </w:pPr>
          </w:p>
        </w:tc>
      </w:tr>
      <w:t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14.1.3.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депо</w:t>
            </w:r>
          </w:p>
        </w:tc>
        <w:tc>
          <w:tcPr>
            <w:tcW w:w="1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Arial Unicode MS"/>
                <w:sz w:val="20"/>
                <w:szCs w:val="20"/>
              </w:rPr>
            </w:pPr>
          </w:p>
        </w:tc>
      </w:tr>
      <w:t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Default"/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14.1.4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Default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Открытие счета номинального держателя АО «Россельхозбанк» в реестре владельцев ценных бумаг</w:t>
            </w:r>
          </w:p>
        </w:tc>
        <w:tc>
          <w:tcPr>
            <w:tcW w:w="1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Default"/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20 000 руб.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Arial Unicode MS"/>
                <w:sz w:val="20"/>
                <w:szCs w:val="20"/>
              </w:rPr>
            </w:pPr>
          </w:p>
        </w:tc>
      </w:tr>
      <w:t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14.1.5.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 депо</w:t>
            </w:r>
          </w:p>
        </w:tc>
        <w:tc>
          <w:tcPr>
            <w:tcW w:w="1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Arial Unicode MS"/>
                <w:sz w:val="20"/>
                <w:szCs w:val="20"/>
              </w:rPr>
            </w:pPr>
          </w:p>
        </w:tc>
      </w:tr>
      <w:t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14.2. Хранение и учет ценных бумаг</w:t>
            </w:r>
          </w:p>
        </w:tc>
      </w:tr>
      <w:t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14.2.1.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Default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</w:p>
        </w:tc>
        <w:tc>
          <w:tcPr>
            <w:tcW w:w="1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</w:t>
            </w:r>
            <w:r>
              <w:rPr>
                <w:bCs/>
                <w:sz w:val="20"/>
                <w:szCs w:val="20"/>
              </w:rPr>
              <w:t xml:space="preserve">уб. в месяц, свыше 50 млн. руб. - 0,06% годовых, минимум 300 руб. в месяц</w:t>
            </w:r>
          </w:p>
          <w:p>
            <w:pPr>
              <w:pStyle w:val="Default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млн. руб. - 0,05% годовых минимум 300 руб. в месяц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Default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</w:t>
            </w:r>
            <w:r>
              <w:rPr>
                <w:sz w:val="20"/>
                <w:szCs w:val="20"/>
              </w:rPr>
              <w:t xml:space="preserve">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</w:p>
        </w:tc>
      </w:tr>
      <w:tr>
        <w:trPr>
          <w:cantSplit/>
        </w:trP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14.2.2.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Default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</w:p>
        </w:tc>
        <w:tc>
          <w:tcPr>
            <w:tcW w:w="1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руб. месяц, свыше 50 млн. руб. - 0,06% годовых, минимум 300 руб. в месяц</w:t>
            </w:r>
          </w:p>
          <w:p>
            <w:pPr>
              <w:pStyle w:val="Default"/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</w:t>
            </w:r>
            <w:r>
              <w:rPr>
                <w:bCs/>
                <w:sz w:val="20"/>
                <w:szCs w:val="20"/>
              </w:rPr>
              <w:t xml:space="preserve">млн. руб. - 0,05% годовых, минимум 300 руб. в месяцгодовых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Default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</w:p>
        </w:tc>
      </w:tr>
      <w:t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14.2.3. Хранение неэмиссионных ценных бумаг</w:t>
            </w:r>
            <w:r>
              <w:rPr>
                <w:sz w:val="20"/>
                <w:szCs w:val="20"/>
              </w:rPr>
              <w:t xml:space="preserve">:</w:t>
            </w:r>
          </w:p>
        </w:tc>
      </w:tr>
      <w:t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14.2.3.1.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имеющих номинальную стоимость</w:t>
            </w:r>
          </w:p>
        </w:tc>
        <w:tc>
          <w:tcPr>
            <w:tcW w:w="1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Default"/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300 млн. руб. (включительно) - 0,07% годовых, минимум 300 руб. месяц, от 300 млн. руб. до 500 млн. руб. (включительно) - 0,065% годовых, минимум 300 руб. в месяц, свыше 500 млн. руб. - 0,06% годовых, минимум 300 руб. в месяц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Default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</w:t>
            </w:r>
            <w:r>
              <w:rPr>
                <w:sz w:val="20"/>
                <w:szCs w:val="20"/>
              </w:rPr>
              <w:t xml:space="preserve"> от номинальной стоимости ежедневного остатка ценных бумаг</w:t>
            </w:r>
          </w:p>
        </w:tc>
      </w:tr>
      <w:t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14.2.3.2.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Default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не имеющих номинальную стоимость</w:t>
            </w:r>
          </w:p>
        </w:tc>
        <w:tc>
          <w:tcPr>
            <w:tcW w:w="1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Default"/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 в месяц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Default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ежеквартально независимо от количества ценных бумаг».</w:t>
            </w:r>
          </w:p>
        </w:tc>
      </w:tr>
      <w:t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14.2.4.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не обращающихся на организованном рынке ценных бумаг</w:t>
            </w:r>
          </w:p>
        </w:tc>
        <w:tc>
          <w:tcPr>
            <w:tcW w:w="1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Default"/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в месяц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Default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паев)».</w:t>
            </w:r>
          </w:p>
        </w:tc>
      </w:tr>
      <w:t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14.2.5.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Default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обращающихся на организованном рынке ценных бумаг</w:t>
            </w:r>
          </w:p>
        </w:tc>
        <w:tc>
          <w:tcPr>
            <w:tcW w:w="1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Default"/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0,7% годовых, минимум 300 руб. в месяц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Default"/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Плата рассчитывается в процентах годовых от расчётной стоимости паёв пропорционально срока их</w:t>
            </w:r>
            <w:r>
              <w:rPr>
                <w:sz w:val="20"/>
                <w:szCs w:val="20"/>
              </w:rPr>
              <w:t xml:space="preserve"> хранения на счёте депо на дату выставления счета.</w:t>
            </w:r>
          </w:p>
        </w:tc>
      </w:tr>
      <w:t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</w:t>
            </w:r>
            <w:r>
              <w:rPr>
                <w:sz w:val="20"/>
                <w:szCs w:val="20"/>
                <w:lang w:val="en-US"/>
              </w:rPr>
              <w:t xml:space="preserve">6</w:t>
            </w:r>
            <w:r>
              <w:rPr>
                <w:sz w:val="20"/>
                <w:szCs w:val="20"/>
              </w:rPr>
              <w:t xml:space="preserve">.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Default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Хранение и учет ценных бумаг, являющихся обеспечением по кредитам, выданным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</w:t>
            </w:r>
          </w:p>
        </w:tc>
        <w:tc>
          <w:tcPr>
            <w:tcW w:w="1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Default"/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0,035%, годовых минимум 100 руб. в месяц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Default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стоимости.</w:t>
            </w:r>
          </w:p>
        </w:tc>
      </w:tr>
      <w:t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14.2.7.</w:t>
            </w:r>
          </w:p>
        </w:tc>
        <w:tc>
          <w:tcPr>
            <w:tcW w:w="45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Хранение и учет на торговом счете ДЕПО ценных бумаг Де</w:t>
            </w:r>
            <w:r>
              <w:rPr>
                <w:b/>
                <w:sz w:val="20"/>
                <w:szCs w:val="20"/>
              </w:rPr>
              <w:t xml:space="preserve">понентов, принятых АО «Россельхозбанк» на брокерское обслуживание</w:t>
            </w:r>
          </w:p>
        </w:tc>
      </w:tr>
      <w:t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Средневзвешенная стоимость</w:t>
            </w:r>
            <w:r>
              <w:rPr>
                <w:sz w:val="20"/>
                <w:szCs w:val="20"/>
              </w:rPr>
              <w:footnoteReference w:id="5"/>
            </w:r>
            <w:r>
              <w:rPr>
                <w:sz w:val="20"/>
                <w:szCs w:val="20"/>
              </w:rPr>
              <w:t xml:space="preserve"> ценных бумаг (млрд. руб.)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годовых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5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</w:t>
            </w:r>
            <w:r>
              <w:rPr>
                <w:sz w:val="20"/>
                <w:szCs w:val="20"/>
                <w:lang w:val="en-US"/>
              </w:rPr>
              <w:t xml:space="preserve">7</w:t>
            </w:r>
            <w:r>
              <w:rPr>
                <w:sz w:val="20"/>
                <w:szCs w:val="20"/>
              </w:rPr>
              <w:t xml:space="preserve">.1.</w:t>
            </w:r>
          </w:p>
        </w:tc>
        <w:tc>
          <w:tcPr>
            <w:tcW w:w="174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облигаций, выпущенных на территории Российской Федерации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0,026% </w:t>
            </w:r>
            <w:r>
              <w:rPr>
                <w:bCs/>
                <w:iCs/>
                <w:sz w:val="20"/>
                <w:szCs w:val="20"/>
              </w:rPr>
              <w:t xml:space="preserve">минимум </w:t>
            </w:r>
            <w:r>
              <w:rPr>
                <w:bCs/>
                <w:i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  <w:t xml:space="preserve">0 руб. в месяц</w:t>
            </w:r>
          </w:p>
        </w:tc>
        <w:tc>
          <w:tcPr>
            <w:tcW w:w="139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464"/>
                <w:tab w:val="left" w:pos="5760"/>
              </w:tabs>
              <w:spacing w:before="40" w:after="40"/>
              <w:ind w:right="-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ежемесячной средневзвешенной стоимости </w:t>
            </w:r>
            <w:r>
              <w:rPr>
                <w:sz w:val="20"/>
                <w:szCs w:val="20"/>
              </w:rPr>
              <w:t xml:space="preserve">ценных бумаг на счете депо. </w:t>
            </w:r>
          </w:p>
          <w:p>
            <w:pPr>
              <w:tabs>
                <w:tab w:val="left" w:pos="4464"/>
                <w:tab w:val="left" w:pos="5760"/>
              </w:tabs>
              <w:spacing w:before="40" w:after="40"/>
              <w:ind w:right="-17"/>
              <w:rPr>
                <w:sz w:val="20"/>
                <w:szCs w:val="20"/>
              </w:rPr>
            </w:pPr>
          </w:p>
          <w:p>
            <w:pPr>
              <w:tabs>
                <w:tab w:val="left" w:pos="4464"/>
                <w:tab w:val="left" w:pos="5760"/>
              </w:tabs>
              <w:spacing w:before="40" w:after="40"/>
              <w:ind w:right="-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</w:t>
            </w:r>
            <w:r>
              <w:rPr>
                <w:sz w:val="20"/>
                <w:szCs w:val="20"/>
              </w:rPr>
              <w:t xml:space="preserve">соответствии с Тарифом. </w:t>
            </w:r>
          </w:p>
        </w:tc>
      </w:tr>
      <w:tr>
        <w:tc>
          <w:tcPr>
            <w:tcW w:w="453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0,024 %</w:t>
            </w:r>
          </w:p>
        </w:tc>
        <w:tc>
          <w:tcPr>
            <w:tcW w:w="1392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53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 до 10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0,0197%</w:t>
            </w:r>
          </w:p>
        </w:tc>
        <w:tc>
          <w:tcPr>
            <w:tcW w:w="1392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53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 до 20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0,0192%</w:t>
            </w:r>
          </w:p>
        </w:tc>
        <w:tc>
          <w:tcPr>
            <w:tcW w:w="1392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53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  <w:lang w:val="en-US"/>
              </w:rPr>
              <w:t xml:space="preserve">20</w:t>
            </w:r>
            <w:r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  <w:lang w:val="en-US"/>
              </w:rPr>
              <w:t xml:space="preserve">50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</w:t>
            </w:r>
            <w:r>
              <w:rPr>
                <w:sz w:val="20"/>
                <w:szCs w:val="20"/>
                <w:lang w:val="en-US"/>
              </w:rPr>
              <w:t xml:space="preserve">72</w:t>
            </w:r>
            <w:r>
              <w:rPr>
                <w:sz w:val="20"/>
                <w:szCs w:val="20"/>
              </w:rPr>
              <w:t xml:space="preserve">%</w:t>
            </w:r>
          </w:p>
        </w:tc>
        <w:tc>
          <w:tcPr>
            <w:tcW w:w="1392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5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0,016%</w:t>
            </w:r>
          </w:p>
        </w:tc>
        <w:tc>
          <w:tcPr>
            <w:tcW w:w="1392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230"/>
        </w:trPr>
        <w:tc>
          <w:tcPr>
            <w:tcW w:w="45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14.2.7.2.</w:t>
            </w:r>
          </w:p>
        </w:tc>
        <w:tc>
          <w:tcPr>
            <w:tcW w:w="174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акций и российских депозитарных расписок, выпущенных на территории Российской Федерации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0,5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0,019% </w:t>
            </w:r>
            <w:r>
              <w:rPr>
                <w:bCs/>
                <w:iCs/>
                <w:sz w:val="20"/>
                <w:szCs w:val="20"/>
              </w:rPr>
              <w:t xml:space="preserve">минимум </w:t>
            </w:r>
            <w:r>
              <w:rPr>
                <w:bCs/>
                <w:i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  <w:t xml:space="preserve">0 руб. в месяц</w:t>
            </w:r>
          </w:p>
        </w:tc>
        <w:tc>
          <w:tcPr>
            <w:tcW w:w="1392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53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0,5 до 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0,014%</w:t>
            </w:r>
          </w:p>
        </w:tc>
        <w:tc>
          <w:tcPr>
            <w:tcW w:w="1392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53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0,013%</w:t>
            </w:r>
          </w:p>
        </w:tc>
        <w:tc>
          <w:tcPr>
            <w:tcW w:w="1392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5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0,01%</w:t>
            </w:r>
          </w:p>
        </w:tc>
        <w:tc>
          <w:tcPr>
            <w:tcW w:w="139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</w:t>
            </w:r>
            <w:r>
              <w:rPr>
                <w:sz w:val="20"/>
                <w:szCs w:val="20"/>
                <w:lang w:val="en-US"/>
              </w:rPr>
              <w:t xml:space="preserve">7</w:t>
            </w:r>
            <w:r>
              <w:rPr>
                <w:sz w:val="20"/>
                <w:szCs w:val="20"/>
              </w:rPr>
              <w:t xml:space="preserve">.3.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</w:p>
        </w:tc>
        <w:tc>
          <w:tcPr>
            <w:tcW w:w="1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0,035% годовых </w:t>
            </w:r>
            <w:r>
              <w:rPr>
                <w:bCs/>
                <w:iCs/>
                <w:sz w:val="20"/>
                <w:szCs w:val="20"/>
              </w:rPr>
              <w:t xml:space="preserve">минимум 30 руб. в месяц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стоимости».</w:t>
            </w:r>
          </w:p>
        </w:tc>
      </w:tr>
      <w:t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14.3. Прием/выдача сертификатов ценных бумаг на/с хранение(я)</w:t>
            </w:r>
          </w:p>
        </w:tc>
      </w:tr>
      <w:t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14.3.1.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сертификатов эмисcионных ценных бумаг</w:t>
            </w:r>
          </w:p>
        </w:tc>
        <w:tc>
          <w:tcPr>
            <w:tcW w:w="1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 руб.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14.3.2.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сертификатов эмиссионных ценных бумаг</w:t>
            </w:r>
          </w:p>
        </w:tc>
        <w:tc>
          <w:tcPr>
            <w:tcW w:w="1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руб.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 300 руб.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14.3.3.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неэмиссионных ценных бумаг с обязательной проверкой у эмитента</w:t>
            </w:r>
          </w:p>
        </w:tc>
        <w:tc>
          <w:tcPr>
            <w:tcW w:w="1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 руб.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14.3.4.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неэмиссионных ценных бумаг</w:t>
            </w:r>
          </w:p>
        </w:tc>
        <w:tc>
          <w:tcPr>
            <w:tcW w:w="1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руб.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 300 руб.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14.4. Переводы ценных бумаг и иностранных финансовых инструментов по счетам депо</w:t>
            </w:r>
          </w:p>
        </w:tc>
      </w:tr>
      <w:t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14.4.1.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«поставка/получение, свободная от платежа»</w:t>
            </w:r>
          </w:p>
        </w:tc>
        <w:tc>
          <w:tcPr>
            <w:tcW w:w="1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 руб.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14.4.2.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«поставка/получение против платежа»</w:t>
            </w:r>
          </w:p>
        </w:tc>
        <w:tc>
          <w:tcPr>
            <w:tcW w:w="1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 руб.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14.4.3.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Зачисление ценных бумаг на счета АО «Россельхозбанк» в реестрах/на междепозитарные счета АО «Россельхозбанк» в других депозитариях</w:t>
            </w:r>
          </w:p>
        </w:tc>
        <w:tc>
          <w:tcPr>
            <w:tcW w:w="1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14.4.4.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Списание ценных бумаг со счетов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 «Россельхозбанк» в реестрах/междепозитарных счетов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 «Россельхоз</w:t>
            </w:r>
            <w:r>
              <w:rPr>
                <w:sz w:val="20"/>
                <w:szCs w:val="20"/>
              </w:rPr>
              <w:t xml:space="preserve">банк» в других депозитариях</w:t>
            </w:r>
          </w:p>
        </w:tc>
        <w:tc>
          <w:tcPr>
            <w:tcW w:w="1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 руб.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взимается в качестве возмещения сумма расходов сторонних организаций</w:t>
            </w:r>
          </w:p>
        </w:tc>
      </w:tr>
      <w:t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14.4.5.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ценных бумаг по разделам счета депо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 счетам АО «Россельхозбанк», открытым в других депозитариях)</w:t>
            </w:r>
          </w:p>
        </w:tc>
        <w:tc>
          <w:tcPr>
            <w:tcW w:w="1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 руб.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14.4.6.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ценных бумаг по операциям куплипродажи ценных бумаг, совершенным через брокера АО «Россельхозбанк»</w:t>
            </w:r>
          </w:p>
        </w:tc>
        <w:tc>
          <w:tcPr>
            <w:tcW w:w="1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14.4.7.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места хранения ценных бумаг</w:t>
            </w:r>
          </w:p>
        </w:tc>
        <w:tc>
          <w:tcPr>
            <w:tcW w:w="1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 руб.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14.4.8.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Гарантированная поставка ценных бумаг без платежа с контрол</w:t>
            </w:r>
            <w:r>
              <w:rPr>
                <w:sz w:val="20"/>
                <w:szCs w:val="20"/>
              </w:rPr>
              <w:t xml:space="preserve">ем поступления денежных средств на счет Депонентапоставщика</w:t>
            </w:r>
          </w:p>
        </w:tc>
        <w:tc>
          <w:tcPr>
            <w:tcW w:w="1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от суммы сделки.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 5000руб.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14.5. Операции по блокировке</w:t>
            </w:r>
          </w:p>
        </w:tc>
      </w:tr>
      <w:tr>
        <w:tc>
          <w:tcPr>
            <w:tcW w:w="4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14.5.1.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блокирование, разблокирование ценных бумаг на счете депо по поручению клиента</w:t>
            </w:r>
          </w:p>
        </w:tc>
        <w:tc>
          <w:tcPr>
            <w:tcW w:w="1408" w:type="pct"/>
            <w:gridSpan w:val="2"/>
            <w:vMerge w:val="restart"/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 руб.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</w:p>
        </w:tc>
        <w:tc>
          <w:tcPr>
            <w:tcW w:w="1408" w:type="pct"/>
            <w:gridSpan w:val="2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оформление последующего залога ценных бумаг на счете депо/снятие последующего залога ценных бумаг на счете депо</w:t>
            </w:r>
          </w:p>
        </w:tc>
        <w:tc>
          <w:tcPr>
            <w:tcW w:w="1408" w:type="pct"/>
            <w:gridSpan w:val="2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регистрация уступки прав по договору залога ценных бумаг </w:t>
            </w:r>
          </w:p>
        </w:tc>
        <w:tc>
          <w:tcPr>
            <w:tcW w:w="1408" w:type="pct"/>
            <w:gridSpan w:val="2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регистрация перехода прав по договору залога ценных бумаг </w:t>
            </w:r>
          </w:p>
        </w:tc>
        <w:tc>
          <w:tcPr>
            <w:tcW w:w="1408" w:type="pct"/>
            <w:gridSpan w:val="2"/>
            <w:vMerge w:val="continue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административное блокирование/ разблокирование ценных бумаг на счете депо </w:t>
            </w:r>
          </w:p>
        </w:tc>
        <w:tc>
          <w:tcPr>
            <w:tcW w:w="1408" w:type="pct"/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</w:p>
        </w:tc>
        <w:tc>
          <w:tcPr>
            <w:tcW w:w="1392" w:type="pct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14.6. Корпоративные действия</w:t>
            </w:r>
          </w:p>
        </w:tc>
      </w:tr>
      <w:t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14.6.1.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Извещение о корпоративных действиях эмитентов</w:t>
            </w:r>
          </w:p>
        </w:tc>
        <w:tc>
          <w:tcPr>
            <w:tcW w:w="1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14.6.2.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</w:t>
            </w:r>
            <w:r>
              <w:rPr>
                <w:bCs/>
                <w:sz w:val="20"/>
                <w:szCs w:val="20"/>
              </w:rPr>
              <w:t xml:space="preserve"> по доверенности (в том числе иностранных эмитентов ценных бумаг):</w:t>
            </w:r>
          </w:p>
        </w:tc>
        <w:tc>
          <w:tcPr>
            <w:tcW w:w="1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53" w:type="pc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- посредством электронного голосования (дистанционное участие)</w:t>
            </w:r>
          </w:p>
        </w:tc>
        <w:tc>
          <w:tcPr>
            <w:tcW w:w="1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1500 руб.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53" w:type="pct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личное участие в собрании (личная передача документов или информации о волеизъявлении депонента)</w:t>
            </w:r>
          </w:p>
        </w:tc>
        <w:tc>
          <w:tcPr>
            <w:tcW w:w="1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00 руб.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</w:p>
        </w:tc>
      </w:tr>
      <w:t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14.6.3.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Конвертация акций, погашение ценных бумаг и аннулирование выпуска, объединение выпуска, дробление/консолидация выпуска </w:t>
            </w:r>
          </w:p>
        </w:tc>
        <w:tc>
          <w:tcPr>
            <w:tcW w:w="1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 руб.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14.6.4.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Конвертация акций в депозитарные расписки (конвертация акций из депозитарных расписок)</w:t>
            </w:r>
          </w:p>
        </w:tc>
        <w:tc>
          <w:tcPr>
            <w:tcW w:w="1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 руб.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14.6.5.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сумм доходов на денежные счета, открытые в АО «Россельхозбанк»</w:t>
            </w:r>
          </w:p>
        </w:tc>
        <w:tc>
          <w:tcPr>
            <w:tcW w:w="1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14.6.6.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сумм доходов на счета, открытые в других банках</w:t>
            </w:r>
          </w:p>
        </w:tc>
        <w:tc>
          <w:tcPr>
            <w:tcW w:w="1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случае, если сумма перевода меньше суммы комиссии, то перевод дохода не производится, сумма зачисляется в доход Банка. </w:t>
            </w:r>
          </w:p>
        </w:tc>
      </w:tr>
      <w:tr>
        <w:tc>
          <w:tcPr>
            <w:tcW w:w="453" w:type="pc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рублях</w:t>
            </w:r>
          </w:p>
        </w:tc>
        <w:tc>
          <w:tcPr>
            <w:tcW w:w="1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 руб.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Банка России за телеграфный перевод оплачивается дополнительно</w:t>
            </w:r>
          </w:p>
        </w:tc>
      </w:tr>
      <w:tr>
        <w:tc>
          <w:tcPr>
            <w:tcW w:w="453" w:type="pct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иностранной валюте</w:t>
            </w:r>
          </w:p>
        </w:tc>
        <w:tc>
          <w:tcPr>
            <w:tcW w:w="1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 руб.</w:t>
            </w:r>
          </w:p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руб. для номинальных держателей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Комиссии третьих банков взимаются дополнительно.</w:t>
            </w:r>
          </w:p>
        </w:tc>
      </w:tr>
      <w:t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14.6.7.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или аннуляция поручений клиентов на выплату доходов по ценным бумагам</w:t>
            </w:r>
          </w:p>
        </w:tc>
        <w:tc>
          <w:tcPr>
            <w:tcW w:w="1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14.7. Прочие услуги</w:t>
            </w:r>
          </w:p>
        </w:tc>
      </w:tr>
      <w:t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14.7.1.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Отмена ранее предоставленного поручения</w:t>
            </w:r>
          </w:p>
        </w:tc>
        <w:tc>
          <w:tcPr>
            <w:tcW w:w="1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 Информационные услуги</w:t>
            </w:r>
          </w:p>
        </w:tc>
      </w:tr>
      <w:t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14.8.1.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Отчет об исполнении операции по счету депо (после проведения операции)</w:t>
            </w:r>
          </w:p>
        </w:tc>
        <w:tc>
          <w:tcPr>
            <w:tcW w:w="1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взимается.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14.8.2.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расшифровки о расчете комиссии за хранение</w:t>
            </w:r>
          </w:p>
        </w:tc>
        <w:tc>
          <w:tcPr>
            <w:tcW w:w="1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 руб.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14.8.3.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</w:p>
        </w:tc>
        <w:tc>
          <w:tcPr>
            <w:tcW w:w="1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5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14.8.4.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Ответы на запросы клиентов, связанные с проведением операций, с выдачей исторических справок, подтверждений и пр.:</w:t>
            </w:r>
          </w:p>
        </w:tc>
        <w:tc>
          <w:tcPr>
            <w:tcW w:w="140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00 руб.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53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до 1 года до даты получения запроса</w:t>
            </w:r>
          </w:p>
        </w:tc>
        <w:tc>
          <w:tcPr>
            <w:tcW w:w="1408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53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от 1 года до 3-х лет до даты получения запроса</w:t>
            </w:r>
          </w:p>
        </w:tc>
        <w:tc>
          <w:tcPr>
            <w:tcW w:w="1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53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более 3-х лет до даты получения запроса</w:t>
            </w:r>
          </w:p>
        </w:tc>
        <w:tc>
          <w:tcPr>
            <w:tcW w:w="1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5 00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5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Ответы на запросы клиентов, связанные с проведением операций, с выдачей исторических справок, подтверждений и пр.:</w:t>
            </w:r>
          </w:p>
        </w:tc>
        <w:tc>
          <w:tcPr>
            <w:tcW w:w="1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5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14.8.5.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 на аудиторский запрос по счету депо Депонента</w:t>
            </w:r>
          </w:p>
        </w:tc>
        <w:tc>
          <w:tcPr>
            <w:tcW w:w="1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 руб.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45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14.8.6.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выписок, копий поручений, приложений, договоров и др. документов по запросу Депонента</w:t>
            </w:r>
          </w:p>
        </w:tc>
        <w:tc>
          <w:tcPr>
            <w:tcW w:w="1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лист.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</w:tbl>
    <w:p>
      <w:pPr>
        <w:rPr>
          <w:sz w:val="20"/>
          <w:szCs w:val="20"/>
        </w:rPr>
      </w:pP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Порядок расчета и взимания комиссии осуществляется на основании Условий осуществления депозитарной деятельности.</w:t>
      </w:r>
    </w:p>
    <w:p/>
    <w:p>
      <w:pPr>
        <w:pStyle w:val="4"/>
      </w:pPr>
    </w:p>
    <w:p>
      <w:pPr>
        <w:pStyle w:val="4"/>
      </w:pPr>
      <w:r>
        <w:t xml:space="preserve">15. Операции с монетами из драгоценных металлов</w:t>
      </w:r>
    </w:p>
    <w:p/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31"/>
        <w:gridCol w:w="3672"/>
        <w:gridCol w:w="2693"/>
        <w:gridCol w:w="2919"/>
      </w:tblGrid>
      <w:tr>
        <w:tc>
          <w:tcPr>
            <w:tcW w:w="411" w:type="pct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</w:p>
        </w:tc>
        <w:tc>
          <w:tcPr>
            <w:tcW w:w="1815" w:type="pct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</w:p>
        </w:tc>
        <w:tc>
          <w:tcPr>
            <w:tcW w:w="1331" w:type="pct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</w:p>
        </w:tc>
        <w:tc>
          <w:tcPr>
            <w:tcW w:w="1443" w:type="pct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</w:p>
        </w:tc>
      </w:tr>
      <w:tr>
        <w:tc>
          <w:tcPr>
            <w:tcW w:w="411" w:type="pct"/>
            <w:tcBorders>
              <w:bottom w:val="single" w:color="000000" w:sz="4" w:space="0"/>
            </w:tcBorders>
          </w:tcPr>
          <w:p>
            <w:pPr>
              <w:spacing w:before="40" w:after="40"/>
              <w:ind w:left="-51" w:firstLine="5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15.</w:t>
            </w:r>
            <w:r>
              <w:rPr>
                <w:bCs/>
                <w:sz w:val="20"/>
                <w:szCs w:val="20"/>
                <w:lang w:val="en-US"/>
              </w:rPr>
              <w:t xml:space="preserve">1</w:t>
            </w:r>
            <w:r>
              <w:rPr>
                <w:bCs/>
                <w:sz w:val="20"/>
                <w:szCs w:val="20"/>
              </w:rPr>
              <w:t xml:space="preserve">.</w:t>
            </w:r>
          </w:p>
        </w:tc>
        <w:tc>
          <w:tcPr>
            <w:tcW w:w="1815" w:type="pct"/>
            <w:tcBorders>
              <w:bottom w:val="single" w:color="000000" w:sz="4" w:space="0"/>
            </w:tcBorders>
          </w:tcPr>
          <w:p>
            <w:pPr>
              <w:tabs>
                <w:tab w:val="center" w:pos="1260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</w:p>
          <w:p>
            <w:pPr>
              <w:tabs>
                <w:tab w:val="right" w:pos="9355"/>
              </w:tabs>
              <w:ind w:firstLine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и количество монет:</w:t>
            </w:r>
          </w:p>
          <w:p>
            <w:pPr>
              <w:tabs>
                <w:tab w:val="center" w:pos="34"/>
                <w:tab w:val="right" w:pos="9355"/>
              </w:tabs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золото, качество чеканки «анциркулейтед», 7,78 г</w:t>
            </w:r>
          </w:p>
          <w:p>
            <w:pPr>
              <w:tabs>
                <w:tab w:val="center" w:pos="317"/>
                <w:tab w:val="center" w:pos="1260"/>
                <w:tab w:val="right" w:pos="9355"/>
              </w:tabs>
              <w:ind w:left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 300 до 499 шт.</w:t>
            </w:r>
          </w:p>
          <w:p>
            <w:pPr>
              <w:tabs>
                <w:tab w:val="center" w:pos="317"/>
                <w:tab w:val="center" w:pos="1260"/>
                <w:tab w:val="right" w:pos="9355"/>
              </w:tabs>
              <w:ind w:left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 500 до 999 шт.</w:t>
            </w:r>
          </w:p>
          <w:p>
            <w:pPr>
              <w:tabs>
                <w:tab w:val="center" w:pos="317"/>
                <w:tab w:val="center" w:pos="1260"/>
                <w:tab w:val="right" w:pos="9355"/>
              </w:tabs>
              <w:ind w:left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 1000 до 1499 шт.</w:t>
            </w:r>
          </w:p>
          <w:p>
            <w:pPr>
              <w:tabs>
                <w:tab w:val="center" w:pos="317"/>
                <w:tab w:val="center" w:pos="1260"/>
                <w:tab w:val="right" w:pos="9355"/>
              </w:tabs>
              <w:ind w:left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 1500 и более шт.</w:t>
            </w:r>
          </w:p>
          <w:p>
            <w:pPr>
              <w:tabs>
                <w:tab w:val="center" w:pos="34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серебро, качество чеканки «анциркулейтед», 31,1 г</w:t>
            </w:r>
          </w:p>
          <w:p>
            <w:pPr>
              <w:tabs>
                <w:tab w:val="center" w:pos="317"/>
                <w:tab w:val="center" w:pos="1260"/>
                <w:tab w:val="right" w:pos="9355"/>
              </w:tabs>
              <w:ind w:left="34"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 500 и более шт.</w:t>
            </w:r>
          </w:p>
        </w:tc>
        <w:tc>
          <w:tcPr>
            <w:tcW w:w="1331" w:type="pct"/>
            <w:tcBorders>
              <w:bottom w:val="single" w:color="000000" w:sz="4" w:space="0"/>
            </w:tcBorders>
          </w:tcPr>
          <w:p>
            <w:pPr>
              <w:tabs>
                <w:tab w:val="center" w:pos="1260"/>
                <w:tab w:val="right" w:pos="9355"/>
              </w:tabs>
              <w:spacing w:before="40"/>
              <w:ind w:firstLine="34"/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 руб./шт.</w:t>
            </w:r>
          </w:p>
          <w:p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285 руб./шт.</w:t>
            </w:r>
          </w:p>
          <w:p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265 руб./шт.</w:t>
            </w:r>
          </w:p>
          <w:p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245 руб./шт.</w:t>
            </w:r>
          </w:p>
          <w:p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 руб./шт.</w:t>
            </w:r>
          </w:p>
        </w:tc>
        <w:tc>
          <w:tcPr>
            <w:tcW w:w="1443" w:type="pct"/>
            <w:tcBorders>
              <w:bottom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</w:p>
        </w:tc>
      </w:tr>
    </w:tbl>
    <w:p/>
    <w:p>
      <w:pPr>
        <w:pStyle w:val="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16. Операции с драгоценными металлами</w:t>
      </w:r>
    </w:p>
    <w:p>
      <w:pPr>
        <w:jc w:val="center"/>
        <w:rPr>
          <w:b/>
        </w:rPr>
      </w:pPr>
    </w:p>
    <w:tbl>
      <w:tblPr>
        <w:tblW w:w="505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277"/>
        <w:gridCol w:w="1463"/>
        <w:gridCol w:w="2007"/>
        <w:gridCol w:w="851"/>
        <w:gridCol w:w="558"/>
        <w:gridCol w:w="1512"/>
        <w:gridCol w:w="2550"/>
      </w:tblGrid>
      <w:tr>
        <w:tc>
          <w:tcPr>
            <w:tcW w:w="625" w:type="pct"/>
            <w:vMerge w:val="restart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п/п</w:t>
            </w:r>
          </w:p>
        </w:tc>
        <w:tc>
          <w:tcPr>
            <w:tcW w:w="1698" w:type="pct"/>
            <w:gridSpan w:val="2"/>
            <w:vMerge w:val="restart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</w:p>
        </w:tc>
        <w:tc>
          <w:tcPr>
            <w:tcW w:w="1429" w:type="pct"/>
            <w:gridSpan w:val="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</w:p>
        </w:tc>
        <w:tc>
          <w:tcPr>
            <w:tcW w:w="1248" w:type="pct"/>
            <w:vMerge w:val="restart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</w:p>
        </w:tc>
      </w:tr>
      <w:tr>
        <w:tc>
          <w:tcPr>
            <w:tcW w:w="625" w:type="pct"/>
            <w:vMerge w:val="continue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8" w:type="pct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9" w:type="pct"/>
            <w:gridSpan w:val="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В российских рублях</w:t>
            </w:r>
          </w:p>
        </w:tc>
        <w:tc>
          <w:tcPr>
            <w:tcW w:w="1248" w:type="pct"/>
            <w:vMerge w:val="continue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</w:tr>
      <w:tr>
        <w:trPr>
          <w:gridAfter w:val="3"/>
        </w:trPr>
        <w:tc>
          <w:tcPr>
            <w:tcW w:w="1341" w:type="pct"/>
            <w:gridSpan w:val="2"/>
          </w:tcPr>
          <w:p>
            <w:pPr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8" w:type="pct"/>
            <w:gridSpan w:val="2"/>
          </w:tcPr>
          <w:p>
            <w:pPr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</w:tr>
      <w:tr>
        <w:tc>
          <w:tcPr>
            <w:tcW w:w="625" w:type="pct"/>
          </w:tcPr>
          <w:p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16.1.1.</w:t>
            </w:r>
          </w:p>
        </w:tc>
        <w:tc>
          <w:tcPr>
            <w:tcW w:w="1698" w:type="pct"/>
            <w:gridSpan w:val="2"/>
          </w:tcPr>
          <w:p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банковского счета в драгоценных металлах</w:t>
            </w:r>
          </w:p>
        </w:tc>
        <w:tc>
          <w:tcPr>
            <w:tcW w:w="1429" w:type="pct"/>
            <w:gridSpan w:val="3"/>
          </w:tcPr>
          <w:p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</w:p>
        </w:tc>
        <w:tc>
          <w:tcPr>
            <w:tcW w:w="1248" w:type="pct"/>
          </w:tcPr>
          <w:p>
            <w:pPr>
              <w:tabs>
                <w:tab w:val="left" w:pos="284"/>
                <w:tab w:val="left" w:pos="993"/>
              </w:tabs>
              <w:jc w:val="both"/>
              <w:rPr>
                <w:sz w:val="22"/>
                <w:szCs w:val="22"/>
              </w:rPr>
            </w:pPr>
          </w:p>
        </w:tc>
      </w:tr>
      <w:tr>
        <w:tc>
          <w:tcPr>
            <w:tcW w:w="625" w:type="pct"/>
          </w:tcPr>
          <w:p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16.1.2.</w:t>
            </w:r>
          </w:p>
        </w:tc>
        <w:tc>
          <w:tcPr>
            <w:tcW w:w="1698" w:type="pct"/>
            <w:gridSpan w:val="2"/>
          </w:tcPr>
          <w:p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банковского счета в драгоценных металлах</w:t>
            </w:r>
          </w:p>
        </w:tc>
        <w:tc>
          <w:tcPr>
            <w:tcW w:w="1429" w:type="pct"/>
            <w:gridSpan w:val="3"/>
          </w:tcPr>
          <w:p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</w:p>
        </w:tc>
        <w:tc>
          <w:tcPr>
            <w:tcW w:w="1248" w:type="pct"/>
          </w:tcPr>
          <w:p>
            <w:pPr>
              <w:tabs>
                <w:tab w:val="left" w:pos="284"/>
                <w:tab w:val="left" w:pos="993"/>
              </w:tabs>
              <w:jc w:val="both"/>
              <w:rPr>
                <w:sz w:val="22"/>
                <w:szCs w:val="22"/>
              </w:rPr>
            </w:pPr>
          </w:p>
        </w:tc>
      </w:tr>
      <w:tr>
        <w:tc>
          <w:tcPr>
            <w:tcW w:w="625" w:type="pct"/>
          </w:tcPr>
          <w:p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16.1.3.</w:t>
            </w:r>
          </w:p>
        </w:tc>
        <w:tc>
          <w:tcPr>
            <w:tcW w:w="1698" w:type="pct"/>
            <w:gridSpan w:val="2"/>
          </w:tcPr>
          <w:p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Ежемесячное обслуживание банковского счета в драгоценных металлах</w:t>
            </w:r>
          </w:p>
        </w:tc>
        <w:tc>
          <w:tcPr>
            <w:tcW w:w="1429" w:type="pct"/>
            <w:gridSpan w:val="3"/>
          </w:tcPr>
          <w:p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</w:p>
        </w:tc>
        <w:tc>
          <w:tcPr>
            <w:tcW w:w="1248" w:type="pct"/>
          </w:tcPr>
          <w:p>
            <w:pPr>
              <w:tabs>
                <w:tab w:val="left" w:pos="284"/>
                <w:tab w:val="left" w:pos="993"/>
              </w:tabs>
              <w:jc w:val="both"/>
              <w:rPr>
                <w:sz w:val="22"/>
                <w:szCs w:val="22"/>
              </w:rPr>
            </w:pPr>
          </w:p>
        </w:tc>
      </w:tr>
      <w:tr>
        <w:tc>
          <w:tcPr>
            <w:tcW w:w="625" w:type="pct"/>
          </w:tcPr>
          <w:p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16.1.4.</w:t>
            </w:r>
          </w:p>
        </w:tc>
        <w:tc>
          <w:tcPr>
            <w:tcW w:w="1698" w:type="pct"/>
            <w:gridSpan w:val="2"/>
          </w:tcPr>
          <w:p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банковскому счету в драгоценных металлах</w:t>
            </w:r>
          </w:p>
        </w:tc>
        <w:tc>
          <w:tcPr>
            <w:tcW w:w="1429" w:type="pct"/>
            <w:gridSpan w:val="3"/>
          </w:tcPr>
          <w:p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</w:p>
        </w:tc>
        <w:tc>
          <w:tcPr>
            <w:tcW w:w="1248" w:type="pct"/>
          </w:tcPr>
          <w:p>
            <w:pPr>
              <w:tabs>
                <w:tab w:val="left" w:pos="284"/>
                <w:tab w:val="left" w:pos="993"/>
              </w:tabs>
              <w:jc w:val="both"/>
              <w:rPr>
                <w:sz w:val="22"/>
                <w:szCs w:val="22"/>
              </w:rPr>
            </w:pPr>
          </w:p>
        </w:tc>
      </w:tr>
      <w:tr>
        <w:tc>
          <w:tcPr>
            <w:tcW w:w="625" w:type="pct"/>
          </w:tcPr>
          <w:p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16.1.4.1.</w:t>
            </w:r>
          </w:p>
        </w:tc>
        <w:tc>
          <w:tcPr>
            <w:tcW w:w="1698" w:type="pct"/>
            <w:gridSpan w:val="2"/>
          </w:tcPr>
          <w:p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дубликата выписки по банковскому счету в драгоценных металлах по запросу клиента</w:t>
            </w:r>
          </w:p>
        </w:tc>
        <w:tc>
          <w:tcPr>
            <w:tcW w:w="1429" w:type="pct"/>
            <w:gridSpan w:val="3"/>
          </w:tcPr>
          <w:p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 руб. за лист</w:t>
            </w:r>
          </w:p>
        </w:tc>
        <w:tc>
          <w:tcPr>
            <w:tcW w:w="1248" w:type="pct"/>
          </w:tcPr>
          <w:p>
            <w:pPr>
              <w:tabs>
                <w:tab w:val="left" w:pos="284"/>
                <w:tab w:val="left" w:pos="993"/>
              </w:tabs>
              <w:jc w:val="both"/>
              <w:rPr>
                <w:sz w:val="22"/>
                <w:szCs w:val="22"/>
              </w:rPr>
            </w:pPr>
          </w:p>
        </w:tc>
      </w:tr>
      <w:tr>
        <w:trPr>
          <w:trHeight w:val="774"/>
        </w:trPr>
        <w:tc>
          <w:tcPr>
            <w:tcW w:w="625" w:type="pct"/>
          </w:tcPr>
          <w:p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16.1.5</w:t>
            </w:r>
          </w:p>
        </w:tc>
        <w:tc>
          <w:tcPr>
            <w:tcW w:w="1698" w:type="pct"/>
            <w:gridSpan w:val="2"/>
          </w:tcPr>
          <w:p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справки по банковск</w:t>
            </w:r>
            <w:r>
              <w:rPr>
                <w:sz w:val="20"/>
                <w:szCs w:val="20"/>
              </w:rPr>
              <w:t xml:space="preserve">ому счету в драгоценных металлах по запросу клиента</w:t>
            </w:r>
          </w:p>
        </w:tc>
        <w:tc>
          <w:tcPr>
            <w:tcW w:w="1429" w:type="pct"/>
            <w:gridSpan w:val="3"/>
          </w:tcPr>
          <w:p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 руб. за лист</w:t>
            </w:r>
          </w:p>
        </w:tc>
        <w:tc>
          <w:tcPr>
            <w:tcW w:w="1248" w:type="pct"/>
          </w:tcPr>
          <w:p>
            <w:pPr>
              <w:tabs>
                <w:tab w:val="left" w:pos="284"/>
                <w:tab w:val="left" w:pos="993"/>
              </w:tabs>
              <w:jc w:val="both"/>
              <w:rPr>
                <w:sz w:val="22"/>
                <w:szCs w:val="22"/>
              </w:rPr>
            </w:pPr>
          </w:p>
        </w:tc>
      </w:tr>
      <w:tr>
        <w:trPr>
          <w:trHeight w:val="774"/>
        </w:trPr>
        <w:tc>
          <w:tcPr>
            <w:tcW w:w="625" w:type="pct"/>
          </w:tcPr>
          <w:p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pct"/>
            <w:gridSpan w:val="2"/>
          </w:tcPr>
          <w:p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429" w:type="pct"/>
            <w:gridSpan w:val="3"/>
          </w:tcPr>
          <w:p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>
            <w:pPr>
              <w:tabs>
                <w:tab w:val="left" w:pos="284"/>
                <w:tab w:val="left" w:pos="993"/>
              </w:tabs>
              <w:jc w:val="both"/>
              <w:rPr>
                <w:sz w:val="22"/>
                <w:szCs w:val="22"/>
              </w:rPr>
            </w:pPr>
          </w:p>
        </w:tc>
      </w:tr>
      <w:tr>
        <w:trPr>
          <w:trHeight w:val="774"/>
        </w:trPr>
        <w:tc>
          <w:tcPr>
            <w:tcW w:w="625" w:type="pct"/>
          </w:tcPr>
          <w:p>
            <w:pPr>
              <w:pStyle w:val="afb"/>
              <w:tabs>
                <w:tab w:val="left" w:pos="284"/>
                <w:tab w:val="left" w:pos="993"/>
              </w:tabs>
              <w:spacing w:before="120" w:after="120"/>
              <w:rPr>
                <w:rFonts w:ascii="Times New Roman" w:hAnsi="Times New Roman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mallCaps/>
                <w:sz w:val="20"/>
                <w:szCs w:val="20"/>
              </w:rPr>
              <w:t xml:space="preserve">16.2.</w:t>
            </w:r>
          </w:p>
        </w:tc>
        <w:tc>
          <w:tcPr>
            <w:tcW w:w="4375" w:type="pct"/>
            <w:gridSpan w:val="6"/>
          </w:tcPr>
          <w:p>
            <w:pPr>
              <w:pStyle w:val="afb"/>
              <w:tabs>
                <w:tab w:val="left" w:pos="284"/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mallCaps/>
                <w:sz w:val="20"/>
                <w:szCs w:val="20"/>
              </w:rPr>
              <w:t xml:space="preserve">Операции по банковским счетам в драгоценных металлах</w:t>
            </w:r>
            <w:r>
              <w:rPr>
                <w:rStyle w:val="1-FNftref1Ciaeniinee-FNReferencianotaalpieFootnoteReferencefrUsedbyWordforHelpfootnotesymbolsSUPERSTableFootnotelast1Avg"/>
                <w:b/>
                <w:bCs/>
                <w:iCs/>
                <w:smallCaps/>
                <w:sz w:val="20"/>
                <w:szCs w:val="20"/>
              </w:rPr>
              <w:footnoteReference w:id="6"/>
            </w:r>
          </w:p>
        </w:tc>
      </w:tr>
      <w:tr>
        <w:tc>
          <w:tcPr>
            <w:tcW w:w="625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</w:t>
            </w:r>
          </w:p>
        </w:tc>
        <w:tc>
          <w:tcPr>
            <w:tcW w:w="1698" w:type="pct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слитков драгоценных металлов для зачисления на банковский счет в драгоценных металлах:</w:t>
            </w:r>
          </w:p>
        </w:tc>
        <w:tc>
          <w:tcPr>
            <w:tcW w:w="1429" w:type="pct"/>
            <w:gridSpan w:val="3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625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16.2.1.1.</w:t>
            </w:r>
          </w:p>
        </w:tc>
        <w:tc>
          <w:tcPr>
            <w:tcW w:w="1698" w:type="pct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Золото</w:t>
            </w:r>
          </w:p>
        </w:tc>
        <w:tc>
          <w:tcPr>
            <w:tcW w:w="1429" w:type="pct"/>
            <w:gridSpan w:val="3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625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16.2.1.1.1.</w:t>
            </w:r>
          </w:p>
        </w:tc>
        <w:tc>
          <w:tcPr>
            <w:tcW w:w="1698" w:type="pct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стандартных слитках</w:t>
            </w:r>
          </w:p>
        </w:tc>
        <w:tc>
          <w:tcPr>
            <w:tcW w:w="1429" w:type="pct"/>
            <w:gridSpan w:val="3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</w:p>
        </w:tc>
        <w:tc>
          <w:tcPr>
            <w:tcW w:w="1248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625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16.2.1.1.2.</w:t>
            </w:r>
          </w:p>
        </w:tc>
        <w:tc>
          <w:tcPr>
            <w:tcW w:w="1698" w:type="pct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мерных слитках</w:t>
            </w:r>
          </w:p>
        </w:tc>
        <w:tc>
          <w:tcPr>
            <w:tcW w:w="1429" w:type="pct"/>
            <w:gridSpan w:val="3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</w:p>
        </w:tc>
        <w:tc>
          <w:tcPr>
            <w:tcW w:w="1248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625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16.2.1.2.</w:t>
            </w:r>
          </w:p>
        </w:tc>
        <w:tc>
          <w:tcPr>
            <w:tcW w:w="1698" w:type="pct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Серебро</w:t>
            </w:r>
          </w:p>
        </w:tc>
        <w:tc>
          <w:tcPr>
            <w:tcW w:w="1429" w:type="pct"/>
            <w:gridSpan w:val="3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625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16.2.1.2.1.</w:t>
            </w:r>
          </w:p>
        </w:tc>
        <w:tc>
          <w:tcPr>
            <w:tcW w:w="1698" w:type="pct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стандартных слитках</w:t>
            </w:r>
          </w:p>
        </w:tc>
        <w:tc>
          <w:tcPr>
            <w:tcW w:w="1429" w:type="pct"/>
            <w:gridSpan w:val="3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</w:p>
        </w:tc>
        <w:tc>
          <w:tcPr>
            <w:tcW w:w="1248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625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16.2.1.2.2.</w:t>
            </w:r>
          </w:p>
        </w:tc>
        <w:tc>
          <w:tcPr>
            <w:tcW w:w="1698" w:type="pct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мерных слитках</w:t>
            </w:r>
          </w:p>
        </w:tc>
        <w:tc>
          <w:tcPr>
            <w:tcW w:w="1429" w:type="pct"/>
            <w:gridSpan w:val="3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</w:p>
        </w:tc>
        <w:tc>
          <w:tcPr>
            <w:tcW w:w="1248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625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</w:t>
            </w:r>
          </w:p>
        </w:tc>
        <w:tc>
          <w:tcPr>
            <w:tcW w:w="1698" w:type="pct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слитков драгоценных металлов со списанием с банковского счета в драгоценных металлах:</w:t>
            </w:r>
          </w:p>
        </w:tc>
        <w:tc>
          <w:tcPr>
            <w:tcW w:w="1429" w:type="pct"/>
            <w:gridSpan w:val="3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625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16.2.2.1.</w:t>
            </w:r>
          </w:p>
        </w:tc>
        <w:tc>
          <w:tcPr>
            <w:tcW w:w="1698" w:type="pct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Золото</w:t>
            </w:r>
          </w:p>
        </w:tc>
        <w:tc>
          <w:tcPr>
            <w:tcW w:w="1429" w:type="pct"/>
            <w:gridSpan w:val="3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625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16.2.2.1.1.</w:t>
            </w:r>
          </w:p>
        </w:tc>
        <w:tc>
          <w:tcPr>
            <w:tcW w:w="1698" w:type="pct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стандартных слитках</w:t>
            </w:r>
          </w:p>
        </w:tc>
        <w:tc>
          <w:tcPr>
            <w:tcW w:w="1429" w:type="pct"/>
            <w:gridSpan w:val="3"/>
            <w:tcBorders>
              <w:bottom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0,2 % от стоимости драгоценного металла</w:t>
            </w:r>
            <w:r>
              <w:rPr>
                <w:bCs/>
                <w:iCs/>
                <w:sz w:val="20"/>
                <w:szCs w:val="20"/>
                <w:vertAlign w:val="superscript"/>
              </w:rPr>
              <w:footnoteReference w:id="7"/>
            </w:r>
          </w:p>
        </w:tc>
        <w:tc>
          <w:tcPr>
            <w:tcW w:w="1248" w:type="pct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</w:p>
        </w:tc>
      </w:tr>
      <w:tr>
        <w:tc>
          <w:tcPr>
            <w:tcW w:w="625" w:type="pct"/>
            <w:vMerge w:val="restar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16.2.2.1.2.</w:t>
            </w:r>
          </w:p>
        </w:tc>
        <w:tc>
          <w:tcPr>
            <w:tcW w:w="1698" w:type="pct"/>
            <w:gridSpan w:val="2"/>
            <w:vMerge w:val="restar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мерных слитках</w:t>
            </w:r>
          </w:p>
        </w:tc>
        <w:tc>
          <w:tcPr>
            <w:tcW w:w="689" w:type="pct"/>
            <w:gridSpan w:val="2"/>
            <w:tcBorders>
              <w:bottom w:val="none" w:color="000000" w:sz="4" w:space="0"/>
              <w:right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Весовая номенклатура (грамм)</w:t>
            </w:r>
          </w:p>
        </w:tc>
        <w:tc>
          <w:tcPr>
            <w:tcW w:w="740" w:type="pct"/>
            <w:tcBorders>
              <w:left w:val="none" w:color="000000" w:sz="4" w:space="0"/>
              <w:bottom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за слиток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(руб.)</w:t>
            </w:r>
          </w:p>
        </w:tc>
        <w:tc>
          <w:tcPr>
            <w:tcW w:w="1248" w:type="pct"/>
            <w:vMerge w:val="restart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</w:p>
        </w:tc>
      </w:tr>
      <w:tr>
        <w:tc>
          <w:tcPr>
            <w:tcW w:w="625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gridSpan w:val="2"/>
            <w:vMerge w:val="continue"/>
            <w:tcBorders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740" w:type="pct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650,00</w:t>
            </w:r>
          </w:p>
        </w:tc>
        <w:tc>
          <w:tcPr>
            <w:tcW w:w="1248" w:type="pct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625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gridSpan w:val="2"/>
            <w:vMerge w:val="continue"/>
            <w:tcBorders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</w:p>
        </w:tc>
        <w:tc>
          <w:tcPr>
            <w:tcW w:w="740" w:type="pct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700,00</w:t>
            </w:r>
          </w:p>
        </w:tc>
        <w:tc>
          <w:tcPr>
            <w:tcW w:w="1248" w:type="pct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625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gridSpan w:val="2"/>
            <w:vMerge w:val="continue"/>
            <w:tcBorders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</w:p>
        </w:tc>
        <w:tc>
          <w:tcPr>
            <w:tcW w:w="740" w:type="pct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750,00</w:t>
            </w:r>
          </w:p>
        </w:tc>
        <w:tc>
          <w:tcPr>
            <w:tcW w:w="1248" w:type="pct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625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gridSpan w:val="2"/>
            <w:vMerge w:val="continue"/>
            <w:tcBorders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</w:p>
        </w:tc>
        <w:tc>
          <w:tcPr>
            <w:tcW w:w="740" w:type="pct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1 000,00</w:t>
            </w:r>
          </w:p>
        </w:tc>
        <w:tc>
          <w:tcPr>
            <w:tcW w:w="1248" w:type="pct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625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gridSpan w:val="2"/>
            <w:vMerge w:val="continue"/>
            <w:tcBorders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</w:t>
            </w:r>
          </w:p>
        </w:tc>
        <w:tc>
          <w:tcPr>
            <w:tcW w:w="740" w:type="pct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1 500,00</w:t>
            </w:r>
          </w:p>
        </w:tc>
        <w:tc>
          <w:tcPr>
            <w:tcW w:w="1248" w:type="pct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625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gridSpan w:val="2"/>
            <w:vMerge w:val="continue"/>
            <w:tcBorders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</w:p>
        </w:tc>
        <w:tc>
          <w:tcPr>
            <w:tcW w:w="740" w:type="pct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2 000,00</w:t>
            </w:r>
          </w:p>
        </w:tc>
        <w:tc>
          <w:tcPr>
            <w:tcW w:w="1248" w:type="pct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625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gridSpan w:val="2"/>
            <w:vMerge w:val="continue"/>
            <w:tcBorders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</w:t>
            </w:r>
          </w:p>
        </w:tc>
        <w:tc>
          <w:tcPr>
            <w:tcW w:w="740" w:type="pct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5 000,00</w:t>
            </w:r>
          </w:p>
        </w:tc>
        <w:tc>
          <w:tcPr>
            <w:tcW w:w="1248" w:type="pct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625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gridSpan w:val="2"/>
            <w:vMerge w:val="continue"/>
            <w:tcBorders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</w:t>
            </w:r>
          </w:p>
        </w:tc>
        <w:tc>
          <w:tcPr>
            <w:tcW w:w="740" w:type="pct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9 000,00</w:t>
            </w:r>
          </w:p>
        </w:tc>
        <w:tc>
          <w:tcPr>
            <w:tcW w:w="1248" w:type="pct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625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gridSpan w:val="2"/>
            <w:vMerge w:val="continue"/>
            <w:tcBorders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</w:t>
            </w:r>
          </w:p>
        </w:tc>
        <w:tc>
          <w:tcPr>
            <w:tcW w:w="740" w:type="pct"/>
            <w:tcBorders>
              <w:top w:val="none" w:color="000000" w:sz="4" w:space="0"/>
              <w:left w:val="none" w:color="000000" w:sz="4" w:space="0"/>
              <w:bottom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17 000,00</w:t>
            </w:r>
          </w:p>
        </w:tc>
        <w:tc>
          <w:tcPr>
            <w:tcW w:w="1248" w:type="pct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625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16.2.2.2.</w:t>
            </w:r>
          </w:p>
        </w:tc>
        <w:tc>
          <w:tcPr>
            <w:tcW w:w="1698" w:type="pct"/>
            <w:gridSpan w:val="2"/>
            <w:tcBorders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Серебро</w:t>
            </w:r>
          </w:p>
        </w:tc>
        <w:tc>
          <w:tcPr>
            <w:tcW w:w="1429" w:type="pct"/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625" w:type="pc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16.2.2.2.1.</w:t>
            </w:r>
          </w:p>
        </w:tc>
        <w:tc>
          <w:tcPr>
            <w:tcW w:w="1698" w:type="pct"/>
            <w:gridSpan w:val="2"/>
            <w:tcBorders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стандартных слитках</w:t>
            </w:r>
          </w:p>
        </w:tc>
        <w:tc>
          <w:tcPr>
            <w:tcW w:w="1429" w:type="pct"/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0,2 % от стоимости драгоценного металла</w:t>
            </w:r>
            <w:r>
              <w:rPr>
                <w:bCs/>
                <w:iCs/>
                <w:sz w:val="20"/>
                <w:szCs w:val="20"/>
                <w:vertAlign w:val="superscript"/>
              </w:rPr>
              <w:footnoteReference w:id="8"/>
            </w:r>
          </w:p>
        </w:tc>
        <w:tc>
          <w:tcPr>
            <w:tcW w:w="1248" w:type="pct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</w:p>
        </w:tc>
      </w:tr>
      <w:tr>
        <w:tc>
          <w:tcPr>
            <w:tcW w:w="625" w:type="pct"/>
            <w:vMerge w:val="restar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16.2.2.2.2.</w:t>
            </w:r>
          </w:p>
        </w:tc>
        <w:tc>
          <w:tcPr>
            <w:tcW w:w="1698" w:type="pct"/>
            <w:gridSpan w:val="2"/>
            <w:vMerge w:val="restart"/>
            <w:tcBorders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мерных слитках</w:t>
            </w:r>
          </w:p>
        </w:tc>
        <w:tc>
          <w:tcPr>
            <w:tcW w:w="689" w:type="pct"/>
            <w:gridSpan w:val="2"/>
            <w:tcBorders>
              <w:bottom w:val="none" w:color="000000" w:sz="4" w:space="0"/>
              <w:right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Весовая номенклатура (грамм)</w:t>
            </w:r>
          </w:p>
        </w:tc>
        <w:tc>
          <w:tcPr>
            <w:tcW w:w="740" w:type="pct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Цена за слиток (руб.)</w:t>
            </w:r>
          </w:p>
        </w:tc>
        <w:tc>
          <w:tcPr>
            <w:tcW w:w="1248" w:type="pct"/>
            <w:vMerge w:val="restart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</w:p>
        </w:tc>
      </w:tr>
      <w:tr>
        <w:tc>
          <w:tcPr>
            <w:tcW w:w="625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gridSpan w:val="2"/>
            <w:vMerge w:val="continue"/>
            <w:tcBorders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</w:t>
            </w:r>
          </w:p>
        </w:tc>
        <w:tc>
          <w:tcPr>
            <w:tcW w:w="740" w:type="pct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1 100,00</w:t>
            </w:r>
          </w:p>
        </w:tc>
        <w:tc>
          <w:tcPr>
            <w:tcW w:w="1248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625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gridSpan w:val="2"/>
            <w:vMerge w:val="continue"/>
            <w:tcBorders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</w:p>
        </w:tc>
        <w:tc>
          <w:tcPr>
            <w:tcW w:w="740" w:type="pct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1 200,00</w:t>
            </w:r>
          </w:p>
        </w:tc>
        <w:tc>
          <w:tcPr>
            <w:tcW w:w="1248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625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gridSpan w:val="2"/>
            <w:vMerge w:val="continue"/>
            <w:tcBorders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</w:t>
            </w:r>
          </w:p>
        </w:tc>
        <w:tc>
          <w:tcPr>
            <w:tcW w:w="740" w:type="pct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1 900,00</w:t>
            </w:r>
          </w:p>
        </w:tc>
        <w:tc>
          <w:tcPr>
            <w:tcW w:w="1248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625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gridSpan w:val="2"/>
            <w:vMerge w:val="continue"/>
            <w:tcBorders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</w:t>
            </w:r>
          </w:p>
        </w:tc>
        <w:tc>
          <w:tcPr>
            <w:tcW w:w="740" w:type="pct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2 300,00</w:t>
            </w:r>
          </w:p>
        </w:tc>
        <w:tc>
          <w:tcPr>
            <w:tcW w:w="1248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625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gridSpan w:val="2"/>
            <w:vMerge w:val="continue"/>
            <w:tcBorders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one" w:color="000000" w:sz="4" w:space="0"/>
              <w:right w:val="non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</w:t>
            </w:r>
          </w:p>
        </w:tc>
        <w:tc>
          <w:tcPr>
            <w:tcW w:w="740" w:type="pct"/>
            <w:tcBorders>
              <w:top w:val="none" w:color="000000" w:sz="4" w:space="0"/>
              <w:left w:val="none" w:color="000000" w:sz="4" w:space="0"/>
              <w:bottom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2 500,00</w:t>
            </w:r>
          </w:p>
        </w:tc>
        <w:tc>
          <w:tcPr>
            <w:tcW w:w="1248" w:type="pct"/>
            <w:vMerge w:val="continue"/>
          </w:tcPr>
          <w:p>
            <w:pPr>
              <w:rPr>
                <w:sz w:val="20"/>
                <w:szCs w:val="20"/>
              </w:rPr>
            </w:pPr>
          </w:p>
        </w:tc>
      </w:tr>
    </w:tbl>
    <w:p>
      <w:pPr>
        <w:tabs>
          <w:tab w:val="left" w:pos="284"/>
          <w:tab w:val="left" w:pos="993"/>
        </w:tabs>
        <w:spacing w:before="40" w:after="40"/>
        <w:rPr>
          <w:b/>
          <w:sz w:val="20"/>
          <w:szCs w:val="20"/>
        </w:rPr>
        <w:sectPr>
          <w:headerReference w:type="default" r:id="rId9"/>
          <w:headerReference w:type="first" r:id="rId10"/>
          <w:footerReference w:type="even" r:id="rId11"/>
          <w:pgSz w:w="11906" w:h="16838"/>
          <w:pgMar w:top="689" w:right="720" w:bottom="284" w:left="1287" w:header="709" w:footer="823" w:gutter="0"/>
          <w:cols w:space="708"/>
          <w:docGrid w:linePitch="360"/>
          <w:titlePg/>
        </w:sectPr>
      </w:pPr>
    </w:p>
    <w:p>
      <w:pPr>
        <w:keepNext/>
        <w:spacing w:after="40"/>
        <w:outlineLvl w:val="1"/>
        <w:rPr>
          <w:b/>
          <w:bCs/>
          <w:sz w:val="22"/>
          <w:szCs w:val="22"/>
        </w:rPr>
      </w:pPr>
    </w:p>
    <w:p>
      <w:pPr>
        <w:keepNext/>
        <w:spacing w:after="40"/>
        <w:ind w:left="720"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17. Обслуживание с использованием Торговой системы</w:t>
      </w:r>
      <w:r>
        <w:rPr>
          <w:b/>
          <w:bCs/>
          <w:sz w:val="22"/>
          <w:szCs w:val="22"/>
        </w:rPr>
        <w:br w:type="textWrapping" w:clear="all"/>
      </w:r>
      <w:r>
        <w:rPr>
          <w:b/>
          <w:bCs/>
          <w:sz w:val="22"/>
          <w:szCs w:val="22"/>
        </w:rPr>
        <w:t xml:space="preserve"> РСХБ-Дилинг АО «Россельхозбанк», Торговой системы РСХБ-Дилинг 2.0</w:t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24"/>
        <w:gridCol w:w="2950"/>
        <w:gridCol w:w="1827"/>
        <w:gridCol w:w="4214"/>
      </w:tblGrid>
      <w:tr>
        <w:tc>
          <w:tcPr>
            <w:tcW w:w="556" w:type="pct"/>
            <w:vAlign w:val="center"/>
          </w:tcPr>
          <w:p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 </w:t>
            </w:r>
            <w:r>
              <w:rPr>
                <w:b/>
                <w:bCs/>
                <w:sz w:val="20"/>
                <w:szCs w:val="20"/>
              </w:rPr>
              <w:br w:type="textWrapping" w:clear="all"/>
            </w:r>
            <w:r>
              <w:rPr>
                <w:b/>
                <w:bCs/>
                <w:sz w:val="20"/>
                <w:szCs w:val="20"/>
              </w:rPr>
              <w:t xml:space="preserve"> п/п</w:t>
            </w:r>
          </w:p>
        </w:tc>
        <w:tc>
          <w:tcPr>
            <w:tcW w:w="1458" w:type="pct"/>
            <w:vAlign w:val="center"/>
          </w:tcPr>
          <w:p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</w:p>
        </w:tc>
        <w:tc>
          <w:tcPr>
            <w:tcW w:w="903" w:type="pct"/>
            <w:vAlign w:val="center"/>
          </w:tcPr>
          <w:p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</w:p>
        </w:tc>
        <w:tc>
          <w:tcPr>
            <w:tcW w:w="2083" w:type="pct"/>
            <w:vAlign w:val="center"/>
          </w:tcPr>
          <w:p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</w:p>
        </w:tc>
      </w:tr>
      <w:tr>
        <w:tc>
          <w:tcPr>
            <w:tcW w:w="556" w:type="pct"/>
            <w:tcBorders>
              <w:bottom w:val="single" w:color="000000" w:sz="4" w:space="0"/>
            </w:tcBorders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 </w:t>
            </w:r>
          </w:p>
        </w:tc>
        <w:tc>
          <w:tcPr>
            <w:tcW w:w="4444" w:type="pct"/>
            <w:gridSpan w:val="3"/>
          </w:tcPr>
          <w:p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 использованием Торговой системы РСХБ-Дилинг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 АО «Россельхозбанк»</w:t>
            </w:r>
          </w:p>
        </w:tc>
      </w:tr>
      <w:tr>
        <w:tc>
          <w:tcPr>
            <w:tcW w:w="556" w:type="pct"/>
            <w:tcBorders>
              <w:bottom w:val="single" w:color="000000" w:sz="4" w:space="0"/>
            </w:tcBorders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17.1.1. </w:t>
            </w:r>
          </w:p>
        </w:tc>
        <w:tc>
          <w:tcPr>
            <w:tcW w:w="1458" w:type="pct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Торговой системы РСХБ-Дилинг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 АО «Россельхозбанк» </w:t>
            </w:r>
          </w:p>
        </w:tc>
        <w:tc>
          <w:tcPr>
            <w:tcW w:w="903" w:type="pct"/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</w:p>
        </w:tc>
        <w:tc>
          <w:tcPr>
            <w:tcW w:w="2083" w:type="pct"/>
          </w:tcPr>
          <w:p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556" w:type="pct"/>
            <w:tcBorders>
              <w:bottom w:val="single" w:color="000000" w:sz="4" w:space="0"/>
            </w:tcBorders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</w:t>
            </w:r>
          </w:p>
        </w:tc>
        <w:tc>
          <w:tcPr>
            <w:tcW w:w="4444" w:type="pct"/>
            <w:gridSpan w:val="3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к Торговой системе РСХБ-Дилинг АО «Россельхозбанк»</w:t>
            </w:r>
          </w:p>
        </w:tc>
      </w:tr>
      <w:tr>
        <w:tc>
          <w:tcPr>
            <w:tcW w:w="556" w:type="pct"/>
            <w:tcBorders>
              <w:bottom w:val="single" w:color="000000" w:sz="4" w:space="0"/>
            </w:tcBorders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17.1.2.1.</w:t>
            </w:r>
          </w:p>
        </w:tc>
        <w:tc>
          <w:tcPr>
            <w:tcW w:w="1458" w:type="pct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Регистрация в Торговой системе РСХБ-Дилинг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</w:t>
            </w:r>
          </w:p>
        </w:tc>
        <w:tc>
          <w:tcPr>
            <w:tcW w:w="903" w:type="pct"/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</w:p>
        </w:tc>
        <w:tc>
          <w:tcPr>
            <w:tcW w:w="2083" w:type="pct"/>
          </w:tcPr>
          <w:p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556" w:type="pct"/>
            <w:tcBorders>
              <w:bottom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17.1.2.2.</w:t>
            </w:r>
          </w:p>
        </w:tc>
        <w:tc>
          <w:tcPr>
            <w:tcW w:w="1458" w:type="pct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дополнительных счетов к Торговой системе РСХБ-Дилинг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</w:t>
            </w:r>
          </w:p>
        </w:tc>
        <w:tc>
          <w:tcPr>
            <w:tcW w:w="903" w:type="pct"/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</w:p>
        </w:tc>
        <w:tc>
          <w:tcPr>
            <w:tcW w:w="2083" w:type="pct"/>
          </w:tcPr>
          <w:p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556" w:type="pct"/>
            <w:tcBorders>
              <w:bottom w:val="single" w:color="000000" w:sz="4" w:space="0"/>
            </w:tcBorders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17.1.2.3.</w:t>
            </w:r>
          </w:p>
        </w:tc>
        <w:tc>
          <w:tcPr>
            <w:tcW w:w="1458" w:type="pct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Смена логина</w:t>
            </w:r>
            <w:r>
              <w:rPr>
                <w:bCs/>
                <w:sz w:val="20"/>
                <w:szCs w:val="20"/>
                <w:vertAlign w:val="superscript"/>
              </w:rPr>
              <w:footnoteReference w:id="9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РСХБ-Дилинг АО «Россельхозбанк»</w:t>
            </w:r>
          </w:p>
        </w:tc>
        <w:tc>
          <w:tcPr>
            <w:tcW w:w="903" w:type="pct"/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</w:p>
        </w:tc>
        <w:tc>
          <w:tcPr>
            <w:tcW w:w="2083" w:type="pct"/>
          </w:tcPr>
          <w:p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556" w:type="pct"/>
            <w:tcBorders>
              <w:bottom w:val="single" w:color="000000" w:sz="4" w:space="0"/>
            </w:tcBorders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17.1.2.4.</w:t>
            </w:r>
          </w:p>
        </w:tc>
        <w:tc>
          <w:tcPr>
            <w:tcW w:w="1458" w:type="pct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доступа в Торговую систему РСХБ-Дилинг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для новых уполномоченных лиц</w:t>
            </w:r>
          </w:p>
        </w:tc>
        <w:tc>
          <w:tcPr>
            <w:tcW w:w="903" w:type="pct"/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</w:p>
        </w:tc>
        <w:tc>
          <w:tcPr>
            <w:tcW w:w="2083" w:type="pct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556" w:type="pct"/>
            <w:tcBorders>
              <w:bottom w:val="single" w:color="000000" w:sz="4" w:space="0"/>
            </w:tcBorders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17.1.2.5.</w:t>
            </w:r>
          </w:p>
        </w:tc>
        <w:tc>
          <w:tcPr>
            <w:tcW w:w="1458" w:type="pct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Блокировка доступа/ возобновление доступа к Торговой системе РСХБ-Дилинг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 АО «Россельхозбанк»</w:t>
            </w:r>
          </w:p>
        </w:tc>
        <w:tc>
          <w:tcPr>
            <w:tcW w:w="903" w:type="pct"/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</w:p>
        </w:tc>
        <w:tc>
          <w:tcPr>
            <w:tcW w:w="2083" w:type="pct"/>
          </w:tcPr>
          <w:p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556" w:type="pct"/>
            <w:tcBorders>
              <w:bottom w:val="single" w:color="000000" w:sz="4" w:space="0"/>
            </w:tcBorders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</w:p>
        </w:tc>
        <w:tc>
          <w:tcPr>
            <w:tcW w:w="4444" w:type="pct"/>
            <w:gridSpan w:val="3"/>
          </w:tcPr>
          <w:p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криптографической защиты информации</w:t>
            </w:r>
          </w:p>
        </w:tc>
      </w:tr>
      <w:tr>
        <w:tc>
          <w:tcPr>
            <w:tcW w:w="55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17.1.3.1.</w:t>
            </w:r>
          </w:p>
        </w:tc>
        <w:tc>
          <w:tcPr>
            <w:tcW w:w="145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одной </w:t>
            </w:r>
            <w:r>
              <w:rPr>
                <w:sz w:val="20"/>
                <w:szCs w:val="20"/>
                <w:lang w:val="en-US"/>
              </w:rPr>
              <w:t xml:space="preserve">HTML-</w:t>
            </w:r>
            <w:r>
              <w:rPr>
                <w:sz w:val="20"/>
                <w:szCs w:val="20"/>
              </w:rPr>
              <w:t xml:space="preserve">формы 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</w:p>
        </w:tc>
        <w:tc>
          <w:tcPr>
            <w:tcW w:w="208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556" w:type="pct"/>
            <w:tcBorders>
              <w:top w:val="single" w:color="000000" w:sz="4" w:space="0"/>
            </w:tcBorders>
          </w:tcPr>
          <w:p>
            <w:pPr>
              <w:spacing w:before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17.1.3.1.1.</w:t>
            </w:r>
          </w:p>
        </w:tc>
        <w:tc>
          <w:tcPr>
            <w:tcW w:w="1458" w:type="pct"/>
            <w:tcBorders>
              <w:top w:val="single" w:color="000000" w:sz="4" w:space="0"/>
            </w:tcBorders>
          </w:tcPr>
          <w:p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903" w:type="pct"/>
            <w:tcBorders>
              <w:top w:val="single" w:color="000000" w:sz="4" w:space="0"/>
            </w:tcBorders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</w:p>
        </w:tc>
        <w:tc>
          <w:tcPr>
            <w:tcW w:w="2083" w:type="pct"/>
            <w:tcBorders>
              <w:top w:val="single" w:color="000000" w:sz="4" w:space="0"/>
            </w:tcBorders>
          </w:tcPr>
          <w:p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 17.1.3.1</w:t>
            </w:r>
          </w:p>
        </w:tc>
      </w:tr>
      <w:tr>
        <w:tc>
          <w:tcPr>
            <w:tcW w:w="556" w:type="pct"/>
          </w:tcPr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.</w:t>
            </w:r>
          </w:p>
        </w:tc>
        <w:tc>
          <w:tcPr>
            <w:tcW w:w="1458" w:type="pct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</w:p>
        </w:tc>
        <w:tc>
          <w:tcPr>
            <w:tcW w:w="903" w:type="pct"/>
          </w:tcPr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</w:p>
        </w:tc>
        <w:tc>
          <w:tcPr>
            <w:tcW w:w="2083" w:type="pct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556" w:type="pct"/>
          </w:tcPr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sz w:val="20"/>
                <w:szCs w:val="20"/>
              </w:rPr>
              <w:t xml:space="preserve">.</w:t>
            </w:r>
          </w:p>
        </w:tc>
        <w:tc>
          <w:tcPr>
            <w:tcW w:w="1458" w:type="pct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</w:p>
        </w:tc>
        <w:tc>
          <w:tcPr>
            <w:tcW w:w="903" w:type="pct"/>
          </w:tcPr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</w:p>
        </w:tc>
        <w:tc>
          <w:tcPr>
            <w:tcW w:w="2083" w:type="pct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556" w:type="pct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sz w:val="20"/>
                <w:szCs w:val="20"/>
              </w:rPr>
              <w:t xml:space="preserve">.</w:t>
            </w:r>
          </w:p>
        </w:tc>
        <w:tc>
          <w:tcPr>
            <w:tcW w:w="1458" w:type="pct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</w:p>
        </w:tc>
        <w:tc>
          <w:tcPr>
            <w:tcW w:w="903" w:type="pct"/>
          </w:tcPr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155 руб.</w:t>
            </w:r>
          </w:p>
        </w:tc>
        <w:tc>
          <w:tcPr>
            <w:tcW w:w="2083" w:type="pct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</w:p>
        </w:tc>
      </w:tr>
      <w:tr>
        <w:tc>
          <w:tcPr>
            <w:tcW w:w="556" w:type="pct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</w:t>
            </w:r>
            <w:r>
              <w:rPr>
                <w:bCs/>
                <w:sz w:val="20"/>
                <w:szCs w:val="20"/>
                <w:lang w:val="en-US"/>
              </w:rPr>
              <w:t xml:space="preserve">.5</w:t>
            </w:r>
            <w:r>
              <w:rPr>
                <w:bCs/>
                <w:sz w:val="20"/>
                <w:szCs w:val="20"/>
              </w:rPr>
              <w:t xml:space="preserve">.</w:t>
            </w:r>
          </w:p>
        </w:tc>
        <w:tc>
          <w:tcPr>
            <w:tcW w:w="1458" w:type="pct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электронной подписи в одном электронном документе по запросу клиента</w:t>
            </w:r>
          </w:p>
        </w:tc>
        <w:tc>
          <w:tcPr>
            <w:tcW w:w="903" w:type="pct"/>
          </w:tcPr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1 530 руб.</w:t>
            </w:r>
          </w:p>
        </w:tc>
        <w:tc>
          <w:tcPr>
            <w:tcW w:w="2083" w:type="pct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«Россельхозбанк».</w:t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</w:p>
        </w:tc>
      </w:tr>
      <w:t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17.1.4.</w:t>
            </w:r>
          </w:p>
        </w:tc>
        <w:tc>
          <w:tcPr>
            <w:tcW w:w="44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Плановая смена комплекта ключей ‘электронной подписи (ЭП) и соответствующего им сертификата ключа проверки электронной подписи по запросу клиента</w:t>
            </w:r>
          </w:p>
        </w:tc>
      </w:tr>
      <w:t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17.1.4.1.</w:t>
            </w:r>
          </w:p>
        </w:tc>
        <w:tc>
          <w:tcPr>
            <w:tcW w:w="1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с</w:t>
            </w:r>
            <w:r>
              <w:rPr>
                <w:bCs/>
                <w:sz w:val="20"/>
                <w:szCs w:val="20"/>
              </w:rPr>
              <w:t xml:space="preserve">ертификата ключа проверки электронной подписи 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221"/>
              </w:tabs>
              <w:spacing w:before="40" w:after="4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</w:p>
        </w:tc>
        <w:tc>
          <w:tcPr>
            <w:tcW w:w="2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</w:t>
            </w:r>
          </w:p>
        </w:tc>
        <w:tc>
          <w:tcPr>
            <w:tcW w:w="44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</w:p>
        </w:tc>
      </w:tr>
      <w:tr>
        <w:tc>
          <w:tcPr>
            <w:tcW w:w="556" w:type="pct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17.1.5.1.</w:t>
            </w:r>
          </w:p>
        </w:tc>
        <w:tc>
          <w:tcPr>
            <w:tcW w:w="1458" w:type="pct"/>
          </w:tcPr>
          <w:p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  <w:lang w:val="en-US"/>
              </w:rPr>
              <w:t xml:space="preserve">HTML</w:t>
            </w:r>
            <w:r>
              <w:rPr>
                <w:sz w:val="20"/>
                <w:szCs w:val="20"/>
              </w:rPr>
              <w:t xml:space="preserve">-формы </w:t>
            </w:r>
            <w:r>
              <w:rPr>
                <w:bCs/>
                <w:sz w:val="20"/>
                <w:szCs w:val="20"/>
              </w:rPr>
              <w:t xml:space="preserve">в связи с утратой функционального ключевого носителя или его технических повреждений</w:t>
            </w:r>
          </w:p>
        </w:tc>
        <w:tc>
          <w:tcPr>
            <w:tcW w:w="903" w:type="pct"/>
          </w:tcPr>
          <w:p>
            <w:pPr>
              <w:tabs>
                <w:tab w:val="left" w:pos="981"/>
                <w:tab w:val="left" w:pos="1131"/>
              </w:tabs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1 730 руб.</w:t>
            </w:r>
          </w:p>
        </w:tc>
        <w:tc>
          <w:tcPr>
            <w:tcW w:w="2083" w:type="pct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</w:t>
            </w:r>
            <w:r>
              <w:rPr>
                <w:bCs/>
                <w:sz w:val="20"/>
                <w:szCs w:val="20"/>
              </w:rPr>
              <w:t xml:space="preserve">нной подписи.</w:t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</w:p>
        </w:tc>
      </w:tr>
      <w:tr>
        <w:tc>
          <w:tcPr>
            <w:tcW w:w="556" w:type="pct"/>
          </w:tcPr>
          <w:p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17.1.5.1.1.</w:t>
            </w:r>
          </w:p>
        </w:tc>
        <w:tc>
          <w:tcPr>
            <w:tcW w:w="1458" w:type="pct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903" w:type="pct"/>
          </w:tcPr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</w:p>
        </w:tc>
        <w:tc>
          <w:tcPr>
            <w:tcW w:w="2083" w:type="pct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</w:t>
            </w:r>
            <w:r>
              <w:rPr>
                <w:bCs/>
                <w:sz w:val="20"/>
                <w:szCs w:val="20"/>
              </w:rPr>
              <w:t xml:space="preserve">тавляется после выполнения условий по п. 17.1.5.1</w:t>
            </w:r>
          </w:p>
        </w:tc>
      </w:tr>
      <w:tr>
        <w:tc>
          <w:tcPr>
            <w:tcW w:w="556" w:type="pct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17.1.5.2.</w:t>
            </w:r>
          </w:p>
        </w:tc>
        <w:tc>
          <w:tcPr>
            <w:tcW w:w="1458" w:type="pct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  <w:lang w:val="en-US"/>
              </w:rPr>
              <w:t xml:space="preserve">HTML</w:t>
            </w:r>
            <w:r>
              <w:rPr>
                <w:sz w:val="20"/>
                <w:szCs w:val="20"/>
              </w:rPr>
              <w:t xml:space="preserve">-формы </w:t>
            </w:r>
            <w:r>
              <w:rPr>
                <w:bCs/>
                <w:sz w:val="20"/>
                <w:szCs w:val="20"/>
              </w:rPr>
              <w:t xml:space="preserve">в связи с компрометацией ключа  электронной подписи на новом функциональном ключевом носителе</w:t>
            </w:r>
          </w:p>
        </w:tc>
        <w:tc>
          <w:tcPr>
            <w:tcW w:w="903" w:type="pct"/>
          </w:tcPr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</w:p>
        </w:tc>
        <w:tc>
          <w:tcPr>
            <w:tcW w:w="2083" w:type="pct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применяется в случае возврата клиентом функционального ключевого носителя, ранее выданного Банком.</w:t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непредставления клиентом функционального ключевого носителя, ранее выданного Банком, с клиента взимается комиссия в соответствии с п. 17.1.5.1</w:t>
            </w:r>
            <w:r>
              <w:rPr>
                <w:bCs/>
                <w:sz w:val="20"/>
                <w:szCs w:val="20"/>
              </w:rPr>
              <w:t xml:space="preserve"> в день получения клиентом от Банка нового функционального ключевого носителя</w:t>
            </w:r>
          </w:p>
        </w:tc>
      </w:tr>
      <w:tr>
        <w:tc>
          <w:tcPr>
            <w:tcW w:w="556" w:type="pct"/>
          </w:tcPr>
          <w:p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17.1.5.2.1.</w:t>
            </w:r>
          </w:p>
        </w:tc>
        <w:tc>
          <w:tcPr>
            <w:tcW w:w="1458" w:type="pct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903" w:type="pct"/>
          </w:tcPr>
          <w:p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</w:p>
        </w:tc>
        <w:tc>
          <w:tcPr>
            <w:tcW w:w="2083" w:type="pct"/>
          </w:tcPr>
          <w:p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</w:t>
            </w:r>
            <w:r>
              <w:rPr>
                <w:bCs/>
                <w:sz w:val="20"/>
                <w:szCs w:val="20"/>
              </w:rPr>
              <w:t xml:space="preserve">га предоставляется после выполнения условий по п. 17.1.5.2</w:t>
            </w:r>
          </w:p>
        </w:tc>
      </w:tr>
      <w:tr>
        <w:tc>
          <w:tcPr>
            <w:tcW w:w="556" w:type="pct"/>
          </w:tcPr>
          <w:p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17.2.</w:t>
            </w:r>
          </w:p>
        </w:tc>
        <w:tc>
          <w:tcPr>
            <w:tcW w:w="4444" w:type="pct"/>
            <w:gridSpan w:val="3"/>
          </w:tcPr>
          <w:p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 использованием Торговой системы РСХБ-Дилинг 2.0</w:t>
            </w:r>
          </w:p>
        </w:tc>
      </w:tr>
      <w:tr>
        <w:tc>
          <w:tcPr>
            <w:tcW w:w="556" w:type="pct"/>
            <w:tcBorders>
              <w:bottom w:val="single" w:color="000000" w:sz="4" w:space="0"/>
            </w:tcBorders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17.2.1 </w:t>
            </w:r>
          </w:p>
        </w:tc>
        <w:tc>
          <w:tcPr>
            <w:tcW w:w="1458" w:type="pct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Торговой системы РСХБ-Дилинг 2.0 </w:t>
            </w:r>
          </w:p>
        </w:tc>
        <w:tc>
          <w:tcPr>
            <w:tcW w:w="903" w:type="pct"/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</w:p>
        </w:tc>
        <w:tc>
          <w:tcPr>
            <w:tcW w:w="2083" w:type="pct"/>
          </w:tcPr>
          <w:p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556" w:type="pct"/>
            <w:tcBorders>
              <w:bottom w:val="single" w:color="000000" w:sz="4" w:space="0"/>
            </w:tcBorders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 </w:t>
            </w:r>
          </w:p>
        </w:tc>
        <w:tc>
          <w:tcPr>
            <w:tcW w:w="4444" w:type="pct"/>
            <w:gridSpan w:val="3"/>
          </w:tcPr>
          <w:p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к Торговой системе РСХБ-Дилинг 2.0 </w:t>
            </w:r>
          </w:p>
        </w:tc>
      </w:tr>
      <w:tr>
        <w:tc>
          <w:tcPr>
            <w:tcW w:w="556" w:type="pct"/>
            <w:tcBorders>
              <w:bottom w:val="single" w:color="000000" w:sz="4" w:space="0"/>
            </w:tcBorders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17.2.2.1. </w:t>
            </w:r>
          </w:p>
        </w:tc>
        <w:tc>
          <w:tcPr>
            <w:tcW w:w="1458" w:type="pct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Регистрация в Торговой системе РСХБ-Дилинг 2.0</w:t>
            </w:r>
          </w:p>
        </w:tc>
        <w:tc>
          <w:tcPr>
            <w:tcW w:w="903" w:type="pct"/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</w:p>
        </w:tc>
        <w:tc>
          <w:tcPr>
            <w:tcW w:w="2083" w:type="pct"/>
          </w:tcPr>
          <w:p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556" w:type="pct"/>
            <w:tcBorders>
              <w:bottom w:val="single" w:color="000000" w:sz="4" w:space="0"/>
            </w:tcBorders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17.2.2.2. </w:t>
            </w:r>
          </w:p>
        </w:tc>
        <w:tc>
          <w:tcPr>
            <w:tcW w:w="1458" w:type="pct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дополнительных счетов к Торговой системе РСХБ-Дилинг 2.0</w:t>
            </w:r>
          </w:p>
        </w:tc>
        <w:tc>
          <w:tcPr>
            <w:tcW w:w="903" w:type="pct"/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</w:p>
        </w:tc>
        <w:tc>
          <w:tcPr>
            <w:tcW w:w="2083" w:type="pct"/>
          </w:tcPr>
          <w:p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556" w:type="pct"/>
            <w:tcBorders>
              <w:bottom w:val="single" w:color="000000" w:sz="4" w:space="0"/>
            </w:tcBorders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17.2.2.3. </w:t>
            </w:r>
          </w:p>
        </w:tc>
        <w:tc>
          <w:tcPr>
            <w:tcW w:w="1458" w:type="pct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Смена логина</w:t>
            </w:r>
            <w:r>
              <w:rPr>
                <w:bCs/>
                <w:sz w:val="20"/>
                <w:szCs w:val="20"/>
                <w:vertAlign w:val="superscript"/>
              </w:rPr>
              <w:footnoteReference w:id="10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РСХБ-Дилинг 2.0</w:t>
            </w:r>
          </w:p>
        </w:tc>
        <w:tc>
          <w:tcPr>
            <w:tcW w:w="903" w:type="pct"/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</w:p>
        </w:tc>
        <w:tc>
          <w:tcPr>
            <w:tcW w:w="2083" w:type="pct"/>
          </w:tcPr>
          <w:p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556" w:type="pct"/>
            <w:tcBorders>
              <w:bottom w:val="single" w:color="000000" w:sz="4" w:space="0"/>
            </w:tcBorders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17.2.2.4.</w:t>
            </w:r>
          </w:p>
        </w:tc>
        <w:tc>
          <w:tcPr>
            <w:tcW w:w="1458" w:type="pct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доступа в Торговую систему РСХБ-Дилинг 2.0 для новых уполномоченных лиц</w:t>
            </w:r>
          </w:p>
        </w:tc>
        <w:tc>
          <w:tcPr>
            <w:tcW w:w="903" w:type="pct"/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</w:p>
        </w:tc>
        <w:tc>
          <w:tcPr>
            <w:tcW w:w="2083" w:type="pct"/>
          </w:tcPr>
          <w:p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556" w:type="pct"/>
            <w:tcBorders>
              <w:bottom w:val="single" w:color="000000" w:sz="4" w:space="0"/>
            </w:tcBorders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17.2.2.5. </w:t>
            </w:r>
          </w:p>
        </w:tc>
        <w:tc>
          <w:tcPr>
            <w:tcW w:w="1458" w:type="pct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Блокировка доступа/ возобновление доступа к Торговой системе РСХБ-Дилинг 2.0</w:t>
            </w:r>
          </w:p>
        </w:tc>
        <w:tc>
          <w:tcPr>
            <w:tcW w:w="903" w:type="pct"/>
          </w:tcPr>
          <w:p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</w:p>
        </w:tc>
        <w:tc>
          <w:tcPr>
            <w:tcW w:w="2083" w:type="pct"/>
          </w:tcPr>
          <w:p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</w:tbl>
    <w:p>
      <w:pPr>
        <w:jc w:val="both"/>
        <w:rPr>
          <w:bCs/>
          <w:iCs/>
          <w:sz w:val="20"/>
          <w:szCs w:val="20"/>
        </w:rPr>
      </w:pPr>
    </w:p>
    <w:p>
      <w:pPr>
        <w:rPr>
          <w:bCs/>
          <w:iCs/>
          <w:sz w:val="20"/>
          <w:szCs w:val="20"/>
          <w:u w:val="single"/>
        </w:rPr>
      </w:pPr>
      <w:r>
        <w:rPr>
          <w:bCs/>
          <w:iCs/>
          <w:sz w:val="20"/>
          <w:szCs w:val="20"/>
          <w:u w:val="single"/>
        </w:rPr>
        <w:t xml:space="preserve">Примечание:</w:t>
      </w:r>
    </w:p>
    <w:p>
      <w:pPr>
        <w:tabs>
          <w:tab w:val="left" w:pos="284"/>
          <w:tab w:val="left" w:pos="1134"/>
        </w:tabs>
        <w:spacing w:before="40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1.</w:t>
      </w:r>
      <w:r>
        <w:rPr>
          <w:bCs/>
          <w:iCs/>
          <w:sz w:val="20"/>
          <w:szCs w:val="20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</w:p>
    <w:p>
      <w:pPr>
        <w:keepNext/>
        <w:tabs>
          <w:tab w:val="left" w:pos="284"/>
        </w:tabs>
        <w:spacing w:after="40"/>
        <w:jc w:val="both"/>
        <w:outlineLvl w:val="1"/>
        <w:rPr>
          <w:b/>
          <w:bCs/>
          <w:sz w:val="20"/>
          <w:szCs w:val="20"/>
        </w:rPr>
      </w:pPr>
      <w:r>
        <w:rPr>
          <w:bCs/>
          <w:iCs/>
          <w:sz w:val="20"/>
          <w:szCs w:val="20"/>
        </w:rPr>
        <w:t xml:space="preserve">2.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 xml:space="preserve">В случае если на момент оказания услуги клиент не имеет счетов, открытых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</w:t>
      </w:r>
      <w:r>
        <w:rPr>
          <w:bCs/>
          <w:iCs/>
          <w:sz w:val="20"/>
          <w:szCs w:val="20"/>
        </w:rPr>
        <w:t xml:space="preserve">бочих дней с момента подачи в Банк соответствующего запроса/заявления.</w:t>
      </w:r>
    </w:p>
    <w:p>
      <w:pPr>
        <w:keepNext/>
        <w:spacing w:after="40"/>
        <w:ind w:left="-425"/>
        <w:jc w:val="center"/>
        <w:outlineLvl w:val="3"/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ind w:firstLine="709"/>
        <w:jc w:val="center"/>
        <w:rPr>
          <w:b/>
        </w:rPr>
      </w:pPr>
      <w:r>
        <w:rPr>
          <w:b/>
        </w:rPr>
        <w:t xml:space="preserve">18. Операции с использованием цифрового рубля</w:t>
      </w:r>
    </w:p>
    <w:p>
      <w:pPr>
        <w:ind w:firstLine="709"/>
        <w:jc w:val="center"/>
        <w:rPr>
          <w:b/>
        </w:rPr>
      </w:pPr>
    </w:p>
    <w:tbl>
      <w:tblPr>
        <w:tblW w:w="9640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976"/>
        <w:gridCol w:w="1843"/>
        <w:gridCol w:w="3686"/>
      </w:tblGrid>
      <w:tr>
        <w:tc>
          <w:tcPr>
            <w:tcW w:w="113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п/п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услуги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Примечание</w:t>
            </w:r>
          </w:p>
        </w:tc>
      </w:tr>
      <w:tr>
        <w:tc>
          <w:tcPr>
            <w:tcW w:w="1135" w:type="dxa"/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18.1.</w:t>
            </w:r>
          </w:p>
        </w:tc>
        <w:tc>
          <w:tcPr>
            <w:tcW w:w="8505" w:type="dxa"/>
            <w:gridSpan w:val="3"/>
          </w:tcPr>
          <w:p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</w:p>
        </w:tc>
      </w:tr>
      <w:tr>
        <w:tc>
          <w:tcPr>
            <w:tcW w:w="1135" w:type="dxa"/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18.1.1.</w:t>
            </w:r>
          </w:p>
        </w:tc>
        <w:tc>
          <w:tcPr>
            <w:tcW w:w="2976" w:type="dxa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в рублях Российской Федерации со счета Клиента, открытого в АО «Россельхозбанк»,</w:t>
            </w:r>
            <w:r>
              <w:rPr>
                <w:sz w:val="20"/>
                <w:szCs w:val="20"/>
              </w:rPr>
              <w:t xml:space="preserve"> на счет цифрового рубля Клиента для увеличения остатка цифровых рублей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</w:p>
        </w:tc>
        <w:tc>
          <w:tcPr>
            <w:tcW w:w="3686" w:type="dxa"/>
          </w:tcPr>
          <w:p>
            <w:pPr>
              <w:spacing w:before="40" w:after="8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>
        <w:tc>
          <w:tcPr>
            <w:tcW w:w="1135" w:type="dxa"/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18.1.2.</w:t>
            </w:r>
          </w:p>
        </w:tc>
        <w:tc>
          <w:tcPr>
            <w:tcW w:w="2976" w:type="dxa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(зачисление) денежных средств в рублях Российской Федерации на счет Клиента, открытый в АО «Россельхозбанк», в рамках операции по уменьшению остатка цифровых рублей на счете цифрового рубля Клиента</w:t>
            </w:r>
          </w:p>
        </w:tc>
        <w:tc>
          <w:tcPr>
            <w:tcW w:w="1843" w:type="dxa"/>
          </w:tcPr>
          <w:p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</w:p>
        </w:tc>
        <w:tc>
          <w:tcPr>
            <w:tcW w:w="3686" w:type="dxa"/>
          </w:tcPr>
          <w:p>
            <w:pPr>
              <w:spacing w:before="40" w:after="8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>
      <w:pPr>
        <w:spacing w:before="120"/>
        <w:ind w:left="-425" w:right="-284"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 Срок действия – до 31.12.2024 (в</w:t>
      </w:r>
      <w:r>
        <w:rPr>
          <w:sz w:val="16"/>
          <w:szCs w:val="16"/>
        </w:rPr>
        <w:t xml:space="preserve">ключительно).</w:t>
      </w:r>
    </w:p>
    <w:sectPr>
      <w:type w:val="continuous"/>
      <w:pgSz w:w="11906" w:h="16838"/>
      <w:pgMar w:top="720" w:right="720" w:bottom="720" w:left="1287" w:header="567" w:footer="567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TimesET">
    <w:panose1 w:val="02000603000000000000"/>
  </w:font>
  <w:font w:name="Calibri Light">
    <w:panose1 w:val="020F0502020204030204"/>
  </w:font>
  <w:font w:name="Calibri">
    <w:panose1 w:val="020F0502020204030204"/>
  </w:font>
  <w:font w:name="Arial Unicode MS">
    <w:panose1 w:val="020B0506020203020204"/>
  </w:font>
  <w:font w:name="Arial">
    <w:panose1 w:val="020B0604020202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1112111"/>
      </w:pPr>
      <w:r>
        <w:rPr>
          <w:rStyle w:val="1-FNftref1Ciaeniinee-FNReferencianotaalpieFootnoteReferencefrUsedbyWordforHelpfootnotesymbolsSUPERSTableFootnotelast1Avg"/>
        </w:rPr>
        <w:footnoteRef/>
      </w:r>
      <w:r>
        <w:t xml:space="preserve"> [номер сноски указывается в соответствии с нумерацией сносок в Тарифах]</w:t>
      </w:r>
    </w:p>
    <w:p>
      <w:pPr>
        <w:pStyle w:val="1112111"/>
        <w:jc w:val="both"/>
      </w:pPr>
      <w:r>
        <w:t xml:space="preserve">При наличии графика изменения лимита кредитования – комиссия начисляется по формуле простых процентов на сумму неиспользованного остатка лимита кредитования, действующего согласно графика изменения лимита кредитования.</w:t>
      </w:r>
    </w:p>
  </w:footnote>
  <w:footnote w:id="2">
    <w:p>
      <w:pPr>
        <w:pStyle w:val="1112111"/>
      </w:pPr>
      <w:r>
        <w:rPr>
          <w:rStyle w:val="1-FNftref1Ciaeniinee-FNReferencianotaalpieFootnoteReferencefrUsedbyWordforHelpfootnotesymbolsSUPERSTableFootnotelast1Avg"/>
        </w:rPr>
        <w:footnoteRef/>
      </w:r>
      <w:r>
        <w:t xml:space="preserve"> [номер сноски указывается в соответ</w:t>
      </w:r>
      <w:r>
        <w:t xml:space="preserve">ствии с нумерацией сносок в Тарифах]</w:t>
      </w:r>
    </w:p>
    <w:p>
      <w:pPr>
        <w:pStyle w:val="1112111"/>
      </w:pPr>
      <w:r>
        <w:rPr>
          <w:bCs/>
        </w:rPr>
        <w:t xml:space="preserve">В том числе при установлении коммерческой ставки по кредиту (части кредита) в рамках льготных программ.</w:t>
      </w:r>
    </w:p>
    <w:p>
      <w:pPr>
        <w:pStyle w:val="1112111"/>
      </w:pPr>
    </w:p>
  </w:footnote>
  <w:footnote w:id="3">
    <w:p>
      <w:pPr>
        <w:pStyle w:val="1112111"/>
        <w:jc w:val="both"/>
      </w:pPr>
      <w:r>
        <w:rPr>
          <w:rStyle w:val="1-FNftref1Ciaeniinee-FNReferencianotaalpieFootnoteReferencefrUsedbyWordforHelpfootnotesymbolsSUPERSTableFootnotelast1Avg"/>
        </w:rPr>
        <w:footnoteRef/>
      </w:r>
      <w:r>
        <w:t xml:space="preserve">   [номер сноски указывается в соответствии с нумерацией сносок в Тарифах]</w:t>
      </w:r>
    </w:p>
    <w:p>
      <w:pPr>
        <w:pStyle w:val="1112111"/>
        <w:jc w:val="both"/>
      </w:pPr>
      <w:r>
        <w:t xml:space="preserve">Срок, оставшийся до погашения – срок, </w:t>
      </w:r>
      <w:r>
        <w:t xml:space="preserve">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</w:p>
  </w:footnote>
  <w:footnote w:id="4">
    <w:p>
      <w:pPr>
        <w:pStyle w:val="1112111"/>
      </w:pPr>
      <w:r>
        <w:rPr>
          <w:rStyle w:val="1-FNftref1Ciaeniinee-FNReferencianotaalpieFootnoteReferencefrUsedbyWordforHelpfootnotesymbolsSUPERSTableFootnotelast1Avg"/>
        </w:rPr>
        <w:footnoteRef/>
      </w:r>
      <w:r>
        <w:t xml:space="preserve">   [номер сноски указывается в соответствии с нум</w:t>
      </w:r>
      <w:r>
        <w:t xml:space="preserve">ерацией сносок в Тарифах]</w:t>
      </w:r>
    </w:p>
    <w:p>
      <w:pPr>
        <w:pStyle w:val="1112111"/>
      </w:pPr>
      <w:r>
        <w:t xml:space="preserve">В соответствии с пунктом 10.2 приказа АО «Россельхозбанк» от 01.08.2013 № 386-ОД.</w:t>
      </w:r>
    </w:p>
  </w:footnote>
  <w:footnote w:id="5">
    <w:p>
      <w:pPr>
        <w:tabs>
          <w:tab w:val="left" w:pos="4464"/>
          <w:tab w:val="left" w:pos="5760"/>
        </w:tabs>
        <w:spacing w:before="40" w:after="40"/>
        <w:ind w:left="-2" w:right="-18"/>
        <w:jc w:val="both"/>
        <w:rPr>
          <w:i/>
          <w:sz w:val="16"/>
          <w:szCs w:val="16"/>
        </w:rPr>
      </w:pPr>
      <w:r>
        <w:rPr>
          <w:rStyle w:val="1-FNftref1Ciaeniinee-FNReferencianotaalpieFootnoteReferencefrUsedbyWordforHelpfootnotesymbolsSUPERSTableFootnotelast1Avg"/>
        </w:rPr>
        <w:footnoteRef/>
      </w:r>
      <w:r>
        <w:t xml:space="preserve"> </w:t>
      </w:r>
      <w:r>
        <w:rPr>
          <w:i/>
          <w:sz w:val="16"/>
          <w:szCs w:val="16"/>
        </w:rPr>
        <w:t xml:space="preserve">Средневзвешенная стоимость рассчитывается как сумма остатков ценных бумаг по календарным дням месяца деленная на количество дней в соответствующем</w:t>
      </w:r>
      <w:r>
        <w:rPr>
          <w:i/>
          <w:sz w:val="16"/>
          <w:szCs w:val="16"/>
        </w:rPr>
        <w:t xml:space="preserve"> месяце. Стоимость остатка</w:t>
      </w:r>
      <w:r>
        <w:rPr>
          <w:bCs/>
          <w:i/>
          <w:sz w:val="16"/>
          <w:szCs w:val="16"/>
        </w:rPr>
        <w:t xml:space="preserve"> по каждому выпуску ценных бумаг за календарный день определяется как произведение остатка в штуках на конец дня на рыночную стоимость (для акций и депозитарных расписок) или номинальную стоимость (для облигаций и ценных бумаг, не</w:t>
      </w:r>
      <w:r>
        <w:rPr>
          <w:bCs/>
          <w:i/>
          <w:sz w:val="16"/>
          <w:szCs w:val="16"/>
        </w:rPr>
        <w:t xml:space="preserve"> имеющих рыночной стоимости)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</w:p>
  </w:footnote>
  <w:footnote w:id="6">
    <w:p>
      <w:pPr>
        <w:pStyle w:val="1112111"/>
        <w:rPr>
          <w:sz w:val="18"/>
          <w:szCs w:val="18"/>
        </w:rPr>
      </w:pPr>
      <w:r>
        <w:rPr>
          <w:rStyle w:val="1-FNftref1Ciaeniinee-FNReferencianotaalpieFootnoteReferencefrUsedbyWordforHelpfootnotesymbolsSUPERSTableFootnotelast1Avg"/>
          <w:sz w:val="18"/>
          <w:szCs w:val="18"/>
        </w:rPr>
        <w:footnoteRef/>
      </w:r>
      <w:r>
        <w:rPr>
          <w:sz w:val="18"/>
          <w:szCs w:val="18"/>
        </w:rPr>
        <w:t xml:space="preserve"> Комиссионное вознаграждение по операциям приема/выдачи слитков драгоценных </w:t>
      </w:r>
      <w:r>
        <w:rPr>
          <w:sz w:val="18"/>
          <w:szCs w:val="18"/>
        </w:rPr>
        <w:t xml:space="preserve">металлов НДС не облагается. </w:t>
      </w:r>
    </w:p>
  </w:footnote>
  <w:footnote w:id="7">
    <w:p>
      <w:pPr>
        <w:pStyle w:val="1112111"/>
        <w:jc w:val="both"/>
      </w:pPr>
      <w:r>
        <w:rPr>
          <w:rStyle w:val="1-FNftref1Ciaeniinee-FNReferencianotaalpieFootnoteReferencefrUsedbyWordforHelpfootnotesymbolsSUPERSTableFootnotelast1Avg"/>
        </w:rPr>
        <w:footnoteRef/>
      </w:r>
      <w:r>
        <w:t xml:space="preserve"> </w:t>
      </w:r>
      <w:r>
        <w:rPr>
          <w:sz w:val="18"/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</w:t>
      </w:r>
      <w:r>
        <w:rPr>
          <w:sz w:val="18"/>
          <w:szCs w:val="18"/>
        </w:rPr>
        <w:t xml:space="preserve">ия операции.</w:t>
      </w:r>
    </w:p>
  </w:footnote>
  <w:footnote w:id="8">
    <w:p>
      <w:pPr>
        <w:pStyle w:val="1112111"/>
        <w:jc w:val="both"/>
      </w:pPr>
      <w:r>
        <w:rPr>
          <w:rStyle w:val="1-FNftref1Ciaeniinee-FNReferencianotaalpieFootnoteReferencefrUsedbyWordforHelpfootnotesymbolsSUPERSTableFootnotelast1Avg"/>
        </w:rPr>
        <w:footnoteRef/>
      </w:r>
      <w:r>
        <w:t xml:space="preserve"> </w:t>
      </w:r>
      <w:r>
        <w:rPr>
          <w:sz w:val="18"/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</w:p>
  </w:footnote>
  <w:footnote w:id="9">
    <w:p>
      <w:pPr>
        <w:jc w:val="both"/>
        <w:rPr>
          <w:bCs/>
          <w:sz w:val="18"/>
          <w:szCs w:val="18"/>
          <w:lang w:eastAsia="en-US"/>
        </w:rPr>
      </w:pPr>
      <w:r>
        <w:rPr>
          <w:rStyle w:val="1-FNftref1Ciaeniinee-FNReferencianotaalpieFootnoteReferencefrUsedbyWordforHelpfootnotesymbolsSUPERSTableFootnotelast1Avg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t xml:space="preserve">[</w:t>
      </w:r>
      <w:r>
        <w:rPr>
          <w:bCs/>
          <w:sz w:val="18"/>
          <w:szCs w:val="18"/>
          <w:lang w:eastAsia="en-US"/>
        </w:rPr>
        <w:t xml:space="preserve">номер сноски указывается в соответствии с нумерацией сносок в Тарифах комиссионного вознаграждения на услуги </w:t>
      </w:r>
      <w:r>
        <w:rPr>
          <w:bCs/>
          <w:sz w:val="18"/>
          <w:szCs w:val="18"/>
          <w:lang w:eastAsia="en-US"/>
        </w:rPr>
        <w:br w:type="textWrapping" w:clear="all"/>
      </w:r>
      <w:r>
        <w:rPr>
          <w:bCs/>
          <w:sz w:val="18"/>
          <w:szCs w:val="18"/>
          <w:lang w:eastAsia="en-US"/>
        </w:rPr>
        <w:t xml:space="preserve">АО «Россельхозбанк» юридическим лицам, субъектам Российской Федерации, муниципальным образованиям, индивидуальным предпринимателям и физическим ли</w:t>
      </w:r>
      <w:r>
        <w:rPr>
          <w:bCs/>
          <w:sz w:val="18"/>
          <w:szCs w:val="18"/>
          <w:lang w:eastAsia="en-US"/>
        </w:rPr>
        <w:t xml:space="preserve">цам, занимающимся в установленном законодательством Российской Федерации порядке частной практикой]</w:t>
      </w:r>
    </w:p>
    <w:p>
      <w:pPr>
        <w:pStyle w:val="1112111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Логин для доступа к Торговой системе РСХБ-Дилинг АО «Россельхозбанк»– уникальное имя Клиента в Торговой системе РСХБ-Дилинг АО «Россельхозбанк», обеспечиваю</w:t>
      </w:r>
      <w:r>
        <w:rPr>
          <w:bCs/>
          <w:sz w:val="18"/>
          <w:szCs w:val="18"/>
        </w:rPr>
        <w:t xml:space="preserve">щее в сочетании с паролем однозначную аутентификацию Клиента в Торговой системе РСХБ-Дилинг АО «Россельхозбанк».</w:t>
      </w:r>
    </w:p>
  </w:footnote>
  <w:footnote w:id="10">
    <w:p>
      <w:pPr>
        <w:jc w:val="both"/>
        <w:rPr>
          <w:bCs/>
          <w:sz w:val="18"/>
          <w:szCs w:val="18"/>
          <w:lang w:eastAsia="en-US"/>
        </w:rPr>
      </w:pPr>
      <w:r>
        <w:rPr>
          <w:rStyle w:val="1-FNftref1Ciaeniinee-FNReferencianotaalpieFootnoteReferencefrUsedbyWordforHelpfootnotesymbolsSUPERSTableFootnotelast1Avg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t xml:space="preserve">[</w:t>
      </w:r>
      <w:r>
        <w:rPr>
          <w:bCs/>
          <w:sz w:val="18"/>
          <w:szCs w:val="18"/>
          <w:lang w:eastAsia="en-US"/>
        </w:rPr>
        <w:t xml:space="preserve">номер сноски указывается в соответствии с нумерацией сносок в Тарифах комиссионного вознаграждения на услуги </w:t>
      </w:r>
      <w:r>
        <w:rPr>
          <w:bCs/>
          <w:sz w:val="18"/>
          <w:szCs w:val="18"/>
          <w:lang w:eastAsia="en-US"/>
        </w:rPr>
        <w:br w:type="textWrapping" w:clear="all"/>
      </w:r>
      <w:r>
        <w:rPr>
          <w:bCs/>
          <w:sz w:val="18"/>
          <w:szCs w:val="18"/>
          <w:lang w:eastAsia="en-US"/>
        </w:rPr>
        <w:t xml:space="preserve">АО «Россельхозбанк» юридически</w:t>
      </w:r>
      <w:r>
        <w:rPr>
          <w:bCs/>
          <w:sz w:val="18"/>
          <w:szCs w:val="18"/>
          <w:lang w:eastAsia="en-US"/>
        </w:rPr>
        <w:t xml:space="preserve">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практикой]</w:t>
      </w:r>
    </w:p>
    <w:p>
      <w:pPr>
        <w:pStyle w:val="1112111"/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Логин для доступа к Торговой системе РСХ</w:t>
      </w:r>
      <w:r>
        <w:rPr>
          <w:bCs/>
          <w:sz w:val="18"/>
          <w:szCs w:val="18"/>
        </w:rPr>
        <w:t xml:space="preserve">Б –Дилинг 2.0– уникальное имя Клиента в Торговой системе РСХБ-Дилинг 2.0, обеспечивающее в сочетании с паролем однозначную аутентификацию Клиента в Торговой системе РСХБ Дилинг 2.0.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</w:instrText>
    </w:r>
    <w:r>
      <w:rPr>
        <w:sz w:val="20"/>
      </w:rPr>
      <w:fldChar w:fldCharType="separate"/>
    </w:r>
    <w:r>
      <w:rPr>
        <w:sz w:val="20"/>
      </w:rPr>
      <w:t xml:space="preserve">12</w:t>
    </w:r>
    <w:r>
      <w:rPr>
        <w:sz w:val="20"/>
      </w:rPr>
      <w:fldChar w:fldCharType="end"/>
    </w: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LiniereesubsEven155115"/>
      <w:rPr>
        <w:color w:val="ffffff"/>
        <w:lang w:val="ru-RU"/>
      </w:rPr>
    </w:pPr>
    <w:r>
      <w:rPr>
        <w:color w:val="ffffff"/>
        <w:lang w:val="ru-RU"/>
      </w:rPr>
      <w:t xml:space="preserve">2013.09.11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C75E163A">
      <w:start w:val="1"/>
      <w:numFmt w:val="decimal"/>
      <w:lvlText w:val="%1."/>
      <w:lvlJc w:val="left"/>
      <w:pPr>
        <w:ind w:left="720" w:hanging="360"/>
      </w:pPr>
    </w:lvl>
    <w:lvl w:ilvl="1" w:tplc="0554E39E">
      <w:start w:val="1"/>
      <w:numFmt w:val="decimal"/>
      <w:lvlText w:val="%2)"/>
      <w:lvlJc w:val="left"/>
      <w:pPr>
        <w:ind w:left="1440" w:hanging="360"/>
      </w:pPr>
    </w:lvl>
    <w:lvl w:ilvl="2" w:tplc="D494CD66">
      <w:start w:val="1"/>
      <w:numFmt w:val="lowerRoman"/>
      <w:lvlText w:val="%3."/>
      <w:lvlJc w:val="right"/>
      <w:pPr>
        <w:ind w:left="2160" w:hanging="180"/>
      </w:pPr>
    </w:lvl>
    <w:lvl w:ilvl="3" w:tplc="6C72BE1C">
      <w:start w:val="1"/>
      <w:numFmt w:val="decimal"/>
      <w:lvlText w:val="%4."/>
      <w:lvlJc w:val="left"/>
      <w:pPr>
        <w:ind w:left="2880" w:hanging="360"/>
      </w:pPr>
    </w:lvl>
    <w:lvl w:ilvl="4" w:tplc="D37CEB68">
      <w:start w:val="1"/>
      <w:numFmt w:val="lowerLetter"/>
      <w:lvlText w:val="%5."/>
      <w:lvlJc w:val="left"/>
      <w:pPr>
        <w:ind w:left="3600" w:hanging="360"/>
      </w:pPr>
    </w:lvl>
    <w:lvl w:ilvl="5" w:tplc="B06A89EC">
      <w:start w:val="1"/>
      <w:numFmt w:val="lowerRoman"/>
      <w:lvlText w:val="%6."/>
      <w:lvlJc w:val="right"/>
      <w:pPr>
        <w:ind w:left="4320" w:hanging="180"/>
      </w:pPr>
    </w:lvl>
    <w:lvl w:ilvl="6" w:tplc="9B56D6FE">
      <w:start w:val="1"/>
      <w:numFmt w:val="decimal"/>
      <w:lvlText w:val="%7."/>
      <w:lvlJc w:val="left"/>
      <w:pPr>
        <w:ind w:left="5040" w:hanging="360"/>
      </w:pPr>
    </w:lvl>
    <w:lvl w:ilvl="7" w:tplc="56F6B014">
      <w:start w:val="1"/>
      <w:numFmt w:val="lowerLetter"/>
      <w:lvlText w:val="%8."/>
      <w:lvlJc w:val="left"/>
      <w:pPr>
        <w:ind w:left="5760" w:hanging="360"/>
      </w:pPr>
    </w:lvl>
    <w:lvl w:ilvl="8" w:tplc="8DEE630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plc="36FE3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224B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048A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FC01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0ABA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7E61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62F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4D9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BA66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multiLevelType w:val="hybridMultilevel"/>
    <w:lvl w:ilvl="0" w:tplc="31B2F64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/>
      </w:rPr>
    </w:lvl>
    <w:lvl w:ilvl="1" w:tplc="397225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55CCC5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 w:tplc="89A401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 w:tplc="C7CEBF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E8583B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 w:tplc="C3949B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 w:tplc="56DC87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AE5220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3">
    <w:multiLevelType w:val="hybridMultilevel"/>
    <w:lvl w:ilvl="0" w:tplc="EEB06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0E434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8FEBB7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462E52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76CF49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E463FF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DA413F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A03E4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8BC2E7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multiLevelType w:val="hybridMultilevel"/>
    <w:lvl w:ilvl="0" w:tplc="087E3B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Times New Roman"/>
      </w:rPr>
    </w:lvl>
    <w:lvl w:ilvl="1" w:tplc="0EB6C6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5B1EF6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 w:tplc="6D3883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 w:tplc="48766B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50B472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 w:tplc="AE2081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 w:tplc="8B00E1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AC5247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5">
    <w:multiLevelType w:val="hybridMultilevel"/>
    <w:lvl w:ilvl="0" w:tplc="E9D093F6">
      <w:start w:val="1"/>
      <w:numFmt w:val="decimal"/>
      <w:lvlText w:val="%1."/>
      <w:lvlJc w:val="left"/>
      <w:pPr>
        <w:ind w:left="1069" w:hanging="360"/>
      </w:pPr>
    </w:lvl>
    <w:lvl w:ilvl="1" w:tplc="BFC8DAD4">
      <w:start w:val="1"/>
      <w:numFmt w:val="lowerLetter"/>
      <w:lvlText w:val="%2."/>
      <w:lvlJc w:val="left"/>
      <w:pPr>
        <w:ind w:left="1789" w:hanging="360"/>
      </w:pPr>
    </w:lvl>
    <w:lvl w:ilvl="2" w:tplc="AEA8D98A">
      <w:start w:val="1"/>
      <w:numFmt w:val="lowerRoman"/>
      <w:lvlText w:val="%3."/>
      <w:lvlJc w:val="right"/>
      <w:pPr>
        <w:ind w:left="2509" w:hanging="180"/>
      </w:pPr>
    </w:lvl>
    <w:lvl w:ilvl="3" w:tplc="01080A76">
      <w:start w:val="1"/>
      <w:numFmt w:val="decimal"/>
      <w:lvlText w:val="%4."/>
      <w:lvlJc w:val="left"/>
      <w:pPr>
        <w:ind w:left="3229" w:hanging="360"/>
      </w:pPr>
    </w:lvl>
    <w:lvl w:ilvl="4" w:tplc="C47443D2">
      <w:start w:val="1"/>
      <w:numFmt w:val="lowerLetter"/>
      <w:lvlText w:val="%5."/>
      <w:lvlJc w:val="left"/>
      <w:pPr>
        <w:ind w:left="3949" w:hanging="360"/>
      </w:pPr>
    </w:lvl>
    <w:lvl w:ilvl="5" w:tplc="2C7C1650">
      <w:start w:val="1"/>
      <w:numFmt w:val="lowerRoman"/>
      <w:lvlText w:val="%6."/>
      <w:lvlJc w:val="right"/>
      <w:pPr>
        <w:ind w:left="4669" w:hanging="180"/>
      </w:pPr>
    </w:lvl>
    <w:lvl w:ilvl="6" w:tplc="83BC6C12">
      <w:start w:val="1"/>
      <w:numFmt w:val="decimal"/>
      <w:lvlText w:val="%7."/>
      <w:lvlJc w:val="left"/>
      <w:pPr>
        <w:ind w:left="5389" w:hanging="360"/>
      </w:pPr>
    </w:lvl>
    <w:lvl w:ilvl="7" w:tplc="66E6058A">
      <w:start w:val="1"/>
      <w:numFmt w:val="lowerLetter"/>
      <w:lvlText w:val="%8."/>
      <w:lvlJc w:val="left"/>
      <w:pPr>
        <w:ind w:left="6109" w:hanging="360"/>
      </w:pPr>
    </w:lvl>
    <w:lvl w:ilvl="8" w:tplc="D4A660DC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 w:tplc="ECC84B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Times New Roman"/>
      </w:rPr>
    </w:lvl>
    <w:lvl w:ilvl="1" w:tplc="F1862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A0C8B3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 w:tplc="0958DC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 w:tplc="9378E6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7128AD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 w:tplc="FA3A19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 w:tplc="FC98DC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DE74BE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7">
    <w:multiLevelType w:val="hybridMultilevel"/>
    <w:lvl w:ilvl="0" w:tplc="9EF24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A04054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E5E645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1D0DC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AB905B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C49294A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2C24EE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371A71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597417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multiLevelType w:val="hybridMultilevel"/>
    <w:lvl w:ilvl="0" w:tplc="F89E4746">
      <w:start w:val="1"/>
      <w:numFmt w:val="bullet"/>
      <w:lvlText w:val=""/>
      <w:lvlJc w:val="left"/>
      <w:pPr>
        <w:tabs>
          <w:tab w:val="num" w:pos="964"/>
        </w:tabs>
        <w:ind w:left="964" w:hanging="255"/>
      </w:pPr>
      <w:rPr>
        <w:rFonts w:ascii="Symbol" w:hAnsi="Symbol"/>
        <w:color w:val="000000"/>
      </w:rPr>
    </w:lvl>
    <w:lvl w:ilvl="1" w:tplc="B65428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B386F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CC7E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25EFA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DAA1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D9AC3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C2F1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B2CCF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 w:tplc="852A152C">
      <w:start w:val="1"/>
      <w:numFmt w:val="bullet"/>
      <w:lvlText w:val=""/>
      <w:lvlJc w:val="left"/>
      <w:pPr>
        <w:ind w:left="1429" w:hanging="360"/>
      </w:pPr>
      <w:rPr>
        <w:rFonts w:ascii="Symbol" w:hAnsi="Symbol"/>
        <w:color w:val="000000"/>
      </w:rPr>
    </w:lvl>
    <w:lvl w:ilvl="1" w:tplc="AEF46D1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6A92C11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1B167B5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1CD69A9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206410D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ED1A86E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610601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F4AE4A4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multiLevelType w:val="hybridMultilevel"/>
    <w:lvl w:ilvl="0" w:tplc="89921FFA">
      <w:start w:val="1"/>
      <w:numFmt w:val="decimal"/>
      <w:lvlText w:val="%1."/>
      <w:lvlJc w:val="left"/>
      <w:pPr>
        <w:ind w:left="915" w:hanging="555"/>
      </w:pPr>
      <w:rPr>
        <w:rFonts w:eastAsia="Times New Roman"/>
        <w:color w:val="000000"/>
      </w:rPr>
    </w:lvl>
    <w:lvl w:ilvl="1" w:tplc="2A36C80A">
      <w:start w:val="1"/>
      <w:numFmt w:val="lowerLetter"/>
      <w:lvlText w:val="%2."/>
      <w:lvlJc w:val="left"/>
      <w:pPr>
        <w:ind w:left="1440" w:hanging="360"/>
      </w:pPr>
    </w:lvl>
    <w:lvl w:ilvl="2" w:tplc="D6284EF8">
      <w:start w:val="1"/>
      <w:numFmt w:val="lowerRoman"/>
      <w:lvlText w:val="%3."/>
      <w:lvlJc w:val="right"/>
      <w:pPr>
        <w:ind w:left="2160" w:hanging="180"/>
      </w:pPr>
    </w:lvl>
    <w:lvl w:ilvl="3" w:tplc="E98089BC">
      <w:start w:val="1"/>
      <w:numFmt w:val="decimal"/>
      <w:lvlText w:val="%4."/>
      <w:lvlJc w:val="left"/>
      <w:pPr>
        <w:ind w:left="2880" w:hanging="360"/>
      </w:pPr>
    </w:lvl>
    <w:lvl w:ilvl="4" w:tplc="906E549A">
      <w:start w:val="1"/>
      <w:numFmt w:val="lowerLetter"/>
      <w:lvlText w:val="%5."/>
      <w:lvlJc w:val="left"/>
      <w:pPr>
        <w:ind w:left="3600" w:hanging="360"/>
      </w:pPr>
    </w:lvl>
    <w:lvl w:ilvl="5" w:tplc="F27C172A">
      <w:start w:val="1"/>
      <w:numFmt w:val="lowerRoman"/>
      <w:lvlText w:val="%6."/>
      <w:lvlJc w:val="right"/>
      <w:pPr>
        <w:ind w:left="4320" w:hanging="180"/>
      </w:pPr>
    </w:lvl>
    <w:lvl w:ilvl="6" w:tplc="E53CD434">
      <w:start w:val="1"/>
      <w:numFmt w:val="decimal"/>
      <w:lvlText w:val="%7."/>
      <w:lvlJc w:val="left"/>
      <w:pPr>
        <w:ind w:left="5040" w:hanging="360"/>
      </w:pPr>
    </w:lvl>
    <w:lvl w:ilvl="7" w:tplc="485EBE78">
      <w:start w:val="1"/>
      <w:numFmt w:val="lowerLetter"/>
      <w:lvlText w:val="%8."/>
      <w:lvlJc w:val="left"/>
      <w:pPr>
        <w:ind w:left="5760" w:hanging="360"/>
      </w:pPr>
    </w:lvl>
    <w:lvl w:ilvl="8" w:tplc="8150403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 w:tplc="F882578E">
      <w:start w:val="1"/>
      <w:numFmt w:val="decimal"/>
      <w:lvlText w:val="%1."/>
      <w:lvlJc w:val="left"/>
      <w:pPr>
        <w:ind w:left="1069" w:hanging="360"/>
      </w:pPr>
    </w:lvl>
    <w:lvl w:ilvl="1" w:tplc="76A05B56">
      <w:start w:val="1"/>
      <w:numFmt w:val="lowerLetter"/>
      <w:lvlText w:val="%2."/>
      <w:lvlJc w:val="left"/>
      <w:pPr>
        <w:ind w:left="1789" w:hanging="360"/>
      </w:pPr>
    </w:lvl>
    <w:lvl w:ilvl="2" w:tplc="890AD9C4">
      <w:start w:val="1"/>
      <w:numFmt w:val="lowerRoman"/>
      <w:lvlText w:val="%3."/>
      <w:lvlJc w:val="right"/>
      <w:pPr>
        <w:ind w:left="2509" w:hanging="180"/>
      </w:pPr>
    </w:lvl>
    <w:lvl w:ilvl="3" w:tplc="D068C9E2">
      <w:start w:val="1"/>
      <w:numFmt w:val="decimal"/>
      <w:lvlText w:val="%4."/>
      <w:lvlJc w:val="left"/>
      <w:pPr>
        <w:ind w:left="3229" w:hanging="360"/>
      </w:pPr>
    </w:lvl>
    <w:lvl w:ilvl="4" w:tplc="81367820">
      <w:start w:val="1"/>
      <w:numFmt w:val="lowerLetter"/>
      <w:lvlText w:val="%5."/>
      <w:lvlJc w:val="left"/>
      <w:pPr>
        <w:ind w:left="3949" w:hanging="360"/>
      </w:pPr>
    </w:lvl>
    <w:lvl w:ilvl="5" w:tplc="EBE07B1C">
      <w:start w:val="1"/>
      <w:numFmt w:val="lowerRoman"/>
      <w:lvlText w:val="%6."/>
      <w:lvlJc w:val="right"/>
      <w:pPr>
        <w:ind w:left="4669" w:hanging="180"/>
      </w:pPr>
    </w:lvl>
    <w:lvl w:ilvl="6" w:tplc="63784A96">
      <w:start w:val="1"/>
      <w:numFmt w:val="decimal"/>
      <w:lvlText w:val="%7."/>
      <w:lvlJc w:val="left"/>
      <w:pPr>
        <w:ind w:left="5389" w:hanging="360"/>
      </w:pPr>
    </w:lvl>
    <w:lvl w:ilvl="7" w:tplc="DCDC62DC">
      <w:start w:val="1"/>
      <w:numFmt w:val="lowerLetter"/>
      <w:lvlText w:val="%8."/>
      <w:lvlJc w:val="left"/>
      <w:pPr>
        <w:ind w:left="6109" w:hanging="360"/>
      </w:pPr>
    </w:lvl>
    <w:lvl w:ilvl="8" w:tplc="213C462A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06" w:hanging="360"/>
      </w:p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158" w:hanging="72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6810" w:hanging="1080"/>
      </w:pPr>
    </w:lvl>
    <w:lvl w:ilvl="6">
      <w:start w:val="1"/>
      <w:numFmt w:val="decimal"/>
      <w:lvlText w:val="%1.%2.%3.%4.%5.%6.%7."/>
      <w:lvlJc w:val="left"/>
      <w:pPr>
        <w:ind w:left="8316" w:hanging="1440"/>
      </w:pPr>
    </w:lvl>
    <w:lvl w:ilvl="7">
      <w:start w:val="1"/>
      <w:numFmt w:val="decimal"/>
      <w:lvlText w:val="%1.%2.%3.%4.%5.%6.%7.%8."/>
      <w:lvlJc w:val="left"/>
      <w:pPr>
        <w:ind w:left="9462" w:hanging="1440"/>
      </w:pPr>
    </w:lvl>
    <w:lvl w:ilvl="8">
      <w:start w:val="1"/>
      <w:numFmt w:val="decimal"/>
      <w:lvlText w:val="%1.%2.%3.%4.%5.%6.%7.%8.%9."/>
      <w:lvlJc w:val="left"/>
      <w:pPr>
        <w:ind w:left="10968" w:hanging="1800"/>
      </w:pPr>
    </w:lvl>
  </w:abstractNum>
  <w:abstractNum w:abstractNumId="13">
    <w:multiLevelType w:val="hybridMultilevel"/>
    <w:lvl w:ilvl="0" w:tplc="9C864B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Times New Roman"/>
      </w:rPr>
    </w:lvl>
    <w:lvl w:ilvl="1" w:tplc="09905D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7DDCC4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 w:tplc="1BBA35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 w:tplc="E5B889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CE401F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 w:tplc="E3AE24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 w:tplc="EDAEC8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27D209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14">
    <w:multiLevelType w:val="hybridMultilevel"/>
    <w:lvl w:ilvl="0" w:tplc="0382118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 w:tplc="BB44C9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68A3D5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702337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B6819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9A62D2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AD48F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2F21B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65A0D5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 w:tplc="452403A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F90A97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E00102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050EBA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4063F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3F0AD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6386E9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BD0F9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CE8BDD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 w:tplc="482E6E80">
      <w:start w:val="1"/>
      <w:numFmt w:val="bullet"/>
      <w:lvlText w:val="-"/>
      <w:lvlJc w:val="left"/>
      <w:pPr>
        <w:ind w:left="794" w:hanging="360"/>
      </w:pPr>
      <w:rPr>
        <w:rFonts w:ascii="Symbol" w:hAnsi="Symbol"/>
      </w:rPr>
    </w:lvl>
    <w:lvl w:ilvl="1" w:tplc="94BA0CA6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/>
      </w:rPr>
    </w:lvl>
    <w:lvl w:ilvl="2" w:tplc="8A427BE4">
      <w:start w:val="1"/>
      <w:numFmt w:val="bullet"/>
      <w:lvlText w:val=""/>
      <w:lvlJc w:val="left"/>
      <w:pPr>
        <w:ind w:left="2234" w:hanging="360"/>
      </w:pPr>
      <w:rPr>
        <w:rFonts w:ascii="Wingdings" w:hAnsi="Wingdings"/>
      </w:rPr>
    </w:lvl>
    <w:lvl w:ilvl="3" w:tplc="46ACBD2C">
      <w:start w:val="1"/>
      <w:numFmt w:val="bullet"/>
      <w:lvlText w:val=""/>
      <w:lvlJc w:val="left"/>
      <w:pPr>
        <w:ind w:left="2954" w:hanging="360"/>
      </w:pPr>
      <w:rPr>
        <w:rFonts w:ascii="Symbol" w:hAnsi="Symbol"/>
      </w:rPr>
    </w:lvl>
    <w:lvl w:ilvl="4" w:tplc="E6C46E68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/>
      </w:rPr>
    </w:lvl>
    <w:lvl w:ilvl="5" w:tplc="272C1CE8">
      <w:start w:val="1"/>
      <w:numFmt w:val="bullet"/>
      <w:lvlText w:val=""/>
      <w:lvlJc w:val="left"/>
      <w:pPr>
        <w:ind w:left="4394" w:hanging="360"/>
      </w:pPr>
      <w:rPr>
        <w:rFonts w:ascii="Wingdings" w:hAnsi="Wingdings"/>
      </w:rPr>
    </w:lvl>
    <w:lvl w:ilvl="6" w:tplc="3BB05720">
      <w:start w:val="1"/>
      <w:numFmt w:val="bullet"/>
      <w:lvlText w:val=""/>
      <w:lvlJc w:val="left"/>
      <w:pPr>
        <w:ind w:left="5114" w:hanging="360"/>
      </w:pPr>
      <w:rPr>
        <w:rFonts w:ascii="Symbol" w:hAnsi="Symbol"/>
      </w:rPr>
    </w:lvl>
    <w:lvl w:ilvl="7" w:tplc="D47E9E54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/>
      </w:rPr>
    </w:lvl>
    <w:lvl w:ilvl="8" w:tplc="8124DC06">
      <w:start w:val="1"/>
      <w:numFmt w:val="bullet"/>
      <w:lvlText w:val=""/>
      <w:lvlJc w:val="left"/>
      <w:pPr>
        <w:ind w:left="6554" w:hanging="360"/>
      </w:pPr>
      <w:rPr>
        <w:rFonts w:ascii="Wingdings" w:hAnsi="Wingdings"/>
      </w:rPr>
    </w:lvl>
  </w:abstractNum>
  <w:abstractNum w:abstractNumId="17">
    <w:multiLevelType w:val="hybridMultilevel"/>
    <w:lvl w:ilvl="0" w:tplc="38E4D51A">
      <w:start w:val="1"/>
      <w:numFmt w:val="bullet"/>
      <w:lvlText w:val=""/>
      <w:lvlJc w:val="left"/>
      <w:pPr>
        <w:ind w:left="762" w:hanging="360"/>
      </w:pPr>
      <w:rPr>
        <w:rFonts w:ascii="Symbol" w:hAnsi="Symbol"/>
      </w:rPr>
    </w:lvl>
    <w:lvl w:ilvl="1" w:tplc="C8FAB150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/>
      </w:rPr>
    </w:lvl>
    <w:lvl w:ilvl="2" w:tplc="CCAA2D62">
      <w:start w:val="1"/>
      <w:numFmt w:val="bullet"/>
      <w:lvlText w:val=""/>
      <w:lvlJc w:val="left"/>
      <w:pPr>
        <w:ind w:left="2202" w:hanging="360"/>
      </w:pPr>
      <w:rPr>
        <w:rFonts w:ascii="Wingdings" w:hAnsi="Wingdings"/>
      </w:rPr>
    </w:lvl>
    <w:lvl w:ilvl="3" w:tplc="92ECE07A">
      <w:start w:val="1"/>
      <w:numFmt w:val="bullet"/>
      <w:lvlText w:val=""/>
      <w:lvlJc w:val="left"/>
      <w:pPr>
        <w:ind w:left="2922" w:hanging="360"/>
      </w:pPr>
      <w:rPr>
        <w:rFonts w:ascii="Symbol" w:hAnsi="Symbol"/>
      </w:rPr>
    </w:lvl>
    <w:lvl w:ilvl="4" w:tplc="3F040E9A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/>
      </w:rPr>
    </w:lvl>
    <w:lvl w:ilvl="5" w:tplc="8376D35E">
      <w:start w:val="1"/>
      <w:numFmt w:val="bullet"/>
      <w:lvlText w:val=""/>
      <w:lvlJc w:val="left"/>
      <w:pPr>
        <w:ind w:left="4362" w:hanging="360"/>
      </w:pPr>
      <w:rPr>
        <w:rFonts w:ascii="Wingdings" w:hAnsi="Wingdings"/>
      </w:rPr>
    </w:lvl>
    <w:lvl w:ilvl="6" w:tplc="59A81FAA">
      <w:start w:val="1"/>
      <w:numFmt w:val="bullet"/>
      <w:lvlText w:val=""/>
      <w:lvlJc w:val="left"/>
      <w:pPr>
        <w:ind w:left="5082" w:hanging="360"/>
      </w:pPr>
      <w:rPr>
        <w:rFonts w:ascii="Symbol" w:hAnsi="Symbol"/>
      </w:rPr>
    </w:lvl>
    <w:lvl w:ilvl="7" w:tplc="0AD03824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/>
      </w:rPr>
    </w:lvl>
    <w:lvl w:ilvl="8" w:tplc="257C4D14">
      <w:start w:val="1"/>
      <w:numFmt w:val="bullet"/>
      <w:lvlText w:val=""/>
      <w:lvlJc w:val="left"/>
      <w:pPr>
        <w:ind w:left="6522" w:hanging="360"/>
      </w:pPr>
      <w:rPr>
        <w:rFonts w:ascii="Wingdings" w:hAnsi="Wingdings"/>
      </w:rPr>
    </w:lvl>
  </w:abstractNum>
  <w:abstractNum w:abstractNumId="18">
    <w:multiLevelType w:val="hybridMultilevel"/>
    <w:lvl w:ilvl="0" w:tplc="5DD87B7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37A8AD40">
      <w:start w:val="1"/>
      <w:numFmt w:val="lowerLetter"/>
      <w:lvlText w:val="%2."/>
      <w:lvlJc w:val="left"/>
      <w:pPr>
        <w:ind w:left="1440" w:hanging="360"/>
      </w:pPr>
    </w:lvl>
    <w:lvl w:ilvl="2" w:tplc="E526A2A6">
      <w:start w:val="1"/>
      <w:numFmt w:val="lowerRoman"/>
      <w:lvlText w:val="%3."/>
      <w:lvlJc w:val="right"/>
      <w:pPr>
        <w:ind w:left="2160" w:hanging="180"/>
      </w:pPr>
    </w:lvl>
    <w:lvl w:ilvl="3" w:tplc="571E8BC6">
      <w:start w:val="1"/>
      <w:numFmt w:val="decimal"/>
      <w:lvlText w:val="%4."/>
      <w:lvlJc w:val="left"/>
      <w:pPr>
        <w:ind w:left="2880" w:hanging="360"/>
      </w:pPr>
    </w:lvl>
    <w:lvl w:ilvl="4" w:tplc="8FA88412">
      <w:start w:val="1"/>
      <w:numFmt w:val="lowerLetter"/>
      <w:lvlText w:val="%5."/>
      <w:lvlJc w:val="left"/>
      <w:pPr>
        <w:ind w:left="3600" w:hanging="360"/>
      </w:pPr>
    </w:lvl>
    <w:lvl w:ilvl="5" w:tplc="09DC7C16">
      <w:start w:val="1"/>
      <w:numFmt w:val="lowerRoman"/>
      <w:lvlText w:val="%6."/>
      <w:lvlJc w:val="right"/>
      <w:pPr>
        <w:ind w:left="4320" w:hanging="180"/>
      </w:pPr>
    </w:lvl>
    <w:lvl w:ilvl="6" w:tplc="CF2670D0">
      <w:start w:val="1"/>
      <w:numFmt w:val="decimal"/>
      <w:lvlText w:val="%7."/>
      <w:lvlJc w:val="left"/>
      <w:pPr>
        <w:ind w:left="5040" w:hanging="360"/>
      </w:pPr>
    </w:lvl>
    <w:lvl w:ilvl="7" w:tplc="3D30B426">
      <w:start w:val="1"/>
      <w:numFmt w:val="lowerLetter"/>
      <w:lvlText w:val="%8."/>
      <w:lvlJc w:val="left"/>
      <w:pPr>
        <w:ind w:left="5760" w:hanging="360"/>
      </w:pPr>
    </w:lvl>
    <w:lvl w:ilvl="8" w:tplc="AF025C8C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 w:tplc="8D06B7F6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eastAsia="Times New Roman" w:cs="Times New Roman"/>
      </w:rPr>
    </w:lvl>
    <w:lvl w:ilvl="1" w:tplc="F05CBE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4B2EB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60E1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F5224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062C8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9A9B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D74C4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BB27F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 w:tplc="38CC66AA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eastAsia="Times New Roman"/>
      </w:rPr>
    </w:lvl>
    <w:lvl w:ilvl="1" w:tplc="068A5B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F52EAD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 w:tplc="36360D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 w:tplc="1C4E49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710423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 w:tplc="6518A0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 w:tplc="B6AA2D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D5E43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21">
    <w:multiLevelType w:val="hybridMultilevel"/>
    <w:lvl w:ilvl="0" w:tplc="571E8236">
      <w:start w:val="30"/>
      <w:numFmt w:val="decimal"/>
      <w:lvlText w:val="%1"/>
      <w:lvlJc w:val="left"/>
      <w:pPr>
        <w:ind w:left="720" w:hanging="360"/>
      </w:pPr>
      <w:rPr>
        <w:rFonts w:eastAsia="Times New Roman"/>
      </w:rPr>
    </w:lvl>
    <w:lvl w:ilvl="1" w:tplc="DE0AB7B8">
      <w:start w:val="1"/>
      <w:numFmt w:val="lowerLetter"/>
      <w:lvlText w:val="%2."/>
      <w:lvlJc w:val="left"/>
      <w:pPr>
        <w:ind w:left="1440" w:hanging="360"/>
      </w:pPr>
    </w:lvl>
    <w:lvl w:ilvl="2" w:tplc="9BE2B126">
      <w:start w:val="1"/>
      <w:numFmt w:val="lowerRoman"/>
      <w:lvlText w:val="%3."/>
      <w:lvlJc w:val="right"/>
      <w:pPr>
        <w:ind w:left="2160" w:hanging="180"/>
      </w:pPr>
    </w:lvl>
    <w:lvl w:ilvl="3" w:tplc="72BE800A">
      <w:start w:val="1"/>
      <w:numFmt w:val="decimal"/>
      <w:lvlText w:val="%4."/>
      <w:lvlJc w:val="left"/>
      <w:pPr>
        <w:ind w:left="2880" w:hanging="360"/>
      </w:pPr>
    </w:lvl>
    <w:lvl w:ilvl="4" w:tplc="5F862E8E">
      <w:start w:val="1"/>
      <w:numFmt w:val="lowerLetter"/>
      <w:lvlText w:val="%5."/>
      <w:lvlJc w:val="left"/>
      <w:pPr>
        <w:ind w:left="3600" w:hanging="360"/>
      </w:pPr>
    </w:lvl>
    <w:lvl w:ilvl="5" w:tplc="4D88DD68">
      <w:start w:val="1"/>
      <w:numFmt w:val="lowerRoman"/>
      <w:lvlText w:val="%6."/>
      <w:lvlJc w:val="right"/>
      <w:pPr>
        <w:ind w:left="4320" w:hanging="180"/>
      </w:pPr>
    </w:lvl>
    <w:lvl w:ilvl="6" w:tplc="77E05230">
      <w:start w:val="1"/>
      <w:numFmt w:val="decimal"/>
      <w:lvlText w:val="%7."/>
      <w:lvlJc w:val="left"/>
      <w:pPr>
        <w:ind w:left="5040" w:hanging="360"/>
      </w:pPr>
    </w:lvl>
    <w:lvl w:ilvl="7" w:tplc="569E5716">
      <w:start w:val="1"/>
      <w:numFmt w:val="lowerLetter"/>
      <w:lvlText w:val="%8."/>
      <w:lvlJc w:val="left"/>
      <w:pPr>
        <w:ind w:left="5760" w:hanging="360"/>
      </w:pPr>
    </w:lvl>
    <w:lvl w:ilvl="8" w:tplc="5374FBB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 w:tplc="ABE64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1489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B097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9A84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205B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5662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D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E28D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B45B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multiLevelType w:val="hybridMultilevel"/>
    <w:lvl w:ilvl="0" w:tplc="D7124D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 w:tplc="6542F8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D0F4DF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 w:tplc="F948D1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 w:tplc="B69897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0FC419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 w:tplc="FD8215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 w:tplc="F7200C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FA6C88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24">
    <w:multiLevelType w:val="hybridMultilevel"/>
    <w:lvl w:ilvl="0" w:tplc="4FC25F6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Times New Roman"/>
      </w:rPr>
    </w:lvl>
    <w:lvl w:ilvl="1" w:tplc="84A8AA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16787D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 w:tplc="48B835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 w:tplc="F6281F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34588C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 w:tplc="0596B9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 w:tplc="F2C63D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F06ADB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25">
    <w:multiLevelType w:val="hybridMultilevel"/>
    <w:lvl w:ilvl="0" w:tplc="658ABF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FEE42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D1CA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3F825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97E3A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8805E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26C2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4C01B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DCCEE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multiLevelType w:val="hybridMultilevel"/>
    <w:lvl w:ilvl="0" w:tplc="3A2649F6">
      <w:start w:val="1"/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 w:tplc="C80608DE">
      <w:start w:val="1"/>
      <w:numFmt w:val="bullet"/>
      <w:lvlText w:val=""/>
      <w:lvlJc w:val="left"/>
      <w:pPr>
        <w:ind w:left="2433" w:hanging="360"/>
      </w:pPr>
      <w:rPr>
        <w:rFonts w:ascii="Symbol" w:hAnsi="Symbol"/>
      </w:rPr>
    </w:lvl>
    <w:lvl w:ilvl="2" w:tplc="976809E0">
      <w:start w:val="1"/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 w:tplc="4074FD34">
      <w:start w:val="1"/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 w:tplc="823A8AFC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 w:tplc="8DCE80E4">
      <w:start w:val="1"/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 w:tplc="4858BBB6">
      <w:start w:val="1"/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 w:tplc="DB4CB4DC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 w:tplc="DB62C7C6">
      <w:start w:val="1"/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27">
    <w:multiLevelType w:val="hybridMultilevel"/>
    <w:lvl w:ilvl="0" w:tplc="426CB4F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9AC879BA">
      <w:start w:val="1"/>
      <w:numFmt w:val="lowerLetter"/>
      <w:lvlText w:val="%2."/>
      <w:lvlJc w:val="left"/>
      <w:pPr>
        <w:ind w:left="1440" w:hanging="360"/>
      </w:pPr>
    </w:lvl>
    <w:lvl w:ilvl="2" w:tplc="566E51CA">
      <w:start w:val="1"/>
      <w:numFmt w:val="lowerRoman"/>
      <w:lvlText w:val="%3."/>
      <w:lvlJc w:val="right"/>
      <w:pPr>
        <w:ind w:left="2160" w:hanging="180"/>
      </w:pPr>
    </w:lvl>
    <w:lvl w:ilvl="3" w:tplc="3A04325C">
      <w:start w:val="1"/>
      <w:numFmt w:val="decimal"/>
      <w:lvlText w:val="%4."/>
      <w:lvlJc w:val="left"/>
      <w:pPr>
        <w:ind w:left="2880" w:hanging="360"/>
      </w:pPr>
    </w:lvl>
    <w:lvl w:ilvl="4" w:tplc="5DEA5A1E">
      <w:start w:val="1"/>
      <w:numFmt w:val="lowerLetter"/>
      <w:lvlText w:val="%5."/>
      <w:lvlJc w:val="left"/>
      <w:pPr>
        <w:ind w:left="3600" w:hanging="360"/>
      </w:pPr>
    </w:lvl>
    <w:lvl w:ilvl="5" w:tplc="9110C0D0">
      <w:start w:val="1"/>
      <w:numFmt w:val="lowerRoman"/>
      <w:lvlText w:val="%6."/>
      <w:lvlJc w:val="right"/>
      <w:pPr>
        <w:ind w:left="4320" w:hanging="180"/>
      </w:pPr>
    </w:lvl>
    <w:lvl w:ilvl="6" w:tplc="70D2A9BA">
      <w:start w:val="1"/>
      <w:numFmt w:val="decimal"/>
      <w:lvlText w:val="%7."/>
      <w:lvlJc w:val="left"/>
      <w:pPr>
        <w:ind w:left="5040" w:hanging="360"/>
      </w:pPr>
    </w:lvl>
    <w:lvl w:ilvl="7" w:tplc="B4DCF44A">
      <w:start w:val="1"/>
      <w:numFmt w:val="lowerLetter"/>
      <w:lvlText w:val="%8."/>
      <w:lvlJc w:val="left"/>
      <w:pPr>
        <w:ind w:left="5760" w:hanging="360"/>
      </w:pPr>
    </w:lvl>
    <w:lvl w:ilvl="8" w:tplc="68FAB5B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6"/>
  </w:num>
  <w:num w:numId="4">
    <w:abstractNumId w:val="20"/>
  </w:num>
  <w:num w:numId="5">
    <w:abstractNumId w:val="13"/>
  </w:num>
  <w:num w:numId="6">
    <w:abstractNumId w:val="4"/>
  </w:num>
  <w:num w:numId="7">
    <w:abstractNumId w:val="23"/>
  </w:num>
  <w:num w:numId="8">
    <w:abstractNumId w:val="2"/>
  </w:num>
  <w:num w:numId="9">
    <w:abstractNumId w:val="19"/>
  </w:num>
  <w:num w:numId="10">
    <w:abstractNumId w:val="25"/>
  </w:num>
  <w:num w:numId="11">
    <w:abstractNumId w:val="22"/>
  </w:num>
  <w:num w:numId="12">
    <w:abstractNumId w:val="3"/>
  </w:num>
  <w:num w:numId="13">
    <w:abstractNumId w:val="1"/>
  </w:num>
  <w:num w:numId="14">
    <w:abstractNumId w:val="8"/>
  </w:num>
  <w:num w:numId="15">
    <w:abstractNumId w:val="21"/>
  </w:num>
  <w:num w:numId="16">
    <w:abstractNumId w:val="14"/>
  </w:num>
  <w:num w:numId="17">
    <w:abstractNumId w:val="27"/>
  </w:num>
  <w:num w:numId="18">
    <w:abstractNumId w:val="17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0"/>
  </w:num>
  <w:num w:numId="22">
    <w:abstractNumId w:val="18"/>
  </w:num>
  <w:num w:numId="23">
    <w:abstractNumId w:val="15"/>
  </w:num>
  <w:num w:numId="24">
    <w:abstractNumId w:val="16"/>
  </w:num>
  <w:num w:numId="25">
    <w:abstractNumId w:val="9"/>
  </w:num>
  <w:num w:numId="26">
    <w:abstractNumId w:val="5"/>
  </w:num>
  <w:num w:numId="27">
    <w:abstractNumId w:val="11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ind w:firstLine="709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ind w:firstLine="709"/>
      <w:jc w:val="both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ind w:firstLine="709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b/>
      <w:bCs/>
      <w:sz w:val="20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10" w:customStyle="1">
    <w:name w:val="Заголовок 1 Знак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4">
    <w:name w:val="No Spacing"/>
    <w:link w:val="a5"/>
    <w:uiPriority w:val="1"/>
    <w:qFormat/>
    <w:rPr>
      <w:rFonts w:ascii="Calibri" w:hAnsi="Calibri"/>
      <w:sz w:val="22"/>
      <w:szCs w:val="22"/>
      <w:lang w:eastAsia="en-US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7" w:customStyle="1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styleId="a9" w:customStyle="1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b" w:customStyle="1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styleId="ad" w:customStyle="1">
    <w:name w:val="Верхний колонтитул Знак"/>
    <w:link w:val="ac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  <w:rPr>
      <w:lang w:val="en-US" w:eastAsia="en-US"/>
    </w:rPr>
  </w:style>
  <w:style w:type="character" w:styleId="FooterChar" w:customStyle="1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CaptionChar" w:customStyle="1">
    <w:name w:val="Caption Char"/>
    <w:uiPriority w:val="99"/>
  </w:style>
  <w:style w:type="table" w:styleId="af1">
    <w:name w:val="Table Grid"/>
    <w:basedOn w:val="a1"/>
    <w:tblPr/>
  </w:style>
  <w:style w:type="table" w:styleId="TableGridLight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styleId="af4" w:customStyle="1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styleId="af7" w:customStyle="1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pPr>
      <w:spacing w:before="360"/>
    </w:pPr>
    <w:rPr>
      <w:rFonts w:ascii="Arial" w:hAnsi="Arial" w:cs="Arial"/>
      <w:b/>
      <w:bCs/>
      <w:caps/>
    </w:rPr>
  </w:style>
  <w:style w:type="paragraph" w:styleId="24">
    <w:name w:val="toc 2"/>
    <w:basedOn w:val="a"/>
    <w:next w:val="a"/>
    <w:semiHidden/>
    <w:pPr>
      <w:spacing w:before="240"/>
    </w:pPr>
    <w:rPr>
      <w:b/>
      <w:bCs/>
      <w:sz w:val="20"/>
      <w:szCs w:val="20"/>
    </w:rPr>
  </w:style>
  <w:style w:type="paragraph" w:styleId="32">
    <w:name w:val="toc 3"/>
    <w:basedOn w:val="a"/>
    <w:next w:val="a"/>
    <w:semiHidden/>
    <w:pPr>
      <w:ind w:left="240"/>
    </w:pPr>
    <w:rPr>
      <w:sz w:val="20"/>
      <w:szCs w:val="20"/>
    </w:rPr>
  </w:style>
  <w:style w:type="paragraph" w:styleId="42">
    <w:name w:val="toc 4"/>
    <w:basedOn w:val="a"/>
    <w:next w:val="a"/>
    <w:uiPriority w:val="39"/>
    <w:pPr>
      <w:tabs>
        <w:tab w:val="right" w:pos="10065" w:leader="dot"/>
      </w:tabs>
      <w:spacing w:line="360" w:lineRule="auto"/>
      <w:ind w:right="-166"/>
    </w:pPr>
    <w:rPr>
      <w:sz w:val="22"/>
      <w:szCs w:val="22"/>
    </w:rPr>
  </w:style>
  <w:style w:type="paragraph" w:styleId="52">
    <w:name w:val="toc 5"/>
    <w:basedOn w:val="a"/>
    <w:next w:val="a"/>
    <w:semiHidden/>
    <w:pPr>
      <w:ind w:left="720"/>
    </w:pPr>
    <w:rPr>
      <w:sz w:val="20"/>
      <w:szCs w:val="20"/>
    </w:rPr>
  </w:style>
  <w:style w:type="paragraph" w:styleId="61">
    <w:name w:val="toc 6"/>
    <w:basedOn w:val="a"/>
    <w:next w:val="a"/>
    <w:semiHidden/>
    <w:pPr>
      <w:ind w:left="960"/>
    </w:pPr>
    <w:rPr>
      <w:sz w:val="20"/>
      <w:szCs w:val="20"/>
    </w:rPr>
  </w:style>
  <w:style w:type="paragraph" w:styleId="71">
    <w:name w:val="toc 7"/>
    <w:basedOn w:val="a"/>
    <w:next w:val="a"/>
    <w:semiHidden/>
    <w:pPr>
      <w:ind w:left="1200"/>
    </w:pPr>
    <w:rPr>
      <w:sz w:val="20"/>
      <w:szCs w:val="20"/>
    </w:rPr>
  </w:style>
  <w:style w:type="paragraph" w:styleId="81">
    <w:name w:val="toc 8"/>
    <w:basedOn w:val="a"/>
    <w:next w:val="a"/>
    <w:semiHidden/>
    <w:pPr>
      <w:ind w:left="1440"/>
    </w:pPr>
    <w:rPr>
      <w:sz w:val="20"/>
      <w:szCs w:val="20"/>
    </w:rPr>
  </w:style>
  <w:style w:type="paragraph" w:styleId="91">
    <w:name w:val="toc 9"/>
    <w:basedOn w:val="a"/>
    <w:next w:val="a"/>
    <w:semiHidden/>
    <w:pPr>
      <w:ind w:left="1680"/>
    </w:pPr>
    <w:rPr>
      <w:sz w:val="20"/>
      <w:szCs w:val="20"/>
    </w:rPr>
  </w:style>
  <w:style w:type="paragraph" w:styleId="af9">
    <w:name w:val="TOC Heading"/>
    <w:basedOn w:val="1"/>
    <w:next w:val="a"/>
    <w:uiPriority w:val="39"/>
    <w:unhideWhenUsed/>
    <w:qFormat/>
    <w:pPr>
      <w:keepLines/>
      <w:spacing w:after="0" w:line="259" w:lineRule="auto"/>
      <w:ind w:firstLine="0"/>
      <w:jc w:val="left"/>
      <w:outlineLvl w:val="9"/>
    </w:pPr>
    <w:rPr>
      <w:rFonts w:ascii="Calibri Light" w:hAnsi="Calibri Light"/>
      <w:b w:val="0"/>
      <w:bCs w:val="0"/>
      <w:color w:val="2e74b5"/>
    </w:rPr>
  </w:style>
  <w:style w:type="paragraph" w:styleId="afa">
    <w:name w:val="table of figures"/>
    <w:basedOn w:val="a"/>
    <w:next w:val="a"/>
    <w:uiPriority w:val="99"/>
    <w:unhideWhenUsed/>
  </w:style>
  <w:style w:type="character" w:styleId="1-FNftref1Ciaeniinee-FNReferencianotaalpieFootnoteReferencefrUsedbyWordforHelpfootnotesymbolsSUPERSTableFootnotelast1Avg" w:customStyle="1">
    <w:name w:val="Знак сноски;Знак сноски 1;Знак сноски-FN;сноска;вески;ООО Знак сноски;ftref;СНОСКА;сноска1;Ciae niinee-FN;Referencia nota al pie;Footnote Reference;fr;Used by Word for Help footnote symbols;ХИА_ЗС;сноск;SUPERS;Table_Footnote_last Знак1;Avg"/>
    <w:qFormat/>
    <w:rPr>
      <w:rFonts w:ascii="Times New Roman" w:hAnsi="Times New Roman" w:cs="Times New Roman"/>
      <w:vertAlign w:val="superscript"/>
    </w:rPr>
  </w:style>
  <w:style w:type="paragraph" w:styleId="1112111" w:customStyle="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Знак"/>
    <w:basedOn w:val="a"/>
    <w:link w:val="111211"/>
    <w:qFormat/>
    <w:rPr>
      <w:sz w:val="20"/>
      <w:szCs w:val="20"/>
    </w:rPr>
  </w:style>
  <w:style w:type="paragraph" w:styleId="afb" w:customStyle="1">
    <w:name w:val="Нормальный"/>
    <w:rPr>
      <w:rFonts w:ascii="TimesET" w:hAnsi="TimesET"/>
      <w:sz w:val="24"/>
      <w:szCs w:val="24"/>
    </w:rPr>
  </w:style>
  <w:style w:type="paragraph" w:styleId="afc">
    <w:name w:val="Balloon Text"/>
    <w:basedOn w:val="a"/>
    <w:link w:val="afd"/>
    <w:uiPriority w:val="99"/>
    <w:semiHidden/>
    <w:rPr>
      <w:rFonts w:ascii="Tahoma" w:hAnsi="Tahoma" w:cs="Tahoma"/>
      <w:sz w:val="16"/>
      <w:szCs w:val="16"/>
    </w:rPr>
  </w:style>
  <w:style w:type="character" w:styleId="a5" w:customStyle="1">
    <w:name w:val="Без интервала Знак"/>
    <w:link w:val="a4"/>
    <w:uiPriority w:val="1"/>
    <w:rPr>
      <w:rFonts w:ascii="Calibri" w:hAnsi="Calibri"/>
      <w:sz w:val="22"/>
      <w:szCs w:val="22"/>
      <w:lang w:val="ru-RU" w:eastAsia="en-US" w:bidi="ar-SA"/>
    </w:rPr>
  </w:style>
  <w:style w:type="paragraph" w:styleId="1111111" w:customStyle="1">
    <w:name w:val="Основной текст с отступом;Основной текст с отступом Знак1;Основной текст с отступом Знак Знак;Основной текст с отступом Знак1 Знак1 Знак;Основной текст с отступом Знак Знак Знак1 Знак;Основной текст с отступом Знак1 Знак1 Знак Знак Знак;Основной текст 1"/>
    <w:basedOn w:val="a"/>
    <w:rPr>
      <w:sz w:val="22"/>
      <w:szCs w:val="22"/>
    </w:rPr>
  </w:style>
  <w:style w:type="character" w:styleId="111211" w:customStyle="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link w:val="1112111"/>
    <w:rPr>
      <w:lang w:val="ru-RU" w:eastAsia="ru-RU" w:bidi="ar-SA"/>
    </w:rPr>
  </w:style>
  <w:style w:type="paragraph" w:styleId="bt" w:customStyle="1">
    <w:name w:val="Основной текст;Основной текст_отчет;bt"/>
    <w:basedOn w:val="a"/>
    <w:link w:val="afe"/>
    <w:rPr>
      <w:b/>
      <w:bCs/>
      <w:lang w:val="en-US" w:eastAsia="en-US"/>
    </w:rPr>
  </w:style>
  <w:style w:type="paragraph" w:styleId="LiniereesubsEven155115" w:customStyle="1">
    <w:name w:val="Верхний колонтитул;ВерхКолонтитул;Linie;ree.subs;Even;Верхний колонтитул Знак Знак1;Верхний колонтитул Знак Знак Знак;Знак5 Знак Знак Знак;Знак5 Знак Знак1;Верхний колонтитул Знак1 Знак;Верхний колонтитул Знак Знак;Знак5 Знак Знак"/>
    <w:basedOn w:val="a"/>
    <w:link w:val="LiniereesubsEven15511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styleId="LiniereesubsEven15511" w:customStyle="1">
    <w:name w:val="Верхний колонтитул Знак;ВерхКолонтитул Знак;Linie Знак;ree.subs Знак;Even Знак;Верхний колонтитул Знак Знак1 Знак;Верхний колонтитул Знак Знак Знак Знак;Знак5 Знак Знак Знак Знак;Знак5 Знак Знак1 Знак;Верхний колонтитул Знак1 Знак Знак"/>
    <w:link w:val="LiniereesubsEven155115"/>
    <w:uiPriority w:val="99"/>
    <w:rPr>
      <w:sz w:val="24"/>
      <w:szCs w:val="24"/>
    </w:rPr>
  </w:style>
  <w:style w:type="character" w:styleId="af" w:customStyle="1">
    <w:name w:val="Нижний колонтитул Знак"/>
    <w:link w:val="ae"/>
    <w:rPr>
      <w:sz w:val="24"/>
      <w:szCs w:val="24"/>
    </w:rPr>
  </w:style>
  <w:style w:type="paragraph" w:styleId="25">
    <w:name w:val="Body Text Indent 2"/>
    <w:basedOn w:val="a"/>
    <w:link w:val="26"/>
    <w:pPr>
      <w:ind w:firstLine="360"/>
      <w:jc w:val="both"/>
    </w:pPr>
    <w:rPr>
      <w:lang w:val="en-US" w:eastAsia="en-US"/>
    </w:rPr>
  </w:style>
  <w:style w:type="paragraph" w:styleId="27">
    <w:name w:val="Body Text 2"/>
    <w:basedOn w:val="a"/>
    <w:rPr>
      <w:b/>
      <w:bCs/>
      <w:sz w:val="20"/>
      <w:szCs w:val="22"/>
    </w:rPr>
  </w:style>
  <w:style w:type="paragraph" w:styleId="Default" w:customStyle="1">
    <w:name w:val="Default"/>
    <w:rPr>
      <w:color w:val="000000"/>
      <w:sz w:val="24"/>
      <w:szCs w:val="24"/>
    </w:rPr>
  </w:style>
  <w:style w:type="paragraph" w:styleId="aff" w:customStyle="1">
    <w:name w:val="Название"/>
    <w:basedOn w:val="a"/>
    <w:link w:val="aff0"/>
    <w:qFormat/>
    <w:pPr>
      <w:jc w:val="center"/>
    </w:pPr>
    <w:rPr>
      <w:b/>
      <w:bCs/>
      <w:sz w:val="28"/>
      <w:szCs w:val="28"/>
      <w:lang w:val="en-US" w:eastAsia="en-US"/>
    </w:rPr>
  </w:style>
  <w:style w:type="character" w:styleId="afe" w:customStyle="1">
    <w:name w:val="Основной текст Знак"/>
    <w:link w:val="bt"/>
    <w:rPr>
      <w:b/>
      <w:bCs/>
      <w:sz w:val="24"/>
      <w:szCs w:val="24"/>
    </w:rPr>
  </w:style>
  <w:style w:type="character" w:styleId="26" w:customStyle="1">
    <w:name w:val="Основной текст с отступом 2 Знак"/>
    <w:link w:val="25"/>
    <w:rPr>
      <w:sz w:val="24"/>
      <w:szCs w:val="24"/>
    </w:rPr>
  </w:style>
  <w:style w:type="character" w:styleId="aff0" w:customStyle="1">
    <w:name w:val="Название Знак"/>
    <w:link w:val="aff"/>
    <w:rPr>
      <w:b/>
      <w:bCs/>
      <w:sz w:val="28"/>
      <w:szCs w:val="28"/>
    </w:rPr>
  </w:style>
  <w:style w:type="paragraph" w:styleId="aff1">
    <w:name w:val="Document Map"/>
    <w:basedOn w:val="a"/>
    <w:link w:val="aff2"/>
    <w:rPr>
      <w:rFonts w:ascii="Tahoma" w:hAnsi="Tahoma"/>
      <w:sz w:val="16"/>
      <w:szCs w:val="16"/>
      <w:lang w:val="en-US" w:eastAsia="en-US"/>
    </w:rPr>
  </w:style>
  <w:style w:type="character" w:styleId="aff2" w:customStyle="1">
    <w:name w:val="Схема документа Знак"/>
    <w:link w:val="aff1"/>
    <w:rPr>
      <w:rFonts w:ascii="Tahoma" w:hAnsi="Tahoma" w:cs="Tahoma"/>
      <w:sz w:val="16"/>
      <w:szCs w:val="16"/>
    </w:rPr>
  </w:style>
  <w:style w:type="paragraph" w:styleId="ConsNormal" w:customStyle="1">
    <w:name w:val="ConsNormal"/>
    <w:pPr>
      <w:widowControl w:val="off"/>
      <w:ind w:firstLine="720"/>
    </w:pPr>
    <w:rPr>
      <w:rFonts w:ascii="Arial" w:hAnsi="Arial" w:cs="Arial"/>
    </w:rPr>
  </w:style>
  <w:style w:type="character" w:styleId="afd" w:customStyle="1">
    <w:name w:val="Текст выноски Знак"/>
    <w:link w:val="afc"/>
    <w:uiPriority w:val="99"/>
    <w:semiHidden/>
    <w:rPr>
      <w:rFonts w:ascii="Tahoma" w:hAnsi="Tahoma" w:cs="Tahoma"/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pPr>
      <w:spacing w:after="200" w:line="276" w:lineRule="auto"/>
    </w:pPr>
    <w:rPr>
      <w:rFonts w:ascii="Calibri" w:hAnsi="Calibri" w:eastAsia="Calibri"/>
      <w:sz w:val="20"/>
      <w:szCs w:val="20"/>
      <w:lang w:eastAsia="en-US"/>
    </w:rPr>
  </w:style>
  <w:style w:type="character" w:styleId="aff4" w:customStyle="1">
    <w:name w:val="Текст примечания Знак"/>
    <w:link w:val="aff3"/>
    <w:uiPriority w:val="99"/>
    <w:rPr>
      <w:rFonts w:ascii="Calibri" w:hAnsi="Calibri" w:eastAsia="Calibri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haracters>157795</Characters>
  <CharactersWithSpaces>185108</CharactersWithSpaces>
  <Company>Россельхозбанк</Company>
  <DocSecurity>0</DocSecurity>
  <HyperlinksChanged>false</HyperlinksChanged>
  <Lines>1314</Lines>
  <LinksUpToDate>false</LinksUpToDate>
  <Pages>70</Pages>
  <Paragraphs>370</Paragraphs>
  <ScaleCrop>false</ScaleCrop>
  <SharedDoc>false</SharedDoc>
  <Template>Normal.dotm</Template>
  <TotalTime>1</TotalTime>
  <Words>27683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Grafskaya</dc:creator>
  <cp:lastModifiedBy>Губиева Тамила Арбиевна</cp:lastModifiedBy>
  <cp:revision>2</cp:revision>
  <dcterms:created xsi:type="dcterms:W3CDTF">2024-12-23T12:16:00Z</dcterms:created>
  <dcterms:modified xsi:type="dcterms:W3CDTF">2024-12-23T12:16:00Z</dcterms:modified>
  <cp:version>1048576</cp:version>
</cp:coreProperties>
</file>