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9911"/>
      </w:tblGrid>
      <w:tr>
        <w:tblPrEx/>
        <w:trPr>
          <w:jc w:val="center"/>
          <w:trHeight w:val="1770"/>
        </w:trPr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/>
                <w:caps/>
                <w:sz w:val="32"/>
                <w:szCs w:val="32"/>
              </w:rPr>
            </w:pPr>
            <w:r>
              <w:rPr>
                <w:rFonts w:ascii="Cambria" w:hAnsi="Cambria" w:eastAsia="Times New Roman"/>
                <w:caps/>
                <w:sz w:val="32"/>
                <w:szCs w:val="32"/>
              </w:rPr>
              <w:t xml:space="preserve">КРАСНОЯРСКИЙ РЕГИОНАЛЬНЫЙ ФИЛИАЛ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caps/>
                <w:sz w:val="32"/>
                <w:szCs w:val="32"/>
              </w:rPr>
            </w:pPr>
            <w:r>
              <w:rPr>
                <w:rFonts w:ascii="Cambria" w:hAnsi="Cambria" w:eastAsia="Times New Roman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Тарифы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80"/>
                <w:szCs w:val="80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комиссионного вознаграждения на услуги     </w:t>
            </w:r>
            <w:r>
              <w:rPr>
                <w:rFonts w:ascii="Cambria" w:hAnsi="Cambria" w:eastAsia="Times New Roman"/>
                <w:sz w:val="48"/>
                <w:szCs w:val="48"/>
              </w:rPr>
              <w:t xml:space="preserve">           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Cambria" w:hAnsi="Cambria" w:eastAsia="Times New Roman"/>
                <w:sz w:val="80"/>
                <w:szCs w:val="80"/>
              </w:rPr>
            </w:r>
            <w:r>
              <w:rPr>
                <w:rFonts w:ascii="Cambria" w:hAnsi="Cambria" w:eastAsia="Times New Roman"/>
                <w:sz w:val="80"/>
                <w:szCs w:val="8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</w:r>
            <w:r>
              <w:rPr>
                <w:rFonts w:eastAsia="Times New Roman"/>
                <w:b/>
                <w:bCs/>
              </w:rPr>
            </w:r>
            <w:r>
              <w:rPr>
                <w:rFonts w:eastAsia="Times New Roman"/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  <w:t xml:space="preserve">действуют с 26</w:t>
            </w:r>
            <w:r>
              <w:rPr>
                <w:rFonts w:eastAsia="Times New Roman"/>
                <w:bCs/>
                <w:sz w:val="32"/>
                <w:szCs w:val="32"/>
                <w:lang w:val="en-US"/>
              </w:rPr>
              <w:t xml:space="preserve">.</w:t>
            </w:r>
            <w:r>
              <w:rPr>
                <w:rFonts w:eastAsia="Times New Roman"/>
                <w:bCs/>
                <w:sz w:val="32"/>
                <w:szCs w:val="32"/>
              </w:rPr>
              <w:t xml:space="preserve">11.2025</w:t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</w:tc>
      </w:tr>
    </w:tbl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/>
          <w:b/>
          <w:bCs/>
          <w:sz w:val="28"/>
          <w:szCs w:val="28"/>
        </w:rPr>
        <w:t xml:space="preserve">Акционерное общество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keepNext/>
        <w:spacing w:after="0"/>
        <w:rPr>
          <w:rFonts w:ascii="Times New Roman" w:hAnsi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/>
          <w:b/>
          <w:bCs/>
          <w:sz w:val="28"/>
          <w:szCs w:val="28"/>
        </w:rPr>
        <w:t xml:space="preserve">«Российский Сельскохозяйственный банк»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keepNext/>
        <w:spacing w:after="0"/>
        <w:rPr>
          <w:rFonts w:ascii="Times New Roman" w:hAnsi="Times New Roman"/>
          <w:b/>
          <w:bCs/>
        </w:rPr>
        <w:outlineLvl w:val="2"/>
      </w:pPr>
      <w:r>
        <w:rPr>
          <w:rFonts w:ascii="Times New Roman" w:hAnsi="Times New Roman"/>
          <w:b/>
          <w:bCs/>
          <w:sz w:val="28"/>
          <w:szCs w:val="28"/>
        </w:rPr>
        <w:t xml:space="preserve">(АО «Россельхозбанк»)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УТВЕРЖДЕНЫ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решениями Ресурсного комитета АО «Россельхозбанк»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(протоколы от 12.08.2008 № 33, от 29.12.2008 № 62, 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26.02.2009 № 7, от 31.03.2009 № 13, от 14.07.2009 № 29,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23.11.2009 № 49, от 26.07.2010 № 83, от 06.09.2010 № 94, 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09.08.2010 № 86, от 04.10.2010 № 100, от 12.07.2011 № 36, 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01.08.2011 № 39, от 29.08.2011 № 45, от 27.06.2011 № 32,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14.11.2011 № 65, от 05.12.2011 № 69, от 25.01.2012 № 3,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03.05.2012 № 31, от 30.05.2012 № 35, от 29.08.2012 № 54)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ind w:left="4111"/>
        <w:jc w:val="center"/>
        <w:spacing w:before="120" w:after="0" w:line="240" w:lineRule="auto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решениями Комитета по управлению </w:t>
      </w:r>
      <w:r>
        <w:rPr>
          <w:rFonts w:ascii="Times New Roman" w:hAnsi="Times New Roman" w:eastAsia="Times New Roman"/>
          <w:sz w:val="21"/>
          <w:szCs w:val="21"/>
          <w:lang w:eastAsia="ru-RU"/>
        </w:rPr>
      </w:r>
      <w:r>
        <w:rPr>
          <w:rFonts w:ascii="Times New Roman" w:hAnsi="Times New Roman" w:eastAsia="Times New Roman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активами и пассивами АО «Россельхозбанк»</w:t>
      </w:r>
      <w:r>
        <w:rPr>
          <w:rFonts w:ascii="Times New Roman" w:hAnsi="Times New Roman" w:eastAsia="Times New Roman"/>
          <w:sz w:val="21"/>
          <w:szCs w:val="21"/>
          <w:lang w:eastAsia="ru-RU"/>
        </w:rPr>
      </w:r>
      <w:r>
        <w:rPr>
          <w:rFonts w:ascii="Times New Roman" w:hAnsi="Times New Roman" w:eastAsia="Times New Roman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pP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(протоколы от 10.10.2012</w:t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  <w:t xml:space="preserve"> № 8, от 17.10.2012 № 9,</w:t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pP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  <w:t xml:space="preserve">от 05.12.2012 № 20, от 23.01.2013 № 8, от 05.03.2013 № 18,</w:t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  <w:t xml:space="preserve">от 20.02.2013 № 16, от 11.04.2013 № 28, </w:t>
      </w: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от 18.04.2013 № 29, </w:t>
      </w:r>
      <w:r>
        <w:rPr>
          <w:rFonts w:ascii="Times New Roman" w:hAnsi="Times New Roman" w:eastAsia="Times New Roman"/>
          <w:sz w:val="21"/>
          <w:szCs w:val="21"/>
          <w:lang w:eastAsia="ru-RU"/>
        </w:rPr>
      </w:r>
      <w:r>
        <w:rPr>
          <w:rFonts w:ascii="Times New Roman" w:hAnsi="Times New Roman" w:eastAsia="Times New Roman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pP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  <w:t xml:space="preserve">от 22.05.2013 № 35, от </w:t>
      </w:r>
      <w:r>
        <w:rPr>
          <w:rFonts w:ascii="Times New Roman" w:hAnsi="Times New Roman"/>
          <w:sz w:val="21"/>
          <w:szCs w:val="21"/>
        </w:rPr>
        <w:t xml:space="preserve">11.06.2013 № 39, от 25.11.2013, № 92, 23.12.2013 № 104, от 23.06.2014 № 53, от 22.09.2014 № 88</w:t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  <w:t xml:space="preserve">) </w:t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ТАРИФЫ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КОМИССИОННОГО ВОЗНАГРАЖДЕНИЯ НА УСЛУГИ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АО «РОССЕЛЬХОЗБАНК» ЮРИДИЧЕСКИМ ЛИЦАМ, СУБЪЕКТАМ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pPr w:horzAnchor="margin" w:tblpXSpec="center" w:vertAnchor="text" w:tblpY="56" w:leftFromText="180" w:topFromText="0" w:rightFromText="180" w:bottomFromText="0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986"/>
        <w:gridCol w:w="5925"/>
      </w:tblGrid>
      <w:tr>
        <w:tblPrEx/>
        <w:trPr>
          <w:trHeight w:val="851"/>
        </w:trPr>
        <w:tc>
          <w:tcPr>
            <w:tcW w:w="201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ССП-владелец НД: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98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Департамент транзакционного бизнеса (ДТБ)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51"/>
        </w:trPr>
        <w:tc>
          <w:tcPr>
            <w:tcW w:w="201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Код и наименование процесса(ов):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98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II.27.00.6.Ю/23 Разработка, модификация и упразднение продуктов и услуг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51"/>
        </w:trPr>
        <w:tc>
          <w:tcPr>
            <w:tcW w:w="201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Код нормативного документа: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98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1-13/04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51"/>
        </w:trPr>
        <w:tc>
          <w:tcPr>
            <w:tcW w:w="201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Номер версии: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98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51"/>
        </w:trPr>
        <w:tc>
          <w:tcPr>
            <w:tcW w:w="201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Область применения: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98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ГО/ВСП ГО/РФ/ВСП РФ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center"/>
        <w:spacing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1. Открытие и ведение счетов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18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рублях Российской Федерации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Открытие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176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накопительного счета, счета с особым режимом, счета по депозиту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№ 185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-ФЗ «О Фонде содействия реформи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rFonts w:ascii="Times New Roman" w:hAnsi="Times New Roman"/>
              </w:rPr>
              <w:t xml:space="preserve">исполнение обязанностей опекунов или попечителей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клиентам</w:t>
            </w:r>
            <w:r>
              <w:rPr>
                <w:rFonts w:ascii="Times New Roman" w:hAnsi="Times New Roman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  <w:br/>
            </w:r>
            <w:r>
              <w:rPr>
                <w:rFonts w:ascii="Times New Roman" w:hAnsi="Times New Roman"/>
              </w:rPr>
              <w:t xml:space="preserve">№</w:t>
            </w:r>
            <w:r>
              <w:rPr>
                <w:rFonts w:ascii="Times New Roman" w:hAnsi="Times New Roman"/>
                <w:lang w:val="en-US"/>
              </w:rPr>
              <w:t xml:space="preserve"> </w:t>
            </w:r>
            <w:r>
              <w:rPr>
                <w:rFonts w:ascii="Times New Roman" w:hAnsi="Times New Roman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</w:t>
              <w:br/>
              <w:t xml:space="preserve">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АО «Россельхозбанк»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pStyle w:val="929"/>
              <w:numPr>
                <w:ilvl w:val="0"/>
                <w:numId w:val="17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929"/>
              <w:numPr>
                <w:ilvl w:val="0"/>
                <w:numId w:val="17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Выполнение усл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овий подтвержда-ется надписью на заявлении на открытие счета «Счет для зачис-ления возмещения по операциям с использованием платежных карт в рамках договора эквайринга, заклю-ченного с АО «Россельхозбанк», сделанной сотрудником регионального филиала Банка.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Если бизнес-карты обслуживается в рамках тарифного плана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«Корпоративный»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 w:type="textWrapping" w:clear="all"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 w:type="textWrapping" w:clear="all"/>
              <w:t xml:space="preserve">от 26.10.2002 № 127-ФЗ </w:t>
            </w:r>
            <w:r>
              <w:rPr>
                <w:rFonts w:ascii="Times New Roman" w:hAnsi="Times New Roman"/>
              </w:rPr>
              <w:br w:type="textWrapping" w:clear="all"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keepNext/>
              <w:spacing w:before="120" w:after="120" w:line="240" w:lineRule="auto"/>
              <w:rPr>
                <w:rFonts w:ascii="Times New Roman" w:hAnsi="Times New Roman" w:eastAsia="Times New Roman"/>
                <w:iCs/>
                <w:lang w:eastAsia="ru-RU"/>
              </w:rPr>
              <w:outlineLvl w:val="4"/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rFonts w:ascii="Times New Roman" w:hAnsi="Times New Roman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раждение за ведение счета взимается в соответствии с п. 1.1.3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  <w:t xml:space="preserve">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  <w:t xml:space="preserve">без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</w:t>
            </w:r>
            <w:r>
              <w:rPr>
                <w:rFonts w:ascii="Times New Roman" w:hAnsi="Times New Roman"/>
                <w:bCs/>
              </w:rPr>
              <w:t xml:space="preserve">законом от 29.07.2017 </w:t>
            </w:r>
            <w:r>
              <w:rPr>
                <w:rFonts w:ascii="Times New Roman" w:hAnsi="Times New Roman"/>
                <w:bCs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rFonts w:ascii="Times New Roman" w:hAnsi="Times New Roman"/>
                <w:bCs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зачисление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денежных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средств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 целью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погашения деб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пополнения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чета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</w:t>
            </w:r>
            <w:r>
              <w:rPr>
                <w:rFonts w:ascii="Times New Roman" w:hAnsi="Times New Roman"/>
              </w:rPr>
              <w:t xml:space="preserve"> по счету комиссия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 xml:space="preserve">на распоряжение денежными средствами по счету.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 xml:space="preserve">АО «Россельхозбанк»,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929"/>
              <w:numPr>
                <w:ilvl w:val="0"/>
                <w:numId w:val="18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 xml:space="preserve">действующего договора о выпуске и </w:t>
            </w:r>
            <w:r>
              <w:rPr>
                <w:rFonts w:ascii="Times New Roman" w:hAnsi="Times New Roman"/>
                <w:bCs/>
              </w:rPr>
              <w:t xml:space="preserve">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29"/>
              <w:numPr>
                <w:ilvl w:val="0"/>
                <w:numId w:val="18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</w:rPr>
              <w:t xml:space="preserve">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29"/>
              <w:numPr>
                <w:ilvl w:val="0"/>
                <w:numId w:val="18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 xml:space="preserve"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стандартном размере.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Начисление процентов на остатки средств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</w:t>
            </w:r>
            <w:r>
              <w:rPr>
                <w:rFonts w:ascii="Times New Roman" w:hAnsi="Times New Roman"/>
              </w:rPr>
              <w:t xml:space="preserve">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rFonts w:ascii="Times New Roman" w:hAnsi="Times New Roman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соответствии с п. 1.1.8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при исполнении: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оплате страховых взносов на счета Фонда пенсионного и социального </w:t>
            </w:r>
            <w:r>
              <w:rPr>
                <w:rFonts w:ascii="Times New Roman" w:hAnsi="Times New Roman"/>
              </w:rPr>
              <w:t xml:space="preserve">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счетам клиентов, 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rFonts w:ascii="Times New Roman" w:hAnsi="Times New Roman"/>
              </w:rPr>
              <w:br/>
              <w:t xml:space="preserve"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</w:t>
            </w:r>
            <w:r>
              <w:rPr>
                <w:rFonts w:ascii="Times New Roman" w:hAnsi="Times New Roman"/>
              </w:rPr>
              <w:t xml:space="preserve"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ascii="Times New Roman" w:hAnsi="Times New Roman"/>
              </w:rPr>
              <w:t xml:space="preserve">из-за отсутствия денеж</w:t>
            </w:r>
            <w:r>
              <w:rPr>
                <w:rFonts w:ascii="Times New Roman" w:hAnsi="Times New Roman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средств для оплаты комиссионного вознаграждения Банка на счете, с которого в соо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</w:t>
            </w:r>
            <w:r>
              <w:rPr>
                <w:rFonts w:ascii="Times New Roman" w:hAnsi="Times New Roman"/>
              </w:rPr>
              <w:br w:type="textWrapping" w:clear="all"/>
              <w:t xml:space="preserve">до 100 млн. руб.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свыше 100 млн.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</w:t>
            </w:r>
            <w:r>
              <w:rPr>
                <w:rFonts w:ascii="Times New Roman" w:hAnsi="Times New Roman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34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каждый расчетный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rFonts w:ascii="Times New Roman" w:hAnsi="Times New Roman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4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</w:t>
            </w:r>
            <w:r>
              <w:rPr>
                <w:rFonts w:ascii="Times New Roman" w:hAnsi="Times New Roman"/>
              </w:rPr>
              <w:t xml:space="preserve">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Зачисление кредитных денежных средств на счета заемщиков Банка- 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юридических лиц, </w:t>
            </w:r>
            <w:r>
              <w:rPr>
                <w:rFonts w:ascii="Times New Roman" w:hAnsi="Times New Roman"/>
              </w:rPr>
              <w:t xml:space="preserve"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</w:t>
            </w:r>
            <w:r>
              <w:rPr>
                <w:rFonts w:ascii="Times New Roman" w:hAnsi="Times New Roman"/>
              </w:rPr>
              <w:br w:type="textWrapping" w:clear="all"/>
              <w:t xml:space="preserve">в других кредитных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 </w:t>
            </w:r>
            <w:r>
              <w:rPr>
                <w:rFonts w:ascii="Times New Roman" w:hAnsi="Times New Roman"/>
              </w:rPr>
              <w:br w:type="textWrapping" w:clear="all"/>
              <w:t xml:space="preserve">до 150 000,00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150 000,01 руб. до 300 000,00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</w:rPr>
              <w:br w:type="textWrapping" w:clear="all"/>
              <w:t xml:space="preserve">до 2 000 000,00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2 000 000,01 руб. </w:t>
            </w:r>
            <w:r>
              <w:rPr>
                <w:rFonts w:ascii="Times New Roman" w:hAnsi="Times New Roman"/>
              </w:rPr>
              <w:br w:type="textWrapping" w:clear="all"/>
              <w:t xml:space="preserve">до 5 000 000,00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свыше 5 000 000,00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текущие счета и счета вкладов;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счета, открытые для расчетов с использованием карт;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 расчетного счета застройщика;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заработной платы и приравненных к ней платежей (вне рамок отдельных договоров/ дополнительных соглашений к договору банковского счета, заключенных клиентами с АО «Россельхозбанк»);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алиментов, пенсий,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социальных выплат;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дохода лицам, занимающимся частной практикой;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2 настоящего примечания применяется, если в поле «Назначение платежа» указывается четкая информация о цели </w:t>
            </w:r>
            <w:r>
              <w:rPr>
                <w:rFonts w:ascii="Times New Roman" w:hAnsi="Times New Roman"/>
              </w:rPr>
              <w:t xml:space="preserve">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указании в поле «Назначение платежа» нескол</w:t>
            </w:r>
            <w:r>
              <w:rPr>
                <w:rFonts w:ascii="Times New Roman" w:hAnsi="Times New Roman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Комиссия не взимается за перевод денежных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 счетов клиентов, имеющих обязательства перед АО «Россельхозбанк» 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</w:rPr>
              <w:br/>
              <w:t xml:space="preserve"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При переводе сумм заработной платы, пенсионных, стр</w:t>
            </w:r>
            <w:r>
              <w:rPr>
                <w:rFonts w:ascii="Times New Roman" w:hAnsi="Times New Roman"/>
              </w:rPr>
              <w:t xml:space="preserve">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</w:t>
            </w:r>
            <w:r>
              <w:rPr>
                <w:rFonts w:ascii="Times New Roman" w:hAnsi="Times New Roman"/>
              </w:rPr>
              <w:t xml:space="preserve">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 инкассо платежных требований/инкассовых поручений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/>
              </w:rPr>
              <w:br w:type="textWrapping" w:clear="all"/>
              <w:t xml:space="preserve">по каждому платежу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производится бесплатно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банк-корреспондент на проведение розыска платежа, уточнение реквизитов платежа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</w:t>
            </w:r>
            <w:r>
              <w:rPr>
                <w:rFonts w:ascii="Times New Roman" w:hAnsi="Times New Roman"/>
              </w:rPr>
              <w:br w:type="textWrapping" w:clear="all"/>
              <w:t xml:space="preserve">по каждому платежу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каждый расчетный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п. 1.1.5 или п. 1.1.7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(ООО «Мое дело» ИНН 7701889831, ООО «Юридические решения» ИНН 9718083320)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 комиссионное вознаграждение, указанное в п. 1.1.5 Тарифов, </w:t>
            </w:r>
            <w:r>
              <w:rPr>
                <w:rFonts w:ascii="Times New Roman" w:hAnsi="Times New Roman"/>
              </w:rPr>
              <w:br w:type="textWrapping" w:clear="all"/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каждое дополнительное соглашение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t xml:space="preserve">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отношении клиентов Банка, заключ</w:t>
            </w:r>
            <w:r>
              <w:rPr>
                <w:rFonts w:ascii="Times New Roman" w:hAnsi="Times New Roman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за каждую операцию.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</w:t>
            </w:r>
            <w:r>
              <w:rPr>
                <w:rFonts w:ascii="Times New Roman" w:hAnsi="Times New Roman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Открытие счета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транзитного счета, счета по депозиту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зачисление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денежных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средств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 целью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погашения деб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пополнения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чета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 Тарифов, но </w:t>
            </w:r>
            <w:r>
              <w:rPr>
                <w:rFonts w:ascii="Times New Roman" w:hAnsi="Times New Roman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евро: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евро.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</w:t>
            </w:r>
            <w:r>
              <w:rPr>
                <w:rFonts w:ascii="Times New Roman" w:hAnsi="Times New Roman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 и при условии использования клиентом системы </w:t>
            </w:r>
            <w:r>
              <w:rPr>
                <w:rFonts w:ascii="Times New Roman" w:hAnsi="Times New Roman"/>
              </w:rPr>
              <w:t xml:space="preserve">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приостановления Банком использования Клиентом системы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более 100 000 евро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зачисление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денежных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средств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 целью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погашения деб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пополнения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чета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установленном размере согласно п. 1.2.3.1 Тарифов, но </w:t>
            </w:r>
            <w:r>
              <w:rPr>
                <w:rFonts w:ascii="Times New Roman" w:hAnsi="Times New Roman"/>
              </w:rPr>
              <w:t xml:space="preserve">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долларах США: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долларах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</w:t>
            </w:r>
            <w:r>
              <w:rPr>
                <w:rFonts w:ascii="Times New Roman" w:hAnsi="Times New Roman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 и при условии использования клиентом </w:t>
            </w:r>
            <w:r>
              <w:rPr>
                <w:rFonts w:ascii="Times New Roman" w:hAnsi="Times New Roman"/>
              </w:rPr>
              <w:t xml:space="preserve">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</w:t>
            </w:r>
            <w:r>
              <w:rPr>
                <w:rFonts w:ascii="Times New Roman" w:hAnsi="Times New Roman"/>
              </w:rPr>
              <w:br w:type="textWrapping" w:clear="all"/>
              <w:t xml:space="preserve">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п. 1.2.3.2 Тарифов в размере, пред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более 100 000 долларов США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0,6% от совокупного среднедневного остатка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зачисление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денежных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средств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 целью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погашения деб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пополнения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чета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</w:t>
            </w:r>
            <w:r>
              <w:rPr>
                <w:rFonts w:ascii="Times New Roman" w:hAnsi="Times New Roman"/>
              </w:rPr>
              <w:t xml:space="preserve">ом размере согласно п. 1.2.3.2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</w:t>
            </w:r>
            <w:r>
              <w:rPr>
                <w:rFonts w:ascii="Times New Roman" w:hAnsi="Times New Roman"/>
              </w:rPr>
              <w:t xml:space="preserve">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Ведение счета в отдельных иностранных валютах**: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 в ино</w:t>
            </w:r>
            <w:r>
              <w:rPr>
                <w:rFonts w:ascii="Times New Roman" w:hAnsi="Times New Roman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зачисление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денежных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средств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 целью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погашения деб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пополнения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чета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установленном размере согласно п. 1.2.3.3 Тарифов, но </w:t>
            </w:r>
            <w:r>
              <w:rPr>
                <w:rFonts w:ascii="Times New Roman" w:hAnsi="Times New Roman"/>
              </w:rPr>
              <w:t xml:space="preserve">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Начисление процентов на остатки средств по текущему счету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денежных средств со счета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других кредитных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0,33%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долл. США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наличии технической возможности у Банка.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/>
            <w:bookmarkStart w:id="0" w:name="_GoBack"/>
            <w:r>
              <w:rPr>
                <w:rFonts w:ascii="Times New Roman" w:hAnsi="Times New Roman"/>
              </w:rPr>
              <w:t xml:space="preserve">1.2.5.1.1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долл. США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tabs>
                <w:tab w:val="left" w:pos="30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5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Валюта перевода – доллары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5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Счет бенефициара открыт в кредитной организации, которая не находится на территории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5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Наличие в платежном поручении инструкции «OUR» в поле «71» и инструкции «/PPRO/» в поле «70» или «72».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57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наличии технической возможности у Банка.</w:t>
            </w:r>
            <w:bookmarkEnd w:id="0"/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35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свыше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Отзыв (аннулирование),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возврат перевода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дополнительных услуг по счетам, открытым в Банке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(в рублях Российской Федерации и иностранной валюте)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выписки по счету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по письменному заявлению клиента п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1.3.3.1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500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каждый запрос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t xml:space="preserve">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дубликата выписки по счету по заявлению клиента: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за один лист, но не более 2000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дубликатов счетов-фактур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</w:t>
            </w:r>
            <w:r>
              <w:rPr>
                <w:rFonts w:ascii="Times New Roman" w:hAnsi="Times New Roman"/>
              </w:rPr>
              <w:br w:type="textWrapping" w:clear="all"/>
              <w:t xml:space="preserve">за один лист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  <w:t xml:space="preserve">300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11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давностью до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lang w:eastAsia="ru-RU"/>
              </w:rPr>
              <w:t xml:space="preserve">50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11"/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давностью свыше трех месяцев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lang w:eastAsia="ru-RU"/>
              </w:rPr>
              <w:t xml:space="preserve">100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за одну подпись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одну копию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платежного документа по просьбе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Ксерокопирование документов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Заверение Банком копии документа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1.3.1</w:t>
            </w:r>
            <w:r>
              <w:rPr>
                <w:rFonts w:ascii="Times New Roman" w:hAnsi="Times New Roman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сопровождения Клиента персональным клиентским менеджером п</w:t>
            </w:r>
            <w:r>
              <w:rPr>
                <w:rFonts w:ascii="Times New Roman" w:hAnsi="Times New Roman"/>
                <w:color w:val="000000"/>
              </w:rPr>
              <w:t xml:space="preserve">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</w:t>
            </w:r>
            <w:r>
              <w:rPr>
                <w:rFonts w:ascii="Times New Roman" w:hAnsi="Times New Roman"/>
                <w:color w:val="000000"/>
              </w:rPr>
              <w:t xml:space="preserve">по счету за определенный Клиентом период, копий платежных и иных документов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 xml:space="preserve">пп. 1.3.1-1.3.3, 1.3.5-1.3.13 Тарифов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договора/ соглашения, заключенного Банком и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 xml:space="preserve">Срок действия – до 31 декабря 2025 года (включительно).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60"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Австралийский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Багамский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Болгарский лев;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Венгерский форинт;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Вон Республики Корея;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Гонконгский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Датская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Исландская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Канадский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Албанский лек;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Македонский денар;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Новозеландский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Норвежская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Польский злотый;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Румынский лей;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Сингапурский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Украинская гривна;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Фунт стерлингов Соединенного королевства;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Хорватская куна;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Чешская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Шведская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Швейцарский франк;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Японская йена.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1090"/>
        <w:jc w:val="both"/>
        <w:spacing w:before="60"/>
        <w:rPr>
          <w:lang w:val="ru-RU"/>
        </w:rPr>
      </w:pPr>
      <w:r>
        <w:rPr>
          <w:lang w:val="ru-RU"/>
        </w:rPr>
        <w:t xml:space="preserve">*** Под обязательствами перед АО «Россельхозбанк» по кредитным сделкам понимаются:</w:t>
      </w:r>
      <w:r>
        <w:rPr>
          <w:lang w:val="ru-RU"/>
        </w:rPr>
      </w:r>
      <w:r>
        <w:rPr>
          <w:lang w:val="ru-RU"/>
        </w:rPr>
      </w:r>
    </w:p>
    <w:p>
      <w:pPr>
        <w:pStyle w:val="1090"/>
        <w:jc w:val="both"/>
        <w:rPr>
          <w:lang w:val="ru-RU"/>
        </w:rPr>
      </w:pPr>
      <w:r>
        <w:rPr>
          <w:lang w:val="ru-RU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lang w:val="ru-RU"/>
        </w:rPr>
      </w:r>
      <w:r>
        <w:rPr>
          <w:lang w:val="ru-RU"/>
        </w:rPr>
      </w:r>
    </w:p>
    <w:p>
      <w:pPr>
        <w:pStyle w:val="1090"/>
        <w:jc w:val="both"/>
        <w:rPr>
          <w:lang w:val="ru-RU"/>
        </w:rPr>
      </w:pPr>
      <w:r>
        <w:rPr>
          <w:lang w:val="ru-RU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депозитные счета нотариусов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эскроу для расчетов по договору участия в долевом строительстве.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5.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2. Кассовые операции*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денежной чековой книжки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листов – 200 руб., </w:t>
            </w:r>
            <w:r>
              <w:rPr>
                <w:rFonts w:ascii="Times New Roman" w:hAnsi="Times New Roman"/>
              </w:rPr>
              <w:br w:type="textWrapping" w:clear="all"/>
              <w:t xml:space="preserve">50 листов – 300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выплаты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ascii="Times New Roman" w:hAnsi="Times New Roman"/>
                <w:bCs/>
              </w:rPr>
              <w:t xml:space="preserve">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0,9% от суммы,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2.2.2.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Юридическим лицам и индивидуальным предпринимателям на другие цели, </w:t>
            </w:r>
            <w:r>
              <w:rPr>
                <w:rFonts w:ascii="Times New Roman" w:hAnsi="Times New Roman"/>
                <w:bCs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300 000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1 500 000,01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10% от суммы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4 000 000,01 руб.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и выше в течение календарного месяца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1,3%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до 3 500 000,00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с 3 500 000,01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6 000 000,00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с 6 000 000,01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10 000 000,00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с 10 000 000,01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15 000 000,00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10%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c 15 000 000,01 руб. и выше в течение календарного месяца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Выдача остатка денежной наличности при закрытии счета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Услуга отдельно не тарифицируется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Комиссионное вознаграждение взимается в соответствии с п. 2.2 Тарифов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по объявлению на взнос наличными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0,40% от суммы, минимум 250 руб.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</w:t>
            </w:r>
            <w:r>
              <w:rPr>
                <w:rFonts w:ascii="Times New Roman" w:hAnsi="Times New Roman"/>
                <w:bCs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0,25% от суммы,</w:t>
            </w:r>
            <w:r>
              <w:rPr>
                <w:rFonts w:ascii="Times New Roman" w:hAnsi="Times New Roman"/>
              </w:rPr>
              <w:br w:type="textWrapping" w:clear="all"/>
              <w:t xml:space="preserve">минимум 250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</w:t>
            </w:r>
            <w:r>
              <w:rPr>
                <w:rFonts w:ascii="Times New Roman" w:hAnsi="Times New Roman"/>
                <w:bCs/>
              </w:rPr>
              <w:t xml:space="preserve">упаковки денежной наличности, доставленных инкассаторскими работниками АО «Россельхозбанк»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0,2% от суммы, минимум 250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монет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  <w:r>
              <w:rPr>
                <w:rFonts w:ascii="Times New Roman" w:hAnsi="Times New Roman"/>
              </w:rPr>
              <w:br w:type="textWrapping" w:clear="all"/>
              <w:t xml:space="preserve">минимум 250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0,3% от суммы, минимум 450 руб.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0,1% от суммы, 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2.9.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банкнот/монет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монету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банкноты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монету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2.10.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Обеспечение клиента Банка разменной монетой на постоянной основе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денежной наличности в иностранной валюте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300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t xml:space="preserve">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2.12.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наличной иностранной валюты (за исключением монет)******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3,5% от суммы,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минимум 200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2.14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0,3% от суммы выдачи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Услуга оказывается только для предварительно заказанных сумм.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2.15.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426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Операции по обслуживанию бюдж</w:t>
      </w:r>
      <w:r>
        <w:rPr>
          <w:rFonts w:ascii="Times New Roman" w:hAnsi="Times New Roman"/>
          <w:bCs/>
          <w:sz w:val="20"/>
          <w:szCs w:val="20"/>
        </w:rPr>
        <w:t xml:space="preserve">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</w:t>
      </w:r>
      <w:r>
        <w:rPr>
          <w:rFonts w:ascii="Times New Roman" w:hAnsi="Times New Roman"/>
          <w:bCs/>
          <w:sz w:val="20"/>
          <w:szCs w:val="20"/>
        </w:rPr>
        <w:t xml:space="preserve">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</w:t>
      </w:r>
      <w:r>
        <w:rPr>
          <w:rFonts w:ascii="Times New Roman" w:hAnsi="Times New Roman"/>
          <w:sz w:val="20"/>
          <w:szCs w:val="20"/>
        </w:rPr>
        <w:t xml:space="preserve">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</w:t>
      </w:r>
      <w:r>
        <w:rPr>
          <w:rFonts w:ascii="Times New Roman" w:hAnsi="Times New Roman"/>
          <w:sz w:val="20"/>
          <w:szCs w:val="20"/>
        </w:rPr>
        <w:t xml:space="preserve">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10 - Производство пищевых продуктов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11 - Производство напитков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12 - Производство табачных изделий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46.2 - Торговля оптовая сельскохозяйственным сырьем и живыми животными.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46.21.1 - Торговля оптовая зерном, семенами и кормами для животных.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46.21.11 - Торговля оптовая зерном.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46.21.12 - Торговля оптовая семенами, кроме семян масличных культур.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46.21.13 - Торговля оптовая масличными семенами и маслосодержащими плодами.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46.21.14 - Торговля оптовая кормами для сельскохозяйственных животных.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46.21.19 - Торговля оптовая сельскохозяйственным сырьем, не включенным в другие группировки.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46.22 - Торговля оптовая цветами и растениями.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46.23 - Торговля оптовая живыми животными.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46.31 - Торговля оптовая фруктами и овощами.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46.31.1 - Торговля оптовая свежими овощами, фруктами и орехами.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46.31.11 - Торговля оптовая свежим картофелем.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46.31.12 - Торговля оптовая прочими свежими овощами.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46.31.13 - Торговля оптовая свежими фруктами и орехами.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46.32 - Торговля оптовая мясом и мясными продуктами.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46.32.1 - Торговля оптовая мясом и мясом птицы, включая субпродукты.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46.32.2 - Торговля оптовая продуктами из мяса и мяса птицы.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46.32.3 - Торговля оптовая консервами из мяса и мяса птицы.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46.33 - Торговля оптовая молочными продуктами, яйцами и пищевыми маслами и жирами.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46.33.1 - Торговля оптовая молочными продуктами.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46.33.2 - Торговля оптовая яйцами.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46.33.3 - Торговля оптовая пищевыми маслами и жирами.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47.21 - Торговля розничная фруктами и овощами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47.22 - Торговля розничная мясом и мясными продуктами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47.22.2 - Торговля розничная продуктами из мяса и мяса птицы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47.22.3 - Торговля розничная консервами из мяса и мяса птицы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47.29.11 - Торговля розничная молочными продуктами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47.29.12 - Торговля розничная яйцами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47.29.2 - Торговля розничная пищевыми маслами и жирами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47.29.22 - Торговля розничная растительными маслами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*****) В соответствии с Федеральным законом от 10 ию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ля 2023 года № 304-ФЗ 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******) Банк не принимает поврежденные банкноты иностранных государств.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center"/>
        <w:spacing w:before="240" w:after="0" w:line="240" w:lineRule="auto"/>
        <w:tabs>
          <w:tab w:val="left" w:pos="42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eastAsia="Times New Roman"/>
          <w:bCs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t xml:space="preserve"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(размер тарифов указан без учета НДС)*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>
        <w:tblPrEx/>
        <w:trPr>
          <w:trHeight w:val="454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</w:rPr>
              <w:t xml:space="preserve">0,15 %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  <w:sz w:val="4"/>
                <w:szCs w:val="4"/>
              </w:rPr>
            </w:r>
            <w:r>
              <w:rPr>
                <w:rFonts w:ascii="Times New Roman" w:hAnsi="Times New Roman"/>
                <w:sz w:val="4"/>
                <w:szCs w:val="4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головного офиса (далее – ГО), РФ АО «Россельхозбанк» - «Центр розничного и малого бизнеса» (далее – ЦРМБ) </w:t>
            </w:r>
            <w:r>
              <w:rPr>
                <w:rFonts w:ascii="Times New Roman" w:hAnsi="Times New Roman"/>
              </w:rPr>
              <w:br/>
              <w:t xml:space="preserve">и РФ АО «Россельхозбанк» - «ЦКБ» (далее – ЦКБ),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before="17008" w:line="240" w:lineRule="auto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4"/>
                <w:szCs w:val="4"/>
              </w:rPr>
            </w:r>
            <w:r>
              <w:rPr>
                <w:rFonts w:ascii="Times New Roman" w:hAnsi="Times New Roman"/>
                <w:sz w:val="4"/>
                <w:szCs w:val="4"/>
              </w:rPr>
            </w:r>
            <w:r>
              <w:rPr>
                <w:rFonts w:ascii="Times New Roman" w:hAnsi="Times New Roman"/>
                <w:sz w:val="4"/>
                <w:szCs w:val="4"/>
              </w:rPr>
            </w:r>
          </w:p>
          <w:p>
            <w:pPr>
              <w:contextualSpacing/>
              <w:jc w:val="center"/>
              <w:spacing w:before="17008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before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других региональных филиалов АО «Россельхозбанк» (далее – РФ Банка)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right" w:pos="276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</w:t>
            </w:r>
            <w:r>
              <w:rPr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Банком;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за одну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за одну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right="-113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одно-временного представления экспортного контракта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</w:rPr>
              <w:t xml:space="preserve"> раздел ведомости банковского контроля: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</w:t>
            </w:r>
            <w:r>
              <w:rPr>
                <w:rFonts w:ascii="Times New Roman" w:hAnsi="Times New Roman"/>
                <w:color w:val="000000"/>
              </w:rPr>
              <w:t xml:space="preserve">за одну ведомость банковского контроля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дополнительно к комиссии по пунктам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</w:t>
            </w:r>
            <w:r>
              <w:rPr>
                <w:rFonts w:ascii="Times New Roman" w:hAnsi="Times New Roman"/>
                <w:bCs/>
              </w:rPr>
              <w:t xml:space="preserve">постановки на учет. Комиссия взимается в день оказания услуги.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Услуга оказывае</w:t>
            </w:r>
            <w:r>
              <w:rPr>
                <w:rFonts w:ascii="Times New Roman" w:hAnsi="Times New Roman"/>
                <w:bCs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при предоставлении/ получении документов на бумажном носителе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справки о подтверждающих документах (далее – СПД), включая СПД, содержащую скорректированные сведения, при предоставлении документов: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за один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за один подтверждающий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за один подтверждающий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W w:w="9214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Снятие контракта (кредитного договора) с учета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5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257" w:leader="none"/>
                <w:tab w:val="left" w:pos="113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tabs>
                <w:tab w:val="left" w:pos="257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регионального филиала Банка в головной офис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одного регионального филиала Банка в другой региональный филиал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минимум 500 руб., максимум </w:t>
            </w:r>
            <w:r>
              <w:rPr>
                <w:rFonts w:ascii="Times New Roman" w:hAnsi="Times New Roman"/>
              </w:rPr>
              <w:br w:type="textWrapping" w:clear="all"/>
              <w:t xml:space="preserve">80 000 руб. для ГО, ЦРМБ и ЦКБ,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300 руб., максимум 80 000 руб. для других РФ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0,12%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250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10 000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ГО, ЦРМБ и ЦКБ,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150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5 000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других РФ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ascii="Times New Roman" w:hAnsi="Times New Roman"/>
                <w:bCs/>
              </w:rPr>
              <w:t xml:space="preserve">оказания услуги</w:t>
            </w:r>
            <w:r>
              <w:rPr>
                <w:rFonts w:ascii="Times New Roman" w:hAnsi="Times New Roman"/>
              </w:rPr>
              <w:t xml:space="preserve">*</w:t>
            </w:r>
            <w:r>
              <w:rPr>
                <w:rFonts w:ascii="Times New Roman" w:hAnsi="Times New Roman"/>
                <w:bCs/>
              </w:rPr>
              <w:t xml:space="preserve">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нерезидентом и Банком;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22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за лист, максимум 1 000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22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СМС-информирование о статусах документов валютного контроля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 xml:space="preserve">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к услуге.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и предоставляется только резидентам.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before="120" w:after="12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</w:t>
      </w:r>
      <w:r>
        <w:rPr>
          <w:rFonts w:ascii="Times New Roman" w:hAnsi="Times New Roman"/>
          <w:bCs/>
          <w:sz w:val="20"/>
          <w:szCs w:val="20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ascii="Times New Roman" w:hAnsi="Times New Roman"/>
        </w:rPr>
        <w:t xml:space="preserve"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 xml:space="preserve">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rFonts w:ascii="Times New Roman" w:hAnsi="Times New Roman"/>
          <w:bCs/>
          <w:sz w:val="20"/>
          <w:szCs w:val="20"/>
        </w:rPr>
        <w:t xml:space="preserve">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rFonts w:ascii="Times New Roman" w:hAnsi="Times New Roman"/>
          <w:bCs/>
          <w:sz w:val="20"/>
          <w:szCs w:val="20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rFonts w:ascii="Times New Roman" w:hAnsi="Times New Roman"/>
          <w:bCs/>
          <w:sz w:val="20"/>
          <w:szCs w:val="20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** В случае перевода (зачисления) денежных средств общей суммой: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</w:t>
      </w:r>
      <w:r>
        <w:rPr>
          <w:rFonts w:ascii="Times New Roman" w:hAnsi="Times New Roman"/>
          <w:bCs/>
          <w:sz w:val="20"/>
          <w:szCs w:val="20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ascii="Times New Roman" w:hAnsi="Times New Roman"/>
          <w:bCs/>
          <w:sz w:val="20"/>
          <w:szCs w:val="20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ascii="Times New Roman" w:hAnsi="Times New Roman"/>
          <w:sz w:val="20"/>
          <w:szCs w:val="20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Днем оказания услуги по валютному контролю является: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numPr>
          <w:ilvl w:val="0"/>
          <w:numId w:val="12"/>
        </w:numPr>
        <w:contextualSpacing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день списания денежных средств с расчетного счета клиента-резидента;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документов, связанных с проведением валютной операции;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 xml:space="preserve">сведений уполномоченного банка о проведенной операции.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numPr>
          <w:ilvl w:val="0"/>
          <w:numId w:val="12"/>
        </w:numPr>
        <w:ind w:left="0"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направления резиденту информации о коде вида операции.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</w:t>
      </w:r>
      <w:r>
        <w:rPr>
          <w:rFonts w:ascii="Times New Roman" w:hAnsi="Times New Roman"/>
          <w:sz w:val="20"/>
          <w:szCs w:val="20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  <w:tab w:val="left" w:pos="851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4.</w:t>
      </w:r>
      <w:r>
        <w:rPr>
          <w:rFonts w:ascii="Times New Roman" w:hAnsi="Times New Roman"/>
          <w:bCs/>
          <w:sz w:val="20"/>
          <w:szCs w:val="20"/>
        </w:rPr>
        <w:tab/>
        <w:t xml:space="preserve">При проверке СПД: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- день принятия Банком СПД.</w: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</w:t>
      </w:r>
      <w:r>
        <w:rPr>
          <w:rFonts w:ascii="Times New Roman" w:hAnsi="Times New Roman"/>
          <w:sz w:val="20"/>
          <w:szCs w:val="20"/>
        </w:rPr>
        <w:tab/>
        <w:t xml:space="preserve">При оформлении Банком СПД за клиента: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оформления Банком СПД.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</w:t>
      </w:r>
      <w:r>
        <w:rPr>
          <w:rFonts w:ascii="Times New Roman" w:hAnsi="Times New Roman"/>
          <w:sz w:val="20"/>
          <w:szCs w:val="20"/>
        </w:rPr>
        <w:tab/>
        <w:t xml:space="preserve">При снятии контракта (кредитного договора) с учета: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</w:t>
      </w:r>
      <w:r>
        <w:rPr>
          <w:rFonts w:ascii="Times New Roman" w:hAnsi="Times New Roman"/>
          <w:sz w:val="20"/>
          <w:szCs w:val="20"/>
        </w:rPr>
        <w:tab/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</w:t>
      </w:r>
      <w:r>
        <w:rPr>
          <w:rFonts w:ascii="Times New Roman" w:hAnsi="Times New Roman"/>
          <w:sz w:val="20"/>
          <w:szCs w:val="20"/>
        </w:rPr>
        <w:tab/>
        <w:t xml:space="preserve">При представлении клиенту копий документов из досье валютного контроля: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 xml:space="preserve">в другой уполномоченный банк либо при закрытии резидентом вс</w:t>
      </w:r>
      <w:r>
        <w:rPr>
          <w:rFonts w:ascii="Times New Roman" w:hAnsi="Times New Roman"/>
          <w:sz w:val="20"/>
          <w:szCs w:val="20"/>
        </w:rPr>
        <w:t xml:space="preserve">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4. Операции с ценными бумагами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>
        <w:tblPrEx/>
        <w:trPr/>
        <w:tc>
          <w:tcPr>
            <w:tcW w:w="8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2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4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головном офисе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571"/>
        </w:trPr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«Россельхозбанк» в региональных филиалах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«Д» со сроком обращения: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46" w:hanging="22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векселя, 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векселя,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 w:hanging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 более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Пересчет и проверка векселей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 серии «К» головным офисом и региональным филиалом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31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при передаче векселя АО «Россельхозбанк» в заклад Банку.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rFonts w:ascii="Times New Roman" w:hAnsi="Times New Roman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за один лист </w:t>
            </w:r>
            <w:r>
              <w:rPr>
                <w:rFonts w:ascii="Times New Roman" w:hAnsi="Times New Roman"/>
              </w:rPr>
              <w:br w:type="textWrapping" w:clear="all"/>
              <w:t xml:space="preserve">с односторонним расположением 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включает НДС.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копий документов производится в течение 7 дней с даты получения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Банковские реквизиты для оплаты комиссии (расходов по изготовлению копий документов, предоставляемых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jc w:val="center"/>
        <w:keepNext/>
        <w:spacing w:before="120" w:after="120"/>
        <w:rPr>
          <w:rFonts w:ascii="Times New Roman" w:hAnsi="Times New Roman" w:eastAsia="Times New Roman"/>
          <w:b/>
          <w:bCs/>
          <w:sz w:val="24"/>
          <w:szCs w:val="24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5. Документарные операции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tbl>
      <w:tblPr>
        <w:tblW w:w="5153" w:type="pct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3187"/>
        <w:gridCol w:w="2357"/>
        <w:gridCol w:w="364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п/п 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pct"/>
            <w:textDirection w:val="lrTb"/>
            <w:noWrap w:val="false"/>
          </w:tcPr>
          <w:p>
            <w:pPr>
              <w:ind w:right="17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Аккредитивы для расчетов на территории Российской Федерации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12" w:leader="none"/>
              </w:tabs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аккредитива;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12" w:leader="none"/>
              </w:tabs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0,1% от суммы аккредитива или ее увеличения,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минимум 1 000 руб.,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максимум 10 000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5.1.2.1.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rFonts w:ascii="Times New Roman" w:hAnsi="Times New Roman"/>
                <w:iCs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</w:t>
            </w:r>
            <w:r>
              <w:rPr>
                <w:rFonts w:ascii="Times New Roman" w:hAnsi="Times New Roman"/>
                <w:iCs/>
              </w:rPr>
              <w:t xml:space="preserve">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rFonts w:ascii="Times New Roman" w:hAnsi="Times New Roman"/>
                <w:iCs/>
              </w:rPr>
              <w:t xml:space="preserve">окончания текущего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 в рублях Российской Федерации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максимум 50 000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 в долларах 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5.1.2.2.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5.1.3.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5.1.3.1.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ascii="Times New Roman" w:hAnsi="Times New Roman"/>
                <w:iCs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аккредитива/неиспользованного остатка средств по аккредитиву 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комиссия </w:t>
            </w:r>
            <w:r>
              <w:rPr>
                <w:rFonts w:ascii="Times New Roman" w:hAnsi="Times New Roman"/>
                <w:iCs/>
              </w:rPr>
              <w:t xml:space="preserve">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5.1.3.2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аккредитивам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</w:rPr>
              <w:t xml:space="preserve">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</w:t>
            </w:r>
            <w:r>
              <w:rPr>
                <w:rFonts w:ascii="Times New Roman" w:hAnsi="Times New Roman" w:eastAsia="Times New Roman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5.1.6.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суммы, запрошенной к оплате, минимум 5000 руб., 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5.2.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1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5.2.1.1.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</w:t>
            </w:r>
            <w:r>
              <w:rPr>
                <w:rFonts w:ascii="Times New Roman" w:hAnsi="Times New Roman"/>
                <w:iCs/>
              </w:rPr>
              <w:t xml:space="preserve">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rFonts w:ascii="Times New Roman" w:hAnsi="Times New Roman"/>
                <w:iCs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rFonts w:ascii="Times New Roman" w:hAnsi="Times New Roman"/>
                <w:iCs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</w:t>
            </w:r>
            <w:r>
              <w:rPr>
                <w:rFonts w:ascii="Times New Roman" w:hAnsi="Times New Roman"/>
                <w:iCs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</w:t>
            </w:r>
            <w:r>
              <w:rPr>
                <w:rFonts w:ascii="Times New Roman" w:hAnsi="Times New Roman"/>
                <w:iCs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</w:rPr>
              <w:br/>
              <w:t xml:space="preserve">и не возвращается Банком.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 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 xml:space="preserve"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 в долларах 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 xml:space="preserve"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5.2.1.2.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12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</w:rPr>
              <w:t xml:space="preserve">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согласия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5.2.3.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максимум 350 000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5.2.4.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 за каждый комплект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на основании требования Банка.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5.2.5.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Перевод аккредитива в пользу другого бенефициара (трансферация);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трансферированной суммы или суммы её увеличения,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максимум 100 000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5.2.6.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согласия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трансферированному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5.3.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499" w:type="pct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hAnsi="Times New Roman" w:eastAsia="Times New Roman"/>
                <w:b/>
                <w:bCs/>
              </w:rPr>
              <w:br w:type="textWrapping" w:clear="all"/>
              <w:t xml:space="preserve">по внешнеторговым сделкам (экспортные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Предварительное авизование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 аккредитива или от суммы увеличения,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/>
              <w:t xml:space="preserve">минимум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максимум 75 000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5.3.3.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5.3.3.1.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следующий комиссионны</w:t>
            </w:r>
            <w:r>
              <w:rPr>
                <w:rFonts w:ascii="Times New Roman" w:hAnsi="Times New Roman"/>
                <w:iCs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rFonts w:ascii="Times New Roman" w:hAnsi="Times New Roman"/>
                <w:iCs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 неиспользованного остатка средств по аккредитиву/ тратты по состоянию на дату подтверждения/ на дату начала очередного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/>
                <w:iCs/>
              </w:rPr>
              <w:t xml:space="preserve">Комиссия уплачивается в дату подтверждения аккредитива/ в первый рабочий день соответст-вующего комиссионного периода.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</w:t>
            </w:r>
            <w:r>
              <w:rPr>
                <w:rFonts w:ascii="Times New Roman" w:hAnsi="Times New Roman"/>
                <w:iCs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5.3.3.2.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5.3.4.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запроса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5.3.5.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максимум 350 000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за обработку/ проверку каждого представления документов (в т.ч. если документы не приняты к оплате), исходя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5.3.6.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Перевод аккредитива в пользу другого бенефициара (трансферация);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трансферированной суммы или суммы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ее увеличения,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максимум 100</w:t>
            </w:r>
            <w:r>
              <w:rPr>
                <w:rFonts w:ascii="Times New Roman" w:hAnsi="Times New Roman" w:eastAsia="Times New Roman"/>
              </w:rPr>
              <w:t xml:space="preserve">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5.3.7.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запроса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5.4.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Документарное инкассо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0,15% от суммы,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</w:rPr>
              <w:t xml:space="preserve">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2 500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5.4.3.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0,15% от суммы,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</w:rPr>
              <w:t xml:space="preserve">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5.4.4.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Возврат неоплаченных/ неакцептованных документов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</w:rPr>
              <w:t xml:space="preserve"> за каждый комплект документов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</w:rPr>
              <w:t xml:space="preserve">.4.5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Запрос по инкассо по распоряжению клиента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2 500 руб.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jc w:val="both"/>
        <w:spacing w:before="40" w:after="4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* Под комиссионным периодом понимается период в 90 (девяносто) последовательных календарных дней.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</w:p>
    <w:p>
      <w:pPr>
        <w:jc w:val="both"/>
        <w:spacing w:before="40" w:after="120" w:line="240" w:lineRule="auto"/>
        <w:tabs>
          <w:tab w:val="left" w:pos="284" w:leader="none"/>
        </w:tabs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</w:p>
    <w:p>
      <w:pPr>
        <w:jc w:val="both"/>
        <w:spacing w:before="40" w:after="4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1.</w:t>
      </w:r>
      <w:r>
        <w:rPr>
          <w:rFonts w:ascii="Times New Roman" w:hAnsi="Times New Roman" w:eastAsia="Times New Roman"/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rFonts w:ascii="Times New Roman" w:hAnsi="Times New Roman" w:eastAsia="Times New Roman"/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4. Комиссионное вознаграждение по Р</w:t>
      </w:r>
      <w:r>
        <w:rPr>
          <w:rFonts w:ascii="Times New Roman" w:hAnsi="Times New Roman" w:eastAsia="Times New Roman"/>
          <w:sz w:val="20"/>
          <w:szCs w:val="20"/>
        </w:rPr>
        <w:t xml:space="preserve">азделам 5.2 «Документарные аккредитивы, открытые АО «Россельхозбанк» для расчетов по внешнеторговым сделкам (импортные аккредитивы)», 5.3 «Документарные аккредитивы, открытые другими банками для расчетов по внешнеторговым сделкам (экспортные аккредитивы)» </w:t>
      </w:r>
      <w:r>
        <w:rPr>
          <w:rFonts w:ascii="Times New Roman" w:hAnsi="Times New Roman" w:eastAsia="Times New Roman"/>
          <w:sz w:val="20"/>
          <w:szCs w:val="20"/>
        </w:rPr>
        <w:br w:type="textWrapping" w:clear="all"/>
        <w:t xml:space="preserve">и 5.4 «Документарное инкассо» начисляется в рублях Российской Федерации. По аккредитивам и инкассо в иностранной валюте комиссионное вознаграждение, выраженное в процентном отношен</w:t>
      </w:r>
      <w:r>
        <w:rPr>
          <w:rFonts w:ascii="Times New Roman" w:hAnsi="Times New Roman" w:eastAsia="Times New Roman"/>
          <w:sz w:val="20"/>
          <w:szCs w:val="20"/>
        </w:rPr>
        <w:t xml:space="preserve">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период), если иное не предусмотрено соглашением сторон.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7. </w:t>
      </w: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keepNext/>
        <w:spacing w:before="120" w:after="120"/>
        <w:rPr>
          <w:rFonts w:ascii="Times New Roman" w:hAnsi="Times New Roman" w:eastAsia="Times New Roman"/>
          <w:b/>
          <w:bCs/>
          <w:sz w:val="24"/>
          <w:szCs w:val="24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6. Гарантийные операции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tbl>
      <w:tblPr>
        <w:tblW w:w="10245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5216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</w:rPr>
              <w:br w:type="textWrapping" w:clear="all"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6.1.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Выдача банковской гарантии 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100"/>
              <w:ind w:firstLine="0"/>
              <w:jc w:val="both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 w:clear="all"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«Россельхозбанк» от 01.08.2013 № 386-ОД), а также полномочий </w:t>
            </w:r>
            <w:r>
              <w:rPr>
                <w:rFonts w:ascii="Times New Roman" w:hAnsi="Times New Roman"/>
              </w:rPr>
              <w:br w:type="textWrapping" w:clear="all"/>
              <w:t xml:space="preserve">по изменению размера комиссионного вознаграждения по гарантийным сделкам, предоставленных региональным филиалам в соответствии с п. 2.5 приказа Банка от 01.08.2013 </w:t>
            </w:r>
            <w:r>
              <w:rPr>
                <w:rFonts w:ascii="Times New Roman" w:hAnsi="Times New Roman"/>
              </w:rPr>
              <w:br w:type="textWrapping" w:clear="all"/>
              <w:t xml:space="preserve">№ 386-ОД.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6.2.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Изменение условий выдачи банковской гарантии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6.2.1.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Увеличение </w:t>
            </w:r>
            <w:r>
              <w:rPr>
                <w:rFonts w:ascii="Times New Roman" w:hAnsi="Times New Roman" w:eastAsia="Times New Roman"/>
              </w:rPr>
              <w:t xml:space="preserve">суммы и/или срока</w:t>
            </w:r>
            <w:r>
              <w:rPr>
                <w:rFonts w:ascii="Times New Roman" w:hAnsi="Times New Roman" w:eastAsia="Times New Roman"/>
                <w:bCs/>
              </w:rPr>
              <w:t xml:space="preserve"> гарантии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100"/>
              <w:ind w:firstLine="0"/>
              <w:jc w:val="both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</w:t>
            </w:r>
            <w:r>
              <w:rPr>
                <w:rFonts w:ascii="Times New Roman" w:hAnsi="Times New Roman"/>
              </w:rPr>
              <w:t xml:space="preserve">ожение 2 к приказу АО «Россельхозбанк» от 01.08.2013 № 386-ОД), а также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одновременном увеличении суммы и срока гарантии комиссия рассчитывается от суммы увеличения обязательства по гарантии за период с даты у</w:t>
            </w:r>
            <w:r>
              <w:rPr>
                <w:rFonts w:ascii="Times New Roman" w:hAnsi="Times New Roman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</w:t>
            </w:r>
            <w:r>
              <w:rPr>
                <w:rFonts w:ascii="Times New Roman" w:hAnsi="Times New Roman" w:eastAsia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]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6.2.2.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</w:rPr>
              <w:t xml:space="preserve">Генерального соглашения о выдаче банковских гарантий/ Соглашения о порядке и условиях выдачи банковской гарантии, а также </w:t>
            </w:r>
            <w:r>
              <w:rPr>
                <w:rFonts w:ascii="Times New Roman" w:hAnsi="Times New Roman" w:eastAsia="Times New Roman"/>
                <w:bCs/>
              </w:rPr>
              <w:t xml:space="preserve">условий гарантии, не указанных в п. 6.2.1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 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100"/>
              <w:ind w:firstLine="0"/>
              <w:jc w:val="both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в следующих случаях: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за выдачу гарантии не производится);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6.3.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20 000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</w:rPr>
              <w:outlineLvl w:val="8"/>
            </w:pPr>
            <w:r>
              <w:rPr>
                <w:rFonts w:ascii="Times New Roman" w:hAnsi="Times New Roman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6.4.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</w:rPr>
              <w:br w:type="textWrapping" w:clear="all"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6.5.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7 500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</w:rPr>
              <w:outlineLvl w:val="8"/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6.6.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6.7.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</w:tbl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/>
          <w:bCs/>
        </w:rPr>
        <w:outlineLvl w:val="3"/>
      </w:pP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jc w:val="both"/>
        <w:spacing w:before="40" w:after="120" w:line="240" w:lineRule="auto"/>
        <w:tabs>
          <w:tab w:val="left" w:pos="284" w:leader="none"/>
        </w:tabs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u w:val="single"/>
        </w:rPr>
        <w:t xml:space="preserve">Примечание к пунктам 6.3-6.7 Тарифов:</w:t>
      </w: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Cs/>
          <w:iCs/>
          <w:sz w:val="20"/>
          <w:szCs w:val="20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7. Дистанционное банковское обслуживание (ДБО)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06"/>
        <w:gridCol w:w="2584"/>
        <w:gridCol w:w="54"/>
        <w:gridCol w:w="2293"/>
        <w:gridCol w:w="3928"/>
      </w:tblGrid>
      <w:tr>
        <w:tblPrEx/>
        <w:trPr>
          <w:trHeight w:val="397"/>
        </w:trPr>
        <w:tc>
          <w:tcPr>
            <w:tcW w:w="120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58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885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Москве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22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</w:t>
            </w:r>
            <w:r>
              <w:rPr>
                <w:rFonts w:ascii="Times New Roman" w:hAnsi="Times New Roman"/>
              </w:rPr>
              <w:t xml:space="preserve">«Банк-Клиент»/«Интернет-Клиент»/ «Свой Бизнес».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Московской области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2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4 000 руб.</w:t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885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клиента на новую систему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клиента с «Интернет-Клиент» на 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88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Обслуживание системы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«Банк-Клиент»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5 000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hanging="1"/>
              <w:jc w:val="both"/>
              <w:spacing w:after="4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 xml:space="preserve">п. 7.3.1 за обслуживание системы дистанционного банковского обслуживания «Свой бизнес» не взимается з</w:t>
            </w:r>
            <w:r>
              <w:rPr>
                <w:rFonts w:ascii="Times New Roman" w:hAnsi="Times New Roman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hanging="1"/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«Интернет-Клиент»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«Мобильный банк»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900 руб. в месяц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0" w:firstLine="0"/>
              <w:spacing w:before="40" w:after="40" w:line="240" w:lineRule="auto"/>
              <w:tabs>
                <w:tab w:val="left" w:pos="526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для клиентов «Банк-Клиент»/ «Интернет-Клиент»/ </w:t>
            </w:r>
            <w:r>
              <w:rPr>
                <w:rFonts w:ascii="Times New Roman" w:hAnsi="Times New Roman"/>
                <w:bCs/>
              </w:rPr>
              <w:t xml:space="preserve">«Мобильный банк»/ 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0" w:firstLine="0"/>
              <w:spacing w:before="40" w:after="40" w:line="240" w:lineRule="auto"/>
              <w:tabs>
                <w:tab w:val="left" w:pos="526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соответствии с Федеральным законом от 29.07.2017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«О веден</w:t>
            </w:r>
            <w:r>
              <w:rPr>
                <w:rFonts w:ascii="Times New Roman" w:hAnsi="Times New Roman"/>
                <w:bCs/>
              </w:rPr>
              <w:t xml:space="preserve">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Федеральным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</w:t>
            </w:r>
            <w:r>
              <w:rPr>
                <w:rFonts w:ascii="Times New Roman" w:hAnsi="Times New Roman"/>
              </w:rPr>
              <w:t xml:space="preserve">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более одного клиента к одному автоматизированному рабочему месту системы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ДБО «Банк-Клиент»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2 000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месяц с каждого клиента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ind w:left="964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2 000 руб. в месяц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за каждое автоматизированное рабочее место, но не более 5 000 руб. с одного клиента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ind w:left="964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88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  <w:lang w:eastAsia="ru-RU"/>
              </w:rPr>
              <w:br w:type="textWrapping" w:clear="all"/>
              <w:t xml:space="preserve">АО «Россельхозбанк».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не предоставляется при подключении </w:t>
            </w:r>
            <w:r>
              <w:rPr>
                <w:rFonts w:ascii="Times New Roman" w:hAnsi="Times New Roman"/>
              </w:rPr>
              <w:t xml:space="preserve">к «Интернет-Клиент»/ 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</w:t>
            </w:r>
            <w:r>
              <w:rPr>
                <w:rFonts w:ascii="Times New Roman" w:hAnsi="Times New Roman"/>
              </w:rPr>
              <w:t xml:space="preserve">к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использо-ванием Личного кабинета услуга пре-доставляется в соответствии с п. 7.4.2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7.4.1.2.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815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120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2 050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день получения клиентом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</w:rPr>
              <w:t xml:space="preserve">к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120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</w:t>
            </w:r>
            <w:r>
              <w:rPr>
                <w:rFonts w:ascii="Times New Roman" w:hAnsi="Times New Roman"/>
              </w:rPr>
              <w:t xml:space="preserve">от даты заключения Удостоверяющего центра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/ заключения экспертной группы.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временного</w:t>
            </w:r>
            <w:r>
              <w:rPr>
                <w:rFonts w:ascii="Times New Roman" w:hAnsi="Times New Roman"/>
              </w:rPr>
              <w:t xml:space="preserve">/постоянного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2 0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7.6.1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 xml:space="preserve">по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 услуга предоставляется в соответствии с п. 7.6.1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временного/</w:t>
            </w:r>
            <w:r>
              <w:rPr>
                <w:rFonts w:ascii="Times New Roman" w:hAnsi="Times New Roman"/>
              </w:rPr>
              <w:t xml:space="preserve">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 xml:space="preserve">по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 предоставляется в соответствии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с п. 7.6.2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 к сервису проверки контрагентов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Услуга доступна в «Интернет-Клиент», «Мобильный банк», «Свой Бизнес»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  <w:t xml:space="preserve">в «Свой Бизнес»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W w:w="88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7.9.1.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за 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  <w:t xml:space="preserve">и за каждый телефонный номер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подключении Сервиса до 15-го числа календарного месяца комиссия за текущий месяц взимается в размере 100%. При подключении Сервиса </w:t>
            </w:r>
            <w:r>
              <w:rPr>
                <w:rFonts w:ascii="Times New Roman" w:hAnsi="Times New Roman"/>
              </w:rPr>
              <w:br w:type="textWrapping" w:clear="all"/>
              <w:t xml:space="preserve">с 15-го числа календарного месяца и позднее, комиссия за текущий месяц взимается в размере 50% от расчетной величины.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взимается независимо 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vMerge w:val="restart"/>
            <w:textDirection w:val="lrTb"/>
            <w:noWrap w:val="false"/>
          </w:tcPr>
          <w:p>
            <w:pPr>
              <w:jc w:val="center"/>
              <w:spacing w:before="4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7.10.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84" w:type="dxa"/>
            <w:vMerge w:val="restart"/>
            <w:textDirection w:val="lrTb"/>
            <w:noWrap w:val="false"/>
          </w:tcPr>
          <w:p>
            <w:pPr>
              <w:spacing w:before="4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2347" w:type="dxa"/>
            <w:vMerge w:val="restart"/>
            <w:textDirection w:val="lrTb"/>
            <w:noWrap w:val="false"/>
          </w:tcPr>
          <w:p>
            <w:pPr>
              <w:jc w:val="center"/>
              <w:spacing w:before="4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1206" w:type="dxa"/>
            <w:vMerge w:val="restart"/>
            <w:textDirection w:val="lrTb"/>
            <w:noWrap w:val="false"/>
          </w:tcPr>
          <w:p>
            <w:pPr>
              <w:jc w:val="center"/>
              <w:spacing w:before="4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7.11.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84" w:type="dxa"/>
            <w:vMerge w:val="restart"/>
            <w:textDirection w:val="lrTb"/>
            <w:noWrap w:val="false"/>
          </w:tcPr>
          <w:p>
            <w:pPr>
              <w:spacing w:before="4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2347" w:type="dxa"/>
            <w:vMerge w:val="restart"/>
            <w:textDirection w:val="lrTb"/>
            <w:noWrap w:val="false"/>
          </w:tcPr>
          <w:p>
            <w:pPr>
              <w:jc w:val="center"/>
              <w:spacing w:before="4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pStyle w:val="1090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090"/>
        <w:jc w:val="both"/>
        <w:rPr>
          <w:lang w:val="ru-RU"/>
        </w:rPr>
      </w:pPr>
      <w:r>
        <w:rPr>
          <w:lang w:val="ru-RU"/>
        </w:rPr>
        <w:t xml:space="preserve">* Под обязательствами перед АО «Россельхозбанк» по кредитным сделкам понимаются:</w:t>
      </w:r>
      <w:r>
        <w:rPr>
          <w:lang w:val="ru-RU"/>
        </w:rPr>
      </w:r>
      <w:r>
        <w:rPr>
          <w:lang w:val="ru-RU"/>
        </w:rPr>
      </w:r>
    </w:p>
    <w:p>
      <w:pPr>
        <w:pStyle w:val="1090"/>
        <w:rPr>
          <w:lang w:val="ru-RU"/>
        </w:rPr>
      </w:pPr>
      <w:r>
        <w:rPr>
          <w:lang w:val="ru-RU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before="40" w:beforeAutospacing="0" w:after="0" w:afterAutospacing="0" w:line="240" w:lineRule="auto"/>
        <w:tabs>
          <w:tab w:val="left" w:pos="1134" w:leader="none"/>
          <w:tab w:val="left" w:pos="5670" w:leader="none"/>
        </w:tabs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в соответствии с Федеральным законом от 29.11.2001 </w:t>
        <w:br/>
        <w:t xml:space="preserve">№ 156-ФЗ 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«Об инвестиционных фондах»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 или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en-US"/>
        </w:rPr>
        <w:t xml:space="preserve">Федеральным законом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от 07.05.1998 №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75-ФЗ «О негосударственных пенсионных фондах»,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en-US"/>
        </w:rPr>
        <w:t xml:space="preserve">».</w:t>
      </w: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28" w:beforeAutospacing="0" w:after="0" w:line="240" w:lineRule="auto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обслуживаются</w:t>
      </w:r>
      <w:r>
        <w:rPr>
          <w:rFonts w:ascii="Times New Roman" w:hAnsi="Times New Roman"/>
          <w:bCs/>
          <w:iCs/>
          <w:sz w:val="20"/>
          <w:szCs w:val="20"/>
        </w:rPr>
        <w:t xml:space="preserve">:</w:t>
      </w:r>
      <w:r>
        <w:rPr>
          <w:rFonts w:ascii="Times New Roman" w:hAnsi="Times New Roman"/>
          <w:bCs/>
          <w:iCs/>
          <w:sz w:val="20"/>
          <w:szCs w:val="20"/>
        </w:rPr>
      </w:r>
      <w:r>
        <w:rPr>
          <w:rFonts w:ascii="Times New Roman" w:hAnsi="Times New Roman"/>
          <w:bCs/>
          <w:i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rFonts w:ascii="Times New Roman" w:hAnsi="Times New Roman"/>
          <w:bCs/>
          <w:iCs/>
          <w:sz w:val="20"/>
          <w:szCs w:val="20"/>
        </w:rPr>
        <w:t xml:space="preserve">».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beforeAutospacing="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right="21"/>
        <w:jc w:val="both"/>
        <w:spacing w:before="40" w:beforeAutospacing="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 предприятий, основанн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right="21"/>
        <w:jc w:val="both"/>
        <w:spacing w:before="40" w:beforeAutospacing="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случае, если на момент оказания услуги клиент не имеет счетов, открыт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beforeAutospacing="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 xml:space="preserve">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единовременную операцию – 5 000 000 (Пять миллионов) рублей;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совершение операций в течение суток – 10 000 000 (Десять миллионов) рублей. Сутки – с 0:00 до 24:00 по московскому времени.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before="40" w:beforeAutospacing="0" w:after="0" w:afterAutospacing="0" w:line="240" w:lineRule="auto"/>
        <w:tabs>
          <w:tab w:val="left" w:pos="1134" w:leader="none"/>
          <w:tab w:val="left" w:pos="5670" w:leader="none"/>
        </w:tabs>
        <w:rPr>
          <w:rFonts w:ascii="Times New Roman" w:hAnsi="Times New Roman" w:cs="Times New Roman"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5.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rFonts w:ascii="Times New Roman" w:hAnsi="Times New Roman" w:eastAsia="Times New Roman" w:cs="Times New Roman"/>
          <w:b w:val="0"/>
          <w:bCs w:val="0"/>
          <w:iCs/>
          <w:sz w:val="20"/>
          <w:szCs w:val="20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 Условиями </w:t>
      </w:r>
      <w:r>
        <w:rPr>
          <w:rFonts w:ascii="Times New Roman" w:hAnsi="Times New Roman" w:eastAsia="Times New Roman" w:cs="Times New Roman"/>
          <w:b w:val="0"/>
          <w:bCs w:val="0"/>
          <w:iCs/>
          <w:sz w:val="20"/>
          <w:szCs w:val="20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в рамках Единого сервисного договора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 (Приложение 2.2 к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0"/>
          <w:szCs w:val="20"/>
          <w:highlight w:val="none"/>
        </w:rPr>
        <w:t xml:space="preserve">к Единому сер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0"/>
          <w:szCs w:val="20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0"/>
          <w:szCs w:val="20"/>
          <w:highlight w:val="none"/>
        </w:rPr>
        <w:t xml:space="preserve">ации частной практикой, в АО «Россельхозбанк»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).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pPr>
      <w:r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r>
      <w:r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r>
      <w:r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8. Хранение ценностей клиентов в хранилище ценностей Банка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(с учетом НДС)</w:t>
      </w:r>
      <w:r>
        <w:rPr>
          <w:rFonts w:ascii="Times New Roman" w:hAnsi="Times New Roman" w:eastAsia="Times New Roman"/>
          <w:b/>
          <w:bCs/>
          <w:lang w:eastAsia="ru-RU"/>
        </w:rPr>
      </w:r>
      <w:r>
        <w:rPr>
          <w:rFonts w:ascii="Times New Roman" w:hAnsi="Times New Roman" w:eastAsia="Times New Roman"/>
          <w:b/>
          <w:bCs/>
          <w:lang w:eastAsia="ru-RU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2693"/>
        <w:gridCol w:w="2693"/>
        <w:gridCol w:w="3828"/>
      </w:tblGrid>
      <w:tr>
        <w:tblPrEx/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Количество мест (мешков)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Срок хранения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 10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11 мест до 20 мест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105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21 места до 30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31 места до 40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center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Операции по предоставлению клиентам в аренду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индивидуальных сейфовых ячеек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в аренду индивидуальных сейфовых ячеек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50 до 74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75 до 124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24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125 до 169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27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170 до 299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33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300 до 515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46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9.1.6.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516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210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за каждое посещение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6 000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возврата ключа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за единицу банковской техники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t xml:space="preserve">10. Услуги инкассации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  <w:t xml:space="preserve">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Инкассация по договору с АО «Россельхозбанк»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10.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176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 w:hanging="34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0,15%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600 000,00** руб. (включительно),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360 руб.;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0,10%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с 600 000,01** руб. до 5 000 000,00* руб. (включительно);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менее 0,05%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с 5 000 000,01** руб. и выше»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before="4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lang w:val="en-US"/>
              </w:rPr>
            </w:r>
            <w:r>
              <w:rPr>
                <w:rFonts w:ascii="Times New Roman" w:hAnsi="Times New Roman"/>
                <w:bCs/>
                <w:lang w:val="en-US"/>
              </w:rPr>
            </w:r>
          </w:p>
          <w:p>
            <w:pPr>
              <w:ind w:left="-52"/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</w:t>
            </w:r>
            <w:r>
              <w:rPr>
                <w:rFonts w:ascii="Times New Roman" w:hAnsi="Times New Roman"/>
                <w:bCs/>
                <w:szCs w:val="20"/>
              </w:rPr>
              <w:br w:type="textWrapping" w:clear="all"/>
              <w:t xml:space="preserve">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0,2%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суммы, </w:t>
            </w:r>
            <w:r>
              <w:rPr>
                <w:rFonts w:ascii="Times New Roman" w:hAnsi="Times New Roman"/>
              </w:rPr>
              <w:br w:type="textWrapping" w:clear="all"/>
              <w:t xml:space="preserve">минимум 150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ind w:left="34"/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денежной наличности Банка России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122</w:t>
            </w:r>
            <w:r>
              <w:rPr>
                <w:rFonts w:ascii="Times New Roman" w:hAnsi="Times New Roman"/>
                <w:lang w:val="en-US"/>
              </w:rPr>
              <w:t xml:space="preserve">0</w:t>
            </w:r>
            <w:r>
              <w:rPr>
                <w:rFonts w:ascii="Times New Roman" w:hAnsi="Times New Roman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122</w:t>
            </w:r>
            <w:r>
              <w:rPr>
                <w:rFonts w:ascii="Times New Roman" w:hAnsi="Times New Roman"/>
                <w:lang w:val="en-US"/>
              </w:rPr>
              <w:t xml:space="preserve">0</w:t>
            </w:r>
            <w:r>
              <w:rPr>
                <w:rFonts w:ascii="Times New Roman" w:hAnsi="Times New Roman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jc w:val="both"/>
        <w:spacing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 xml:space="preserve">Примечание</w:t>
      </w:r>
      <w:r>
        <w:rPr>
          <w:rFonts w:ascii="Times New Roman" w:hAnsi="Times New Roman"/>
          <w:bCs/>
          <w:sz w:val="20"/>
        </w:rPr>
        <w:t xml:space="preserve">:</w: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 xml:space="preserve"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 xml:space="preserve"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keepNext/>
        <w:spacing w:after="120" w:line="240" w:lineRule="auto"/>
        <w:rPr>
          <w:rStyle w:val="1089"/>
          <w:b/>
          <w:bCs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11. Операции по покупке-продаже иностранной валюты</w:t>
      </w:r>
      <w:r>
        <w:rPr>
          <w:rStyle w:val="1089"/>
          <w:b/>
        </w:rPr>
        <w:t xml:space="preserve">1</w:t>
      </w:r>
      <w:r>
        <w:rPr>
          <w:rStyle w:val="1089"/>
          <w:b/>
          <w:bCs/>
        </w:rPr>
      </w:r>
      <w:r>
        <w:rPr>
          <w:rStyle w:val="1089"/>
          <w:b/>
          <w:bCs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1951"/>
        <w:gridCol w:w="2665"/>
      </w:tblGrid>
      <w:tr>
        <w:tblPrEx/>
        <w:trPr/>
        <w:tc>
          <w:tcPr>
            <w:gridSpan w:val="2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Курс исполнения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W w:w="4856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Комиссия (в % от суммы операции)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19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Сумма операции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665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Ставка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иностранной валюты клиентом за российские рубли</w:t>
            </w:r>
            <w:r>
              <w:rPr>
                <w:rStyle w:val="1089"/>
                <w:rFonts w:eastAsia="Times New Roman"/>
                <w:bCs/>
                <w:lang w:eastAsia="ru-RU"/>
              </w:rPr>
              <w:footnoteReference w:id="2"/>
            </w:r>
            <w:r>
              <w:rPr>
                <w:rStyle w:val="1089"/>
                <w:rFonts w:ascii="Symbol" w:hAnsi="Symbol" w:eastAsia="Symbol" w:cs="Symbol"/>
                <w:bCs/>
                <w:lang w:eastAsia="ru-RU"/>
              </w:rPr>
              <w:t xml:space="preserve">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91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219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ind w:left="12" w:hanging="12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иностранной валюты клиентом за российские рубли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029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91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22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Банк имеет право изменять Курс(ы) Банка и/или размер расчетной комиссии в течение дня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.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</w:p>
    <w:p>
      <w:pPr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12. Кредитные операции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0,8%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0,1%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 xml:space="preserve">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0,5% годовых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 w:line="240" w:lineRule="auto"/>
              <w:tabs>
                <w:tab w:val="left" w:pos="1276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 xml:space="preserve">действия льготных условий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089"/>
              </w:rPr>
              <w:footnoteReference w:id="3"/>
            </w:r>
            <w:r>
              <w:rPr>
                <w:rFonts w:ascii="Times New Roman" w:hAnsi="Times New Roman"/>
              </w:rPr>
              <w:t xml:space="preserve"> со дня, следующего за: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отлагательных условий выдачи кредитных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4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4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наличии отлагательных условий выдачи кредитных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9"/>
              <w:numPr>
                <w:ilvl w:val="0"/>
                <w:numId w:val="4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 xml:space="preserve">выдачи кредита/ транша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предусмотренном договором.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форме «овердрафт» 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089"/>
                <w:bCs/>
              </w:rPr>
              <w:footnoteReference w:id="4"/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изменении: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2) промежуточного (ых) срока(ов) возврата кредита: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 5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0,15%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6 до 30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0,35%;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0,7%;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свыше 60 календарных дней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br w:type="textWrapping" w:clear="all"/>
              <w:t xml:space="preserve">№ 540-П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0,8%;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свыше 100 000 000,01 руб. </w:t>
            </w:r>
            <w:r>
              <w:rPr>
                <w:rFonts w:ascii="Times New Roman" w:hAnsi="Times New Roman" w:eastAsia="Times New Roman"/>
                <w:bCs/>
              </w:rPr>
              <w:t xml:space="preserve">– не менее</w:t>
            </w:r>
            <w:r>
              <w:rPr>
                <w:rFonts w:ascii="Times New Roman" w:hAnsi="Times New Roman" w:eastAsia="Times New Roman"/>
                <w:bCs/>
                <w:i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0,15%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(при отсутствии графика погашения (возврата) кредита (основного долга</w:t>
            </w:r>
            <w:r>
              <w:rPr>
                <w:rFonts w:ascii="Times New Roman" w:hAnsi="Times New Roman" w:eastAsia="Times New Roman"/>
                <w:spacing w:val="-20"/>
                <w:lang w:eastAsia="ru-RU"/>
              </w:rPr>
              <w:t xml:space="preserve">)):</w:t>
            </w:r>
            <w:r>
              <w:rPr>
                <w:rFonts w:ascii="Times New Roman" w:hAnsi="Times New Roman"/>
                <w:spacing w:val="-20"/>
              </w:rPr>
            </w:r>
            <w:r>
              <w:rPr>
                <w:rFonts w:ascii="Times New Roman" w:hAnsi="Times New Roman"/>
                <w:spacing w:val="-20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180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1,0%;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3,5%;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7,0%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12.7.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/>
                <w:vertAlign w:val="superscript"/>
              </w:rPr>
              <w:footnoteReference w:id="5"/>
            </w:r>
            <w:r>
              <w:rPr>
                <w:rFonts w:ascii="Times New Roman" w:hAnsi="Times New Roman"/>
                <w:vertAlign w:val="superscript"/>
              </w:rPr>
              <w:t xml:space="preserve">,</w:t>
            </w:r>
            <w:r>
              <w:rPr>
                <w:rFonts w:ascii="Times New Roman" w:hAnsi="Times New Roman"/>
                <w:vertAlign w:val="superscript"/>
              </w:rPr>
              <w:footnoteReference w:id="6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форме «овердрафт»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Порядка кредитования АО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-при кредитовании в рамках решен</w:t>
            </w:r>
            <w:r>
              <w:rPr>
                <w:rFonts w:ascii="Times New Roman" w:hAnsi="Times New Roman"/>
                <w:bCs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</w:t>
            </w:r>
            <w:r>
              <w:rPr>
                <w:rFonts w:ascii="Times New Roman" w:hAnsi="Times New Roman"/>
                <w:bCs/>
              </w:rPr>
              <w:t xml:space="preserve">аемой</w:t>
            </w:r>
            <w:r>
              <w:rPr>
                <w:rFonts w:ascii="Times New Roman" w:hAnsi="Times New Roman"/>
                <w:bCs/>
              </w:rPr>
              <w:t xml:space="preserve">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hAnsi="Times New Roman" w:eastAsia="Times New Roman"/>
                <w:bCs/>
              </w:rPr>
              <w:t xml:space="preserve"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 уплачивается в дату досрочного в</w:t>
            </w:r>
            <w:r>
              <w:rPr>
                <w:rFonts w:ascii="Times New Roman" w:hAnsi="Times New Roman"/>
                <w:bCs/>
              </w:rPr>
              <w:t xml:space="preserve">озврата кредита либо его части.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 w:type="textWrapping" w:clear="all"/>
              <w:t xml:space="preserve">30 000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150 000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rFonts w:ascii="Times New Roman" w:hAnsi="Times New Roman"/>
                <w:bCs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 w:eastAsia="Times New Roman"/>
              </w:rPr>
              <w:t xml:space="preserve">рамках </w:t>
            </w:r>
            <w:r>
              <w:rPr>
                <w:rFonts w:ascii="Times New Roman" w:hAnsi="Times New Roman"/>
                <w:bCs/>
              </w:rPr>
              <w:t xml:space="preserve">реализации Программы стимулирования кредитования субъектов</w:t>
            </w:r>
            <w:r>
              <w:rPr>
                <w:rFonts w:ascii="Times New Roman" w:hAnsi="Times New Roman" w:eastAsia="Times New Roman"/>
              </w:rPr>
              <w:t xml:space="preserve"> малого и среднего предпринимательства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 w:eastAsia="Times New Roman"/>
              </w:rPr>
              <w:t xml:space="preserve">на период действия льготных условий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ind w:left="284"/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 xml:space="preserve"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ascii="Times New Roman" w:hAnsi="Times New Roman"/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: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Установление размера(ов) ком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t xml:space="preserve">Льготные программы, комиссии по которым не взимаются в соответствии с Перечнями 1-2:</w:t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правила пр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 w:type="textWrapping" w:clear="all"/>
        <w:t xml:space="preserve">от 05.12.2019 № 1598) (далее – ППРФ от 05.12.2019 № 1598);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им производство, первичную и (или) последующую (промышленную) переработку сельскохозяйственной продукции и ее реализацию, по льготной ставке (утв. постановлением Правительства Российской Федерации от 29.12.2016 № 1528) (далее – ППРФ от 29.12.2016 № 1528);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rFonts w:ascii="Times New Roman" w:hAnsi="Times New Roman"/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rFonts w:ascii="Times New Roman" w:hAnsi="Times New Roman"/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rFonts w:ascii="Times New Roman" w:hAnsi="Times New Roman"/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rFonts w:ascii="Times New Roman" w:hAnsi="Times New Roman"/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№ 1764);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rFonts w:ascii="Times New Roman" w:hAnsi="Times New Roman"/>
          <w:sz w:val="20"/>
          <w:szCs w:val="20"/>
        </w:rPr>
        <w:t xml:space="preserve">на прио</w:t>
      </w:r>
      <w:r>
        <w:rPr>
          <w:rFonts w:ascii="Times New Roman" w:hAnsi="Times New Roman"/>
          <w:sz w:val="20"/>
          <w:szCs w:val="20"/>
        </w:rPr>
        <w:t xml:space="preserve">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1570);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</w:t>
      </w:r>
      <w:r>
        <w:rPr>
          <w:rFonts w:ascii="Times New Roman" w:hAnsi="Times New Roman"/>
          <w:sz w:val="20"/>
          <w:szCs w:val="20"/>
        </w:rPr>
        <w:t xml:space="preserve">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/>
          <w:sz w:val="20"/>
          <w:szCs w:val="20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/>
          <w:sz w:val="20"/>
          <w:szCs w:val="20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постановлением Правительства Российской Федерации от 25.10.2023 № 1780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«Об утверждении Правил предоставл</w:t>
      </w:r>
      <w:r>
        <w:rPr>
          <w:rFonts w:ascii="Times New Roman" w:hAnsi="Times New Roman"/>
          <w:sz w:val="20"/>
          <w:szCs w:val="20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</w:t>
      </w:r>
      <w:r>
        <w:rPr>
          <w:rFonts w:ascii="Times New Roman" w:hAnsi="Times New Roman"/>
          <w:sz w:val="20"/>
          <w:szCs w:val="20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/>
          <w:sz w:val="20"/>
          <w:szCs w:val="20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1201-Р),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</w:t>
      </w:r>
      <w:r>
        <w:rPr>
          <w:rFonts w:ascii="Times New Roman" w:hAnsi="Times New Roman"/>
          <w:sz w:val="20"/>
          <w:szCs w:val="20"/>
        </w:rPr>
        <w:t xml:space="preserve">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</w:t>
      </w:r>
      <w:r>
        <w:rPr>
          <w:rFonts w:ascii="Times New Roman" w:hAnsi="Times New Roman"/>
          <w:sz w:val="20"/>
          <w:szCs w:val="20"/>
        </w:rPr>
        <w:t xml:space="preserve">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</w:t>
      </w:r>
      <w:r>
        <w:rPr>
          <w:rFonts w:ascii="Times New Roman" w:hAnsi="Times New Roman"/>
          <w:sz w:val="20"/>
          <w:szCs w:val="20"/>
        </w:rPr>
        <w:t xml:space="preserve">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кредитовании в рамках решения М</w:t>
      </w:r>
      <w:r>
        <w:rPr>
          <w:rFonts w:ascii="Times New Roman" w:hAnsi="Times New Roman"/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rFonts w:ascii="Times New Roman" w:hAnsi="Times New Roman"/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afterAutospacing="0" w:line="240" w:lineRule="auto"/>
        <w:rPr>
          <w:rFonts w:ascii="Times New Roman" w:hAnsi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</w:t>
      </w:r>
      <w:r>
        <w:rPr>
          <w:rFonts w:ascii="Times New Roman" w:hAnsi="Times New Roman"/>
          <w:sz w:val="20"/>
          <w:szCs w:val="20"/>
        </w:rPr>
        <w:t xml:space="preserve">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</w:t>
      </w:r>
      <w:r>
        <w:rPr>
          <w:rFonts w:ascii="Times New Roman" w:hAnsi="Times New Roman"/>
          <w:sz w:val="20"/>
          <w:szCs w:val="20"/>
        </w:rPr>
        <w:t xml:space="preserve">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№ 1780;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before="40" w:after="0" w:afterAutospacing="0" w:line="240" w:lineRule="auto"/>
        <w:rPr>
          <w:rFonts w:ascii="Times New Roman" w:hAnsi="Times New Roman"/>
          <w:sz w:val="20"/>
          <w:szCs w:val="20"/>
          <w14:ligatures w14:val="none"/>
        </w:rPr>
        <w:outlineLvl w:val="5"/>
        <w:suppressLineNumbers w:val="0"/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</w:t>
      </w:r>
      <w:r>
        <w:rPr>
          <w:rFonts w:ascii="Times New Roman" w:hAnsi="Times New Roman"/>
          <w:sz w:val="20"/>
          <w:szCs w:val="20"/>
        </w:rPr>
        <w:t xml:space="preserve">кредитовании </w:t>
      </w:r>
      <w:r>
        <w:rPr>
          <w:rFonts w:ascii="Times New Roman" w:hAnsi="Times New Roman"/>
          <w:sz w:val="20"/>
          <w:szCs w:val="20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/>
          <w:sz w:val="20"/>
          <w:szCs w:val="20"/>
        </w:rPr>
        <w:t xml:space="preserve">№ </w:t>
      </w:r>
      <w:hyperlink w:history="1">
        <w:r>
          <w:rPr>
            <w:rFonts w:ascii="Times New Roman" w:hAnsi="Times New Roman"/>
            <w:sz w:val="20"/>
            <w:szCs w:val="20"/>
          </w:rPr>
          <w:t xml:space="preserve">25-66428-01969-Р</w:t>
        </w:r>
      </w:hyperlink>
      <w:r>
        <w:rPr>
          <w:rFonts w:ascii="Times New Roman" w:hAnsi="Times New Roman"/>
          <w:sz w:val="20"/>
          <w:szCs w:val="20"/>
        </w:rPr>
        <w:t xml:space="preserve"> «</w:t>
      </w:r>
      <w:r>
        <w:rPr>
          <w:rFonts w:ascii="Times New Roman" w:hAnsi="Times New Roman"/>
          <w:sz w:val="20"/>
          <w:szCs w:val="20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/>
          <w:sz w:val="20"/>
          <w:szCs w:val="20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/>
          <w:sz w:val="20"/>
          <w:szCs w:val="20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rFonts w:ascii="Times New Roman" w:hAnsi="Times New Roman"/>
          <w:sz w:val="20"/>
          <w:szCs w:val="20"/>
        </w:rPr>
        <w:t xml:space="preserve">-Р), принятого в соответствии </w:t>
      </w:r>
      <w:r>
        <w:rPr>
          <w:rFonts w:ascii="Times New Roman" w:hAnsi="Times New Roman"/>
          <w:sz w:val="20"/>
          <w:szCs w:val="20"/>
        </w:rPr>
        <w:t xml:space="preserve">с ППРФ от 25.10.2023 № 1780</w:t>
      </w:r>
      <w:r>
        <w:rPr>
          <w:rFonts w:ascii="Times New Roman" w:hAnsi="Times New Roman"/>
          <w:sz w:val="20"/>
          <w:szCs w:val="20"/>
        </w:rPr>
        <w:t xml:space="preserve">;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jc w:val="both"/>
        <w:spacing w:before="40" w:after="0" w:afterAutospacing="0" w:line="240" w:lineRule="auto"/>
        <w:rPr>
          <w:rFonts w:ascii="Times New Roman" w:hAnsi="Times New Roman"/>
          <w:sz w:val="20"/>
          <w:szCs w:val="20"/>
          <w14:ligatures w14:val="none"/>
        </w:rPr>
        <w:outlineLvl w:val="5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t xml:space="preserve">- при </w:t>
      </w:r>
      <w:r>
        <w:rPr>
          <w:rFonts w:ascii="Times New Roman" w:hAnsi="Times New Roman"/>
          <w:sz w:val="20"/>
          <w:szCs w:val="20"/>
        </w:rPr>
        <w:t xml:space="preserve">кредитовании </w:t>
      </w:r>
      <w:r>
        <w:rPr>
          <w:rFonts w:ascii="Times New Roman" w:hAnsi="Times New Roman"/>
          <w:sz w:val="20"/>
          <w:szCs w:val="20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/>
          <w:sz w:val="20"/>
          <w:szCs w:val="20"/>
        </w:rPr>
        <w:t xml:space="preserve">№ </w:t>
      </w:r>
      <w:r>
        <w:rPr>
          <w:rFonts w:ascii="Times New Roman" w:hAnsi="Times New Roman"/>
          <w:sz w:val="20"/>
          <w:szCs w:val="20"/>
        </w:rPr>
        <w:t xml:space="preserve">25-68850-01698-Р</w:t>
      </w:r>
      <w:r>
        <w:rPr>
          <w:rFonts w:ascii="Times New Roman" w:hAnsi="Times New Roman"/>
          <w:sz w:val="20"/>
          <w:szCs w:val="20"/>
        </w:rPr>
        <w:t xml:space="preserve"> «Возмещение недополученных российскими кредитными организациями, междунаро</w:t>
      </w:r>
      <w:r>
        <w:rPr>
          <w:rFonts w:ascii="Times New Roman" w:hAnsi="Times New Roman"/>
          <w:sz w:val="20"/>
          <w:szCs w:val="20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/>
          <w:sz w:val="20"/>
          <w:szCs w:val="20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rFonts w:ascii="Times New Roman" w:hAnsi="Times New Roman"/>
          <w:sz w:val="20"/>
          <w:szCs w:val="20"/>
        </w:rPr>
        <w:t xml:space="preserve">ие № </w:t>
      </w:r>
      <w:r>
        <w:rPr>
          <w:rFonts w:ascii="Times New Roman" w:hAnsi="Times New Roman"/>
          <w:sz w:val="20"/>
          <w:szCs w:val="20"/>
        </w:rPr>
        <w:t xml:space="preserve">169</w:t>
      </w:r>
      <w:r>
        <w:rPr>
          <w:rFonts w:ascii="Times New Roman" w:hAnsi="Times New Roman"/>
          <w:sz w:val="20"/>
          <w:szCs w:val="20"/>
        </w:rPr>
        <w:t xml:space="preserve">8-Р</w:t>
      </w:r>
      <w:r>
        <w:rPr>
          <w:rFonts w:ascii="Times New Roman" w:hAnsi="Times New Roman"/>
          <w:sz w:val="20"/>
          <w:szCs w:val="20"/>
        </w:rPr>
        <w:t xml:space="preserve">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;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jc w:val="both"/>
        <w:spacing w:before="40" w:after="0" w:afterAutospacing="0" w:line="240" w:lineRule="auto"/>
        <w:rPr>
          <w:rFonts w:ascii="Times New Roman" w:hAnsi="Times New Roman"/>
          <w:sz w:val="20"/>
          <w:szCs w:val="20"/>
          <w:highlight w:val="none"/>
          <w14:ligatures w14:val="none"/>
        </w:rPr>
        <w:outlineLvl w:val="5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</w:t>
        <w:br/>
        <w:t xml:space="preserve">(далее – Решение № 2070-Р),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/>
          <w:sz w:val="20"/>
          <w:szCs w:val="20"/>
          <w:highlight w:val="none"/>
          <w14:ligatures w14:val="none"/>
        </w:rPr>
      </w:r>
    </w:p>
    <w:p>
      <w:pPr>
        <w:jc w:val="both"/>
        <w:spacing w:before="40" w:after="0" w:afterAutospacing="0" w:line="240" w:lineRule="auto"/>
        <w:rPr>
          <w:rFonts w:ascii="Times New Roman" w:hAnsi="Times New Roman"/>
          <w:sz w:val="20"/>
          <w:szCs w:val="20"/>
          <w14:ligatures w14:val="none"/>
        </w:rPr>
        <w:outlineLvl w:val="5"/>
      </w:pPr>
      <w:r>
        <w:rPr>
          <w:rFonts w:ascii="Times New Roman" w:hAnsi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4536"/>
      </w:tblGrid>
      <w:tr>
        <w:tblPrEx/>
        <w:trPr/>
        <w:tc>
          <w:tcPr>
            <w:shd w:val="clear" w:color="auto" w:fill="auto"/>
            <w:tcW w:w="9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93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</w:rPr>
              <w:t xml:space="preserve">Перечень льготных программ</w:t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93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Пункты раздела 12 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Кредитные операции»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vAlign w:val="center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vAlign w:val="center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от 25.10.2023 № 1780) 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536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536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536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spacing w:before="40" w:after="12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540"/>
        <w:jc w:val="both"/>
        <w:spacing w:before="40"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pP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  <w:t xml:space="preserve">13.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Обслуживание торгово-сервисных предприятий</w:t>
      </w:r>
      <w:r>
        <w:rPr>
          <w:rStyle w:val="1089"/>
          <w:rFonts w:eastAsia="Times New Roman"/>
          <w:b/>
          <w:sz w:val="24"/>
          <w:szCs w:val="24"/>
          <w:lang w:eastAsia="ru-RU"/>
        </w:rPr>
        <w:footnoteReference w:id="7"/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, принимающих к оплате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textWrapping" w:clear="all"/>
        <w:t xml:space="preserve">платежные карты, а также принимающих оплату через сервис быстрых платежей платежной системы Банка России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850"/>
      </w:tblGrid>
      <w:tr>
        <w:tblPrEx/>
        <w:trPr>
          <w:trHeight w:val="397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13.1.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left="28"/>
              <w:jc w:val="both"/>
              <w:spacing w:before="40" w:after="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Согласно </w:t>
            </w:r>
            <w:r>
              <w:rPr>
                <w:rFonts w:ascii="Times New Roman" w:hAnsi="Times New Roman"/>
              </w:rPr>
              <w:br w:type="textWrapping" w:clear="all"/>
              <w:t xml:space="preserve">Приложению к Тарифам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за совершение операции в сети Интернет: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C</w:t>
            </w:r>
            <w:r>
              <w:rPr>
                <w:rFonts w:ascii="Times New Roman" w:hAnsi="Times New Roman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 </w:t>
            </w:r>
            <w:r>
              <w:rPr>
                <w:rFonts w:ascii="Times New Roman" w:hAnsi="Times New Roman"/>
              </w:rPr>
              <w:t xml:space="preserve">«Национальная система платежных карт» и произво-дится исключительно на терри-тории Российской Федерации (кроме карт, выпущенных АО «Россельхозбанк»)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C</w:t>
            </w:r>
            <w:r>
              <w:rPr>
                <w:rFonts w:ascii="Times New Roman" w:hAnsi="Times New Roman"/>
              </w:rPr>
              <w:t xml:space="preserve"> использованием карты, выпу-щенной АО «Россельхозбанк» (JCB International, UnionPay International, национа</w:t>
            </w:r>
            <w:r>
              <w:rPr>
                <w:rFonts w:ascii="Times New Roman" w:hAnsi="Times New Roman"/>
              </w:rPr>
              <w:t xml:space="preserve">льная платежная система «Мир» и иные международные платежные системы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</w:t>
            </w:r>
            <w:r>
              <w:rPr>
                <w:rFonts w:ascii="Times New Roman" w:hAnsi="Times New Roman"/>
              </w:rPr>
              <w:t xml:space="preserve">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предприни-мателей и самозанятых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Государственные платежи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услуг медицинских и образовательных учреждений, платежи в пользу благотвори-тельных организац</w:t>
            </w:r>
            <w:r>
              <w:rPr>
                <w:rFonts w:ascii="Times New Roman" w:hAnsi="Times New Roman"/>
              </w:rPr>
              <w:t xml:space="preserve">ий, оплата услуг транспортной инфра-структуры, оплата телекомму-никационных, информацион-ных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назначе</w:t>
            </w:r>
            <w:r>
              <w:rPr>
                <w:rFonts w:ascii="Times New Roman" w:hAnsi="Times New Roman"/>
              </w:rPr>
              <w:t xml:space="preserve">-ния, исключая медтехнику, оплата услуг страховых компаний, перевод денежных средств на счета профессио-нальных участников рынка ценных бумаг и управляющих компаний инвестиционных фондов, паевых инвестицион-ных фондов и негосударствен-ных пенсионных фондов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жилищно-коммунальных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товаров (работ, услуг), не включенных в п.п. 13.5.1.1, 13.5.1.2 и 13.5.1.3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</w:t>
            </w:r>
            <w:r>
              <w:rPr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113" w:right="-113"/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13.6.1</w:t>
            </w:r>
            <w:r>
              <w:rPr>
                <w:rFonts w:ascii="Times New Roman" w:hAnsi="Times New Roman"/>
                <w:color w:val="000000"/>
              </w:rPr>
              <w:t xml:space="preserve">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лимит одного перевода – 999 999,99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13.6.2</w:t>
            </w:r>
            <w:r>
              <w:rPr>
                <w:rFonts w:ascii="Times New Roman" w:hAnsi="Times New Roman"/>
                <w:color w:val="000000"/>
              </w:rPr>
              <w:t xml:space="preserve">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jc w:val="both"/>
        <w:spacing w:before="240" w:after="12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sz w:val="16"/>
          <w:szCs w:val="16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  <w:t xml:space="preserve">14. Депозитарные услуги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t xml:space="preserve">*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val="en-US" w:eastAsia="ru-RU"/>
        </w:rPr>
        <w:t xml:space="preserve">*</w:t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64"/>
        <w:gridCol w:w="2959"/>
        <w:gridCol w:w="303"/>
        <w:gridCol w:w="1709"/>
        <w:gridCol w:w="1275"/>
        <w:gridCol w:w="2601"/>
      </w:tblGrid>
      <w:tr>
        <w:tblPrEx/>
        <w:trPr>
          <w:trHeight w:val="397"/>
        </w:trPr>
        <w:tc>
          <w:tcPr>
            <w:tcW w:w="537" w:type="pct"/>
            <w:vAlign w:val="center"/>
            <w:textDirection w:val="lrTb"/>
            <w:noWrap w:val="false"/>
          </w:tcPr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1646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outlineLvl w:val="7"/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1505" w:type="pct"/>
            <w:vAlign w:val="center"/>
            <w:textDirection w:val="lrTb"/>
            <w:noWrap w:val="false"/>
          </w:tcPr>
          <w:p>
            <w:pPr>
              <w:ind w:left="43" w:right="63"/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tcW w:w="1312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Административные операции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pStyle w:val="1092"/>
              <w:jc w:val="center"/>
              <w:spacing w:before="40" w:after="40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  <w:r>
              <w:rPr>
                <w:rFonts w:eastAsia="Arial Unicode MS"/>
                <w:iCs/>
                <w:sz w:val="22"/>
                <w:szCs w:val="22"/>
              </w:rPr>
            </w:r>
            <w:r>
              <w:rPr>
                <w:rFonts w:eastAsia="Arial Unicode MS"/>
                <w:iCs/>
                <w:sz w:val="22"/>
                <w:szCs w:val="22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</w:rPr>
              <w:t xml:space="preserve">100 руб. за каждый последующий счет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Открытие индивидуального раздела на междепозитарном счете АО «Россельхозбанк» в НКО АО НРД и в других депозитариях по поручению клиента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1 000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раздел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Ведение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iCs/>
              </w:rPr>
              <w:t xml:space="preserve">20 000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Хранение и учет ценных бумаг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300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- 0,06% годовых, минимум 300 руб. в месяц, свыше 50 млн. руб. - 0,05%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300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Cs/>
              </w:rPr>
              <w:t xml:space="preserve"> 0,07% годовых, минимум 300 руб. месяц, свыше 50 млн. руб.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Cs/>
              </w:rPr>
              <w:t xml:space="preserve">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300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Cs/>
              </w:rPr>
              <w:t xml:space="preserve"> 0,06% годовых, минимум 300 руб. в месяц, свыше 50 млн. руб. - 0,05% годовых, минимум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300 руб. в месяц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Хранение неэмиссионных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281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14.2.3.1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имеющих номинальную стоимость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До 300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0,07% годовых, минимум 300 руб. месяц, от 300 млн. руб. до 500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0,065% годовых, минимум 300 руб. в месяц, свыше 500 млн. руб.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0,06% годовых, минимум 300 руб. в месяц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не имеющих номинальную стоимость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1 000 руб. в месяц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Взимается ежеквартально независимо от количества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500 руб. в месяц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 xml:space="preserve">от количества паев)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 xml:space="preserve">от количества паев)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ascii="Times New Roman" w:hAnsi="Times New Roman" w:eastAsia="Times New Roman"/>
                <w:bCs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0,035%, годовых минимум 100 руб. в месяц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576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Депонентов*, </w:t>
            </w:r>
            <w:r>
              <w:rPr>
                <w:rFonts w:ascii="Times New Roman" w:hAnsi="Times New Roman"/>
                <w:bCs/>
                <w:iCs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</w:rPr>
              <w:br w:type="textWrapping" w:clear="all"/>
              <w:t xml:space="preserve">АО «Россельхозбанк» на брокерское обслуживание</w:t>
            </w:r>
            <w:r>
              <w:rPr>
                <w:rFonts w:ascii="Times New Roman" w:hAnsi="Times New Roman"/>
                <w:i/>
                <w:iCs/>
              </w:rPr>
            </w:r>
            <w:r>
              <w:rPr>
                <w:rFonts w:ascii="Times New Roman" w:hAnsi="Times New Roman"/>
                <w:i/>
                <w:iCs/>
              </w:rPr>
            </w:r>
          </w:p>
        </w:tc>
      </w:tr>
      <w:tr>
        <w:tblPrEx/>
        <w:trPr>
          <w:trHeight w:val="127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right w:val="single" w:color="000000" w:sz="4" w:space="0"/>
            </w:tcBorders>
            <w:tcW w:w="149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015" w:type="pct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089"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43" w:type="pct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годовых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312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trHeight w:val="328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14.2.7.1.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tcW w:w="1493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0,026% минимум 30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0,024 %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 до 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0,0197%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10 до 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0,0192%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 xml:space="preserve"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 xml:space="preserve">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</w:t>
            </w:r>
            <w:r>
              <w:rPr>
                <w:rFonts w:ascii="Times New Roman" w:hAnsi="Times New Roman"/>
                <w:lang w:val="en-US"/>
              </w:rPr>
              <w:t xml:space="preserve">72</w:t>
            </w:r>
            <w:r>
              <w:rPr>
                <w:rFonts w:ascii="Times New Roman" w:hAnsi="Times New Roman"/>
              </w:rPr>
              <w:t xml:space="preserve">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0,016%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минимум 30 руб. в месяц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0,5 до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0,014%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0,013%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7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3"/>
            <w:tcW w:w="165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0,035% годовых минимум 30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3"/>
            <w:tcW w:w="165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100 руб. в месяц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3"/>
            <w:tcW w:w="165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 xml:space="preserve">от количества паев)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33"/>
        </w:trPr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Прием/выдача сертификатов ценных бумаг на/с хранение(я)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сертификатов эмис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за каждый лист,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неэмиссионных ценных бумаг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за каждый лист, 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«поставка/получение, свободная от платежа»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600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«поставка/получение против платежа»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700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14.4.3.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shd w:val="clear" w:color="auto" w:fill="ffffff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before="40"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ценных бумаг по разделам счета депо (по счетам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«Россельхозбанк», открытым в других депозитариях)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14.4.7.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места хранения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14.4.8.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0,1% от суммы сделки,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максимум 5 000руб.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Операции по блокировке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.5.1.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9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50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98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уступки прав по договору залога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1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9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Корпоративные действия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Извещение о корпоративных действиях эмитентов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Оказание содействия в осуществлении депонентом прав по ценным бума</w:t>
            </w:r>
            <w:r>
              <w:rPr>
                <w:rFonts w:ascii="Times New Roman" w:hAnsi="Times New Roman" w:eastAsia="Times New Roman"/>
                <w:bCs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посредством электронного голосования (дистанционное участие)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hAnsi="Times New Roman" w:eastAsia="Times New Roman"/>
                <w:bCs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сумм доходов на счета, открытые в других банках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в рублях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350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pStyle w:val="1092"/>
              <w:jc w:val="center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 xml:space="preserve">2 000 руб.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sz w:val="22"/>
                <w:szCs w:val="22"/>
              </w:rPr>
              <w:t xml:space="preserve">1 000 руб. для номинальных держателей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Комиссии третьих банков взимаются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14.6.7.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Прочие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.7.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Отмена ранее предоставленного поручения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Информационные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Предоставление расшифровки о расчете комиссии за хранение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за период до 1 года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00 руб.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03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Ответ формируется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 бумажном носителе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за период от 1 года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(включительно)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 3-х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(включительно)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3 000 руб.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за период более 3-х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лет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5 00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руб.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Ответ на аудиторский запрос по счету депо Депонента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14.8.6.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pStyle w:val="929"/>
              <w:contextualSpacing w:val="0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Предоставление копий поручений,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</w:r>
          </w:p>
          <w:p>
            <w:pPr>
              <w:pStyle w:val="929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приложений, договоров и других документов (за исключением документов, указанных в п. 14.8.7 Тарифов) по запросу Депонента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pStyle w:val="929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На бумажном носителе - 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100 руб. за лист»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2"/>
                <w:szCs w:val="22"/>
              </w:rPr>
            </w:r>
          </w:p>
          <w:p>
            <w:pPr>
              <w:pStyle w:val="929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2"/>
                <w:szCs w:val="22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pStyle w:val="929"/>
              <w:contextualSpacing w:val="0"/>
              <w:ind w:left="164"/>
              <w:spacing w:before="40" w:after="40"/>
              <w:tabs>
                <w:tab w:val="left" w:pos="1134" w:leader="none"/>
              </w:tabs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.8.7.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</w:r>
          </w:p>
        </w:tc>
        <w:tc>
          <w:tcPr>
            <w:gridSpan w:val="2"/>
            <w:tcW w:w="1646" w:type="pct"/>
            <w:vMerge w:val="restart"/>
            <w:textDirection w:val="lrTb"/>
            <w:noWrap w:val="false"/>
          </w:tcPr>
          <w:p>
            <w:pPr>
              <w:pStyle w:val="929"/>
              <w:contextualSpacing w:val="0"/>
              <w:ind w:left="-6"/>
              <w:jc w:val="both"/>
              <w:spacing w:before="40" w:after="40"/>
              <w:tabs>
                <w:tab w:val="left" w:pos="0" w:leader="none"/>
              </w:tabs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Предоставление отчетов и выписок со счета депо по запросу Депонента 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(за исключением документов, указанных в 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 14.8.1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, 14.8.4 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 Тарифов)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</w:r>
          </w:p>
        </w:tc>
        <w:tc>
          <w:tcPr>
            <w:gridSpan w:val="2"/>
            <w:tcW w:w="1505" w:type="pct"/>
            <w:vMerge w:val="restart"/>
            <w:textDirection w:val="lrTb"/>
            <w:noWrap w:val="false"/>
          </w:tcPr>
          <w:p>
            <w:pPr>
              <w:pStyle w:val="929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На бумажном носителе - 15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0 руб.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за документ (без учета количества листов)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2"/>
                <w:szCs w:val="22"/>
              </w:rPr>
            </w:r>
          </w:p>
        </w:tc>
        <w:tc>
          <w:tcPr>
            <w:tcW w:w="1312" w:type="pct"/>
            <w:vMerge w:val="restar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</w:tbl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  <w:br w:type="page" w:clear="all"/>
        <w:t xml:space="preserve">15. Операции с монетами из драгоценных металлов </w:t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551"/>
        <w:gridCol w:w="2410"/>
      </w:tblGrid>
      <w:tr>
        <w:tblPrEx/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15.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176"/>
              <w:spacing w:after="0" w:line="240" w:lineRule="auto"/>
              <w:tabs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 и количество монет: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tabs>
                <w:tab w:val="center" w:pos="34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золото, качество чеканки «анциркулейтед», 7,78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300 до 499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до 999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1000 до 1499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1500 и более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center" w:pos="34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серебро, качество чеканки «анциркулейтед», 31,1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 w:firstLine="283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и более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98"/>
        <w:jc w:val="center"/>
        <w:spacing w:after="120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 xml:space="preserve">16. Операции с драгоценными металлами</w:t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585"/>
        <w:gridCol w:w="2552"/>
      </w:tblGrid>
      <w:tr>
        <w:tblPrEx/>
        <w:trPr/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  <w:t xml:space="preserve">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W w:w="8965" w:type="dxa"/>
            <w:textDirection w:val="lrTb"/>
            <w:noWrap w:val="false"/>
          </w:tcPr>
          <w:p>
            <w:pPr>
              <w:pStyle w:val="1098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16.1.5.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W w:w="8965" w:type="dxa"/>
            <w:textDirection w:val="lrTb"/>
            <w:noWrap w:val="false"/>
          </w:tcPr>
          <w:p>
            <w:pPr>
              <w:pStyle w:val="1098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банковским счетам в драгоценных металлах</w:t>
            </w:r>
            <w:r>
              <w:rPr>
                <w:rStyle w:val="1089"/>
                <w:sz w:val="22"/>
                <w:szCs w:val="22"/>
              </w:rPr>
              <w:footnoteReference w:id="10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банковский счет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Выдача слитков драгоценных металлов со списанием с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89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br w:type="textWrapping" w:clear="all"/>
                    <w:t xml:space="preserve">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89"/>
                <w:sz w:val="22"/>
                <w:szCs w:val="22"/>
              </w:rPr>
              <w:footnoteReference w:id="12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-425"/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  <w:outlineLvl w:val="3"/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jc w:val="center"/>
        <w:keepNext/>
        <w:spacing w:before="113" w:after="113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17. Обслуживание с использованием Торговой системы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textWrapping" w:clear="all"/>
        <w:t xml:space="preserve">РСХБ-Дилинг АО «Россельхозбанк», Торговой системы РСХБ-Дилинг 2.0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02"/>
        <w:gridCol w:w="2890"/>
        <w:gridCol w:w="1790"/>
        <w:gridCol w:w="4129"/>
      </w:tblGrid>
      <w:tr>
        <w:tblPrEx/>
        <w:trPr>
          <w:trHeight w:val="397"/>
        </w:trPr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17.1.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3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17.1.3.1.1.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17.1.3.1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.5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1 730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компрометацией ключа электронной подписи на новом функциональном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17.1.5.2.1.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17.2.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2.0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17.2.1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4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17.2.2.5.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случае, если на момент оказания услуги клиент не имеет счетов, открыт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firstLine="540"/>
        <w:jc w:val="both"/>
        <w:spacing w:before="40"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pP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18. Операции с использованием цифрового рубля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34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843"/>
        <w:gridCol w:w="4111"/>
      </w:tblGrid>
      <w:tr>
        <w:tblPrEx/>
        <w:trPr/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Тариф 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18.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18.1.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hAnsi="Times New Roman" w:eastAsia="Times New Roman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8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18.2.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8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ind w:left="-425" w:right="-284" w:firstLine="709"/>
        <w:jc w:val="both"/>
        <w:spacing w:before="120"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* Срок действия – до 31.12.2025 (включительно).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851" w:bottom="709" w:left="1134" w:header="568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10000000000000000"/>
  </w:font>
  <w:font w:name="Wingdings">
    <w:panose1 w:val="05000000000000000000"/>
  </w:font>
  <w:font w:name="Courier New">
    <w:panose1 w:val="02070409020205020404"/>
  </w:font>
  <w:font w:name="TimesET"/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90"/>
        <w:jc w:val="both"/>
        <w:rPr>
          <w:lang w:val="ru-RU"/>
        </w:rPr>
      </w:pPr>
      <w:r>
        <w:rPr>
          <w:rStyle w:val="1089"/>
        </w:rPr>
        <w:footnoteRef/>
      </w:r>
      <w:r>
        <w:rPr>
          <w:rStyle w:val="1089"/>
          <w:rFonts w:ascii="Symbol" w:hAnsi="Symbol" w:eastAsia="Symbol" w:cs="Symbol"/>
        </w:rPr>
        <w:t xml:space="preserve"></w:t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lang w:val="ru-RU"/>
        </w:rPr>
      </w:r>
      <w:r>
        <w:rPr>
          <w:lang w:val="ru-RU"/>
        </w:rPr>
      </w:r>
    </w:p>
  </w:footnote>
  <w:footnote w:id="3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4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 xml:space="preserve">В</w:t>
      </w:r>
      <w:r>
        <w:rPr>
          <w:bCs/>
          <w:sz w:val="18"/>
          <w:szCs w:val="18"/>
          <w:lang w:val="ru-RU"/>
        </w:rPr>
        <w:t xml:space="preserve"> том числе при установлении коммерческой ставки по кредиту</w:t>
      </w:r>
      <w:r>
        <w:rPr>
          <w:bCs/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 xml:space="preserve">(части кредита)</w:t>
      </w:r>
      <w:r>
        <w:rPr>
          <w:bCs/>
          <w:sz w:val="18"/>
          <w:szCs w:val="18"/>
          <w:lang w:val="ru-RU"/>
        </w:rPr>
        <w:t xml:space="preserve"> в рамках льготных программ.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5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6">
    <w:p>
      <w:pPr>
        <w:pStyle w:val="1090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В соответствии с пунктом 1</w:t>
      </w:r>
      <w:r>
        <w:rPr>
          <w:sz w:val="18"/>
          <w:szCs w:val="18"/>
          <w:lang w:val="ru-RU"/>
        </w:rPr>
        <w:t xml:space="preserve">0.2</w:t>
      </w:r>
      <w:r>
        <w:rPr>
          <w:sz w:val="18"/>
          <w:szCs w:val="18"/>
          <w:lang w:val="ru-RU"/>
        </w:rPr>
        <w:t xml:space="preserve"> приказа АО «Россельхозбанк» от 01.08.2013 № 386-ОД.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7">
    <w:p>
      <w:pPr>
        <w:pStyle w:val="929"/>
        <w:ind w:left="0"/>
        <w:jc w:val="both"/>
        <w:spacing w:after="0" w:line="240" w:lineRule="auto"/>
        <w:tabs>
          <w:tab w:val="left" w:pos="426" w:leader="none"/>
        </w:tabs>
        <w:rPr>
          <w:sz w:val="20"/>
          <w:szCs w:val="20"/>
        </w:rPr>
      </w:pPr>
      <w:r>
        <w:rPr>
          <w:rStyle w:val="108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Под </w:t>
      </w:r>
      <w:r>
        <w:rPr>
          <w:rFonts w:ascii="Times New Roman" w:hAnsi="Times New Roman"/>
          <w:sz w:val="20"/>
          <w:szCs w:val="20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sz w:val="20"/>
          <w:szCs w:val="20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</w:t>
      </w:r>
      <w:r>
        <w:rPr>
          <w:rFonts w:ascii="Times New Roman" w:hAnsi="Times New Roman"/>
          <w:sz w:val="20"/>
          <w:szCs w:val="20"/>
        </w:rPr>
        <w:t xml:space="preserve">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8">
    <w:p>
      <w:pPr>
        <w:pStyle w:val="1090"/>
        <w:jc w:val="both"/>
        <w:rPr>
          <w:lang w:val="ru-RU"/>
        </w:rPr>
      </w:pPr>
      <w:r>
        <w:rPr>
          <w:rStyle w:val="1089"/>
        </w:rPr>
        <w:footnoteRef/>
      </w:r>
      <w:r>
        <w:rPr>
          <w:rStyle w:val="1089"/>
          <w:lang w:val="ru-RU"/>
        </w:rPr>
        <w:t xml:space="preserve">**</w:t>
      </w:r>
      <w:r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>
        <w:rPr>
          <w:lang w:val="ru-RU"/>
        </w:rPr>
      </w:r>
      <w:r>
        <w:rPr>
          <w:lang w:val="ru-RU"/>
        </w:rPr>
      </w:r>
    </w:p>
  </w:footnote>
  <w:footnote w:id="9">
    <w:p>
      <w:pPr>
        <w:ind w:right="-17"/>
        <w:jc w:val="both"/>
        <w:spacing w:after="0" w:line="240" w:lineRule="auto"/>
        <w:tabs>
          <w:tab w:val="left" w:pos="4464" w:leader="none"/>
          <w:tab w:val="left" w:pos="5760" w:leader="none"/>
        </w:tabs>
        <w:rPr>
          <w:rFonts w:ascii="Times New Roman" w:hAnsi="Times New Roman"/>
          <w:sz w:val="20"/>
          <w:szCs w:val="20"/>
          <w:highlight w:val="none"/>
        </w:rPr>
      </w:pPr>
      <w:r>
        <w:rPr>
          <w:rStyle w:val="108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rFonts w:ascii="Times New Roman" w:hAnsi="Times New Roman"/>
          <w:bCs/>
          <w:sz w:val="20"/>
          <w:szCs w:val="20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rPr>
          <w:rFonts w:ascii="Times New Roman" w:hAnsi="Times New Roman" w:cs="Times New Roman"/>
          <w:iCs/>
          <w:highlight w:val="none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 xml:space="preserve">* 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</w:rPr>
        <w:t xml:space="preserve">В настоящем разделе термин «Депонент» используется в значении, определенном ст. 7 Федерального закона от 22.04.1996 № 39-ФЗ «О рынке ценных бумаг».</w:t>
      </w:r>
      <w:r>
        <w:rPr>
          <w:rFonts w:ascii="Times New Roman" w:hAnsi="Times New Roman" w:eastAsia="Times New Roman" w:cs="Times New Roman"/>
          <w:iCs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iCs/>
          <w:sz w:val="20"/>
          <w:szCs w:val="20"/>
          <w:highlight w:val="none"/>
        </w:rPr>
      </w:r>
    </w:p>
    <w:p>
      <w:pPr>
        <w:ind w:right="-17"/>
        <w:jc w:val="both"/>
        <w:spacing w:after="0" w:line="240" w:lineRule="auto"/>
        <w:tabs>
          <w:tab w:val="left" w:pos="4464" w:leader="none"/>
          <w:tab w:val="left" w:pos="576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/>
    </w:p>
  </w:footnote>
  <w:footnote w:id="10">
    <w:p>
      <w:pPr>
        <w:pStyle w:val="1090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1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2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3"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Style w:val="1089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</w:t>
      </w:r>
      <w:r>
        <w:rPr>
          <w:rFonts w:ascii="Times New Roman" w:hAnsi="Times New Roman"/>
          <w:bCs/>
          <w:sz w:val="20"/>
          <w:szCs w:val="20"/>
        </w:rPr>
        <w:t xml:space="preserve"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</w:footnote>
  <w:footnote w:id="14"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108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доступа к Торговой системе РСХБ-Дилинг 2.0 – уникальное имя Клиента в Торговой системе </w:t>
      </w:r>
      <w:r>
        <w:rPr>
          <w:rFonts w:ascii="Times New Roman" w:hAnsi="Times New Roman"/>
          <w:bCs/>
          <w:sz w:val="20"/>
          <w:szCs w:val="20"/>
        </w:rPr>
        <w:br w:type="textWrapping" w:clear="all"/>
        <w:t xml:space="preserve">РСХБ-Дилинг 2.0, обеспечивающее в сочетании с паролем однозначную аутентификацию Клиента в Торговой системе РСХБ-Дилинг 2.0.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27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10"/>
  </w:num>
  <w:num w:numId="5">
    <w:abstractNumId w:val="4"/>
  </w:num>
  <w:num w:numId="6">
    <w:abstractNumId w:val="10"/>
  </w:num>
  <w:num w:numId="7">
    <w:abstractNumId w:val="4"/>
  </w:num>
  <w:num w:numId="8">
    <w:abstractNumId w:val="0"/>
  </w:num>
  <w:num w:numId="9">
    <w:abstractNumId w:val="13"/>
  </w:num>
  <w:num w:numId="10">
    <w:abstractNumId w:val="15"/>
  </w:num>
  <w:num w:numId="11">
    <w:abstractNumId w:val="12"/>
  </w:num>
  <w:num w:numId="12">
    <w:abstractNumId w:val="3"/>
  </w:num>
  <w:num w:numId="13">
    <w:abstractNumId w:val="16"/>
  </w:num>
  <w:num w:numId="14">
    <w:abstractNumId w:val="11"/>
  </w:num>
  <w:num w:numId="15">
    <w:abstractNumId w:val="17"/>
  </w:num>
  <w:num w:numId="16">
    <w:abstractNumId w:val="14"/>
  </w:num>
  <w:num w:numId="17">
    <w:abstractNumId w:val="7"/>
  </w:num>
  <w:num w:numId="18">
    <w:abstractNumId w:val="1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5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9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92">
    <w:name w:val="Heading 1"/>
    <w:basedOn w:val="891"/>
    <w:next w:val="891"/>
    <w:link w:val="92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93">
    <w:name w:val="Heading 2"/>
    <w:basedOn w:val="891"/>
    <w:next w:val="891"/>
    <w:link w:val="92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94">
    <w:name w:val="Heading 3"/>
    <w:basedOn w:val="891"/>
    <w:next w:val="891"/>
    <w:link w:val="9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95">
    <w:name w:val="Heading 4"/>
    <w:basedOn w:val="891"/>
    <w:next w:val="891"/>
    <w:link w:val="92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96">
    <w:name w:val="Heading 5"/>
    <w:basedOn w:val="891"/>
    <w:next w:val="891"/>
    <w:link w:val="92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97">
    <w:name w:val="Heading 6"/>
    <w:basedOn w:val="891"/>
    <w:next w:val="891"/>
    <w:link w:val="92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98">
    <w:name w:val="Heading 7"/>
    <w:basedOn w:val="891"/>
    <w:next w:val="891"/>
    <w:link w:val="9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99">
    <w:name w:val="Heading 8"/>
    <w:basedOn w:val="891"/>
    <w:next w:val="891"/>
    <w:link w:val="9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900">
    <w:name w:val="Heading 9"/>
    <w:basedOn w:val="891"/>
    <w:next w:val="891"/>
    <w:link w:val="92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1" w:default="1">
    <w:name w:val="Default Paragraph Font"/>
    <w:uiPriority w:val="1"/>
    <w:semiHidden/>
    <w:unhideWhenUsed/>
  </w:style>
  <w:style w:type="table" w:styleId="9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3" w:default="1">
    <w:name w:val="No List"/>
    <w:uiPriority w:val="99"/>
    <w:semiHidden/>
    <w:unhideWhenUsed/>
  </w:style>
  <w:style w:type="character" w:styleId="904" w:customStyle="1">
    <w:name w:val="Heading 1 Char"/>
    <w:basedOn w:val="901"/>
    <w:uiPriority w:val="9"/>
    <w:rPr>
      <w:rFonts w:ascii="Arial" w:hAnsi="Arial" w:eastAsia="Arial" w:cs="Arial"/>
      <w:sz w:val="40"/>
      <w:szCs w:val="40"/>
    </w:rPr>
  </w:style>
  <w:style w:type="character" w:styleId="905" w:customStyle="1">
    <w:name w:val="Heading 2 Char"/>
    <w:basedOn w:val="901"/>
    <w:uiPriority w:val="9"/>
    <w:rPr>
      <w:rFonts w:ascii="Arial" w:hAnsi="Arial" w:eastAsia="Arial" w:cs="Arial"/>
      <w:sz w:val="34"/>
    </w:rPr>
  </w:style>
  <w:style w:type="character" w:styleId="906" w:customStyle="1">
    <w:name w:val="Heading 3 Char"/>
    <w:basedOn w:val="901"/>
    <w:uiPriority w:val="9"/>
    <w:rPr>
      <w:rFonts w:ascii="Arial" w:hAnsi="Arial" w:eastAsia="Arial" w:cs="Arial"/>
      <w:sz w:val="30"/>
      <w:szCs w:val="30"/>
    </w:rPr>
  </w:style>
  <w:style w:type="character" w:styleId="907" w:customStyle="1">
    <w:name w:val="Heading 4 Char"/>
    <w:basedOn w:val="901"/>
    <w:uiPriority w:val="9"/>
    <w:rPr>
      <w:rFonts w:ascii="Arial" w:hAnsi="Arial" w:eastAsia="Arial" w:cs="Arial"/>
      <w:b/>
      <w:bCs/>
      <w:sz w:val="26"/>
      <w:szCs w:val="26"/>
    </w:rPr>
  </w:style>
  <w:style w:type="character" w:styleId="908" w:customStyle="1">
    <w:name w:val="Heading 5 Char"/>
    <w:basedOn w:val="901"/>
    <w:uiPriority w:val="9"/>
    <w:rPr>
      <w:rFonts w:ascii="Arial" w:hAnsi="Arial" w:eastAsia="Arial" w:cs="Arial"/>
      <w:b/>
      <w:bCs/>
      <w:sz w:val="24"/>
      <w:szCs w:val="24"/>
    </w:rPr>
  </w:style>
  <w:style w:type="character" w:styleId="909" w:customStyle="1">
    <w:name w:val="Heading 6 Char"/>
    <w:basedOn w:val="901"/>
    <w:uiPriority w:val="9"/>
    <w:rPr>
      <w:rFonts w:ascii="Arial" w:hAnsi="Arial" w:eastAsia="Arial" w:cs="Arial"/>
      <w:b/>
      <w:bCs/>
      <w:sz w:val="22"/>
      <w:szCs w:val="22"/>
    </w:rPr>
  </w:style>
  <w:style w:type="character" w:styleId="910" w:customStyle="1">
    <w:name w:val="Heading 7 Char"/>
    <w:basedOn w:val="9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11" w:customStyle="1">
    <w:name w:val="Heading 8 Char"/>
    <w:basedOn w:val="901"/>
    <w:uiPriority w:val="9"/>
    <w:rPr>
      <w:rFonts w:ascii="Arial" w:hAnsi="Arial" w:eastAsia="Arial" w:cs="Arial"/>
      <w:i/>
      <w:iCs/>
      <w:sz w:val="22"/>
      <w:szCs w:val="22"/>
    </w:rPr>
  </w:style>
  <w:style w:type="character" w:styleId="912" w:customStyle="1">
    <w:name w:val="Heading 9 Char"/>
    <w:basedOn w:val="901"/>
    <w:uiPriority w:val="9"/>
    <w:rPr>
      <w:rFonts w:ascii="Arial" w:hAnsi="Arial" w:eastAsia="Arial" w:cs="Arial"/>
      <w:i/>
      <w:iCs/>
      <w:sz w:val="21"/>
      <w:szCs w:val="21"/>
    </w:rPr>
  </w:style>
  <w:style w:type="character" w:styleId="913" w:customStyle="1">
    <w:name w:val="Title Char"/>
    <w:basedOn w:val="901"/>
    <w:uiPriority w:val="10"/>
    <w:rPr>
      <w:sz w:val="48"/>
      <w:szCs w:val="48"/>
    </w:rPr>
  </w:style>
  <w:style w:type="character" w:styleId="914" w:customStyle="1">
    <w:name w:val="Subtitle Char"/>
    <w:basedOn w:val="901"/>
    <w:uiPriority w:val="11"/>
    <w:rPr>
      <w:sz w:val="24"/>
      <w:szCs w:val="24"/>
    </w:rPr>
  </w:style>
  <w:style w:type="character" w:styleId="915" w:customStyle="1">
    <w:name w:val="Quote Char"/>
    <w:uiPriority w:val="29"/>
    <w:rPr>
      <w:i/>
    </w:rPr>
  </w:style>
  <w:style w:type="character" w:styleId="916" w:customStyle="1">
    <w:name w:val="Intense Quote Char"/>
    <w:uiPriority w:val="30"/>
    <w:rPr>
      <w:i/>
    </w:rPr>
  </w:style>
  <w:style w:type="character" w:styleId="917" w:customStyle="1">
    <w:name w:val="Header Char"/>
    <w:basedOn w:val="901"/>
    <w:uiPriority w:val="99"/>
  </w:style>
  <w:style w:type="character" w:styleId="918" w:customStyle="1">
    <w:name w:val="Footnote Text Char"/>
    <w:uiPriority w:val="99"/>
    <w:rPr>
      <w:sz w:val="18"/>
    </w:rPr>
  </w:style>
  <w:style w:type="character" w:styleId="919" w:customStyle="1">
    <w:name w:val="Endnote Text Char"/>
    <w:uiPriority w:val="99"/>
    <w:rPr>
      <w:sz w:val="20"/>
    </w:rPr>
  </w:style>
  <w:style w:type="character" w:styleId="920" w:customStyle="1">
    <w:name w:val="Заголовок 1 Знак"/>
    <w:link w:val="892"/>
    <w:uiPriority w:val="9"/>
    <w:rPr>
      <w:rFonts w:ascii="Arial" w:hAnsi="Arial" w:eastAsia="Arial" w:cs="Arial"/>
      <w:sz w:val="40"/>
      <w:szCs w:val="40"/>
    </w:rPr>
  </w:style>
  <w:style w:type="character" w:styleId="921" w:customStyle="1">
    <w:name w:val="Заголовок 2 Знак"/>
    <w:link w:val="893"/>
    <w:uiPriority w:val="9"/>
    <w:rPr>
      <w:rFonts w:ascii="Arial" w:hAnsi="Arial" w:eastAsia="Arial" w:cs="Arial"/>
      <w:sz w:val="34"/>
    </w:rPr>
  </w:style>
  <w:style w:type="character" w:styleId="922" w:customStyle="1">
    <w:name w:val="Заголовок 3 Знак"/>
    <w:link w:val="894"/>
    <w:uiPriority w:val="9"/>
    <w:rPr>
      <w:rFonts w:ascii="Arial" w:hAnsi="Arial" w:eastAsia="Arial" w:cs="Arial"/>
      <w:sz w:val="30"/>
      <w:szCs w:val="30"/>
    </w:rPr>
  </w:style>
  <w:style w:type="character" w:styleId="923" w:customStyle="1">
    <w:name w:val="Заголовок 4 Знак"/>
    <w:link w:val="895"/>
    <w:uiPriority w:val="9"/>
    <w:rPr>
      <w:rFonts w:ascii="Arial" w:hAnsi="Arial" w:eastAsia="Arial" w:cs="Arial"/>
      <w:b/>
      <w:bCs/>
      <w:sz w:val="26"/>
      <w:szCs w:val="26"/>
    </w:rPr>
  </w:style>
  <w:style w:type="character" w:styleId="924" w:customStyle="1">
    <w:name w:val="Заголовок 5 Знак"/>
    <w:link w:val="896"/>
    <w:uiPriority w:val="9"/>
    <w:rPr>
      <w:rFonts w:ascii="Arial" w:hAnsi="Arial" w:eastAsia="Arial" w:cs="Arial"/>
      <w:b/>
      <w:bCs/>
      <w:sz w:val="24"/>
      <w:szCs w:val="24"/>
    </w:rPr>
  </w:style>
  <w:style w:type="character" w:styleId="925" w:customStyle="1">
    <w:name w:val="Заголовок 6 Знак"/>
    <w:link w:val="897"/>
    <w:uiPriority w:val="9"/>
    <w:rPr>
      <w:rFonts w:ascii="Arial" w:hAnsi="Arial" w:eastAsia="Arial" w:cs="Arial"/>
      <w:b/>
      <w:bCs/>
      <w:sz w:val="22"/>
      <w:szCs w:val="22"/>
    </w:rPr>
  </w:style>
  <w:style w:type="character" w:styleId="926" w:customStyle="1">
    <w:name w:val="Заголовок 7 Знак"/>
    <w:link w:val="8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27" w:customStyle="1">
    <w:name w:val="Заголовок 8 Знак"/>
    <w:link w:val="899"/>
    <w:uiPriority w:val="9"/>
    <w:rPr>
      <w:rFonts w:ascii="Arial" w:hAnsi="Arial" w:eastAsia="Arial" w:cs="Arial"/>
      <w:i/>
      <w:iCs/>
      <w:sz w:val="22"/>
      <w:szCs w:val="22"/>
    </w:rPr>
  </w:style>
  <w:style w:type="character" w:styleId="928" w:customStyle="1">
    <w:name w:val="Заголовок 9 Знак"/>
    <w:link w:val="900"/>
    <w:uiPriority w:val="9"/>
    <w:rPr>
      <w:rFonts w:ascii="Arial" w:hAnsi="Arial" w:eastAsia="Arial" w:cs="Arial"/>
      <w:i/>
      <w:iCs/>
      <w:sz w:val="21"/>
      <w:szCs w:val="21"/>
    </w:rPr>
  </w:style>
  <w:style w:type="paragraph" w:styleId="929">
    <w:name w:val="List Paragraph"/>
    <w:basedOn w:val="891"/>
    <w:uiPriority w:val="34"/>
    <w:qFormat/>
    <w:pPr>
      <w:contextualSpacing/>
      <w:ind w:left="720"/>
    </w:pPr>
  </w:style>
  <w:style w:type="paragraph" w:styleId="930">
    <w:name w:val="No Spacing"/>
    <w:uiPriority w:val="1"/>
    <w:qFormat/>
    <w:rPr>
      <w:lang w:eastAsia="zh-CN"/>
    </w:rPr>
  </w:style>
  <w:style w:type="paragraph" w:styleId="931">
    <w:name w:val="Title"/>
    <w:basedOn w:val="891"/>
    <w:next w:val="891"/>
    <w:link w:val="932"/>
    <w:uiPriority w:val="10"/>
    <w:qFormat/>
    <w:pPr>
      <w:contextualSpacing/>
      <w:spacing w:before="300"/>
    </w:pPr>
    <w:rPr>
      <w:sz w:val="48"/>
      <w:szCs w:val="48"/>
    </w:rPr>
  </w:style>
  <w:style w:type="character" w:styleId="932" w:customStyle="1">
    <w:name w:val="Заголовок Знак"/>
    <w:link w:val="931"/>
    <w:uiPriority w:val="10"/>
    <w:rPr>
      <w:sz w:val="48"/>
      <w:szCs w:val="48"/>
    </w:rPr>
  </w:style>
  <w:style w:type="paragraph" w:styleId="933">
    <w:name w:val="Subtitle"/>
    <w:basedOn w:val="891"/>
    <w:next w:val="891"/>
    <w:link w:val="934"/>
    <w:uiPriority w:val="11"/>
    <w:qFormat/>
    <w:pPr>
      <w:spacing w:before="200"/>
    </w:pPr>
    <w:rPr>
      <w:sz w:val="24"/>
      <w:szCs w:val="24"/>
    </w:rPr>
  </w:style>
  <w:style w:type="character" w:styleId="934" w:customStyle="1">
    <w:name w:val="Подзаголовок Знак"/>
    <w:link w:val="933"/>
    <w:uiPriority w:val="11"/>
    <w:rPr>
      <w:sz w:val="24"/>
      <w:szCs w:val="24"/>
    </w:rPr>
  </w:style>
  <w:style w:type="paragraph" w:styleId="935">
    <w:name w:val="Quote"/>
    <w:basedOn w:val="891"/>
    <w:next w:val="891"/>
    <w:link w:val="936"/>
    <w:uiPriority w:val="29"/>
    <w:qFormat/>
    <w:pPr>
      <w:ind w:left="720" w:right="720"/>
    </w:pPr>
    <w:rPr>
      <w:i/>
    </w:rPr>
  </w:style>
  <w:style w:type="character" w:styleId="936" w:customStyle="1">
    <w:name w:val="Цитата 2 Знак"/>
    <w:link w:val="935"/>
    <w:uiPriority w:val="29"/>
    <w:rPr>
      <w:i/>
    </w:rPr>
  </w:style>
  <w:style w:type="paragraph" w:styleId="937">
    <w:name w:val="Intense Quote"/>
    <w:basedOn w:val="891"/>
    <w:next w:val="891"/>
    <w:link w:val="9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8" w:customStyle="1">
    <w:name w:val="Выделенная цитата Знак"/>
    <w:link w:val="937"/>
    <w:uiPriority w:val="30"/>
    <w:rPr>
      <w:i/>
    </w:rPr>
  </w:style>
  <w:style w:type="paragraph" w:styleId="939">
    <w:name w:val="Header"/>
    <w:basedOn w:val="891"/>
    <w:link w:val="9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0" w:customStyle="1">
    <w:name w:val="Верхний колонтитул Знак"/>
    <w:link w:val="939"/>
    <w:uiPriority w:val="99"/>
  </w:style>
  <w:style w:type="paragraph" w:styleId="941">
    <w:name w:val="Footer"/>
    <w:basedOn w:val="891"/>
    <w:link w:val="109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2" w:customStyle="1">
    <w:name w:val="Footer Char"/>
    <w:uiPriority w:val="99"/>
  </w:style>
  <w:style w:type="paragraph" w:styleId="943">
    <w:name w:val="Caption"/>
    <w:basedOn w:val="891"/>
    <w:next w:val="891"/>
    <w:link w:val="944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944" w:customStyle="1">
    <w:name w:val="Caption Char"/>
    <w:uiPriority w:val="99"/>
  </w:style>
  <w:style w:type="table" w:styleId="945">
    <w:name w:val="Table Grid"/>
    <w:basedOn w:val="902"/>
    <w:uiPriority w:val="59"/>
    <w:tblPr/>
  </w:style>
  <w:style w:type="table" w:styleId="94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98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103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103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103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103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103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103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103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1071">
    <w:name w:val="Hyperlink"/>
    <w:rPr>
      <w:rFonts w:cs="Times New Roman"/>
      <w:color w:val="0000ff"/>
      <w:u w:val="single"/>
    </w:rPr>
  </w:style>
  <w:style w:type="paragraph" w:styleId="1072">
    <w:name w:val="footnote text"/>
    <w:basedOn w:val="891"/>
    <w:link w:val="1073"/>
    <w:uiPriority w:val="99"/>
    <w:semiHidden/>
    <w:unhideWhenUsed/>
    <w:pPr>
      <w:spacing w:after="40" w:line="240" w:lineRule="auto"/>
    </w:pPr>
    <w:rPr>
      <w:sz w:val="18"/>
    </w:rPr>
  </w:style>
  <w:style w:type="character" w:styleId="1073" w:customStyle="1">
    <w:name w:val="Текст сноски Знак"/>
    <w:link w:val="1072"/>
    <w:uiPriority w:val="99"/>
    <w:rPr>
      <w:sz w:val="18"/>
    </w:rPr>
  </w:style>
  <w:style w:type="character" w:styleId="1074">
    <w:name w:val="footnote reference"/>
    <w:uiPriority w:val="99"/>
    <w:unhideWhenUsed/>
    <w:rPr>
      <w:vertAlign w:val="superscript"/>
    </w:rPr>
  </w:style>
  <w:style w:type="paragraph" w:styleId="1075">
    <w:name w:val="endnote text"/>
    <w:basedOn w:val="891"/>
    <w:link w:val="1076"/>
    <w:uiPriority w:val="99"/>
    <w:semiHidden/>
    <w:unhideWhenUsed/>
    <w:pPr>
      <w:spacing w:after="0" w:line="240" w:lineRule="auto"/>
    </w:pPr>
    <w:rPr>
      <w:sz w:val="20"/>
    </w:rPr>
  </w:style>
  <w:style w:type="character" w:styleId="1076" w:customStyle="1">
    <w:name w:val="Текст концевой сноски Знак"/>
    <w:link w:val="1075"/>
    <w:uiPriority w:val="99"/>
    <w:rPr>
      <w:sz w:val="20"/>
    </w:rPr>
  </w:style>
  <w:style w:type="character" w:styleId="1077">
    <w:name w:val="endnote reference"/>
    <w:uiPriority w:val="99"/>
    <w:semiHidden/>
    <w:unhideWhenUsed/>
    <w:rPr>
      <w:vertAlign w:val="superscript"/>
    </w:rPr>
  </w:style>
  <w:style w:type="paragraph" w:styleId="1078">
    <w:name w:val="toc 1"/>
    <w:basedOn w:val="891"/>
    <w:next w:val="891"/>
    <w:uiPriority w:val="39"/>
    <w:unhideWhenUsed/>
    <w:pPr>
      <w:spacing w:after="57"/>
    </w:pPr>
  </w:style>
  <w:style w:type="paragraph" w:styleId="1079">
    <w:name w:val="toc 2"/>
    <w:basedOn w:val="891"/>
    <w:next w:val="891"/>
    <w:uiPriority w:val="39"/>
    <w:unhideWhenUsed/>
    <w:pPr>
      <w:ind w:left="283"/>
      <w:spacing w:after="57"/>
    </w:pPr>
  </w:style>
  <w:style w:type="paragraph" w:styleId="1080">
    <w:name w:val="toc 3"/>
    <w:basedOn w:val="891"/>
    <w:next w:val="891"/>
    <w:uiPriority w:val="39"/>
    <w:unhideWhenUsed/>
    <w:pPr>
      <w:ind w:left="567"/>
      <w:spacing w:after="57"/>
    </w:pPr>
  </w:style>
  <w:style w:type="paragraph" w:styleId="1081">
    <w:name w:val="toc 4"/>
    <w:basedOn w:val="891"/>
    <w:next w:val="891"/>
    <w:uiPriority w:val="39"/>
    <w:unhideWhenUsed/>
    <w:pPr>
      <w:ind w:left="850"/>
      <w:spacing w:after="57"/>
    </w:pPr>
  </w:style>
  <w:style w:type="paragraph" w:styleId="1082">
    <w:name w:val="toc 5"/>
    <w:basedOn w:val="891"/>
    <w:next w:val="891"/>
    <w:uiPriority w:val="39"/>
    <w:unhideWhenUsed/>
    <w:pPr>
      <w:ind w:left="1134"/>
      <w:spacing w:after="57"/>
    </w:pPr>
  </w:style>
  <w:style w:type="paragraph" w:styleId="1083">
    <w:name w:val="toc 6"/>
    <w:basedOn w:val="891"/>
    <w:next w:val="891"/>
    <w:uiPriority w:val="39"/>
    <w:unhideWhenUsed/>
    <w:pPr>
      <w:ind w:left="1417"/>
      <w:spacing w:after="57"/>
    </w:pPr>
  </w:style>
  <w:style w:type="paragraph" w:styleId="1084">
    <w:name w:val="toc 7"/>
    <w:basedOn w:val="891"/>
    <w:next w:val="891"/>
    <w:uiPriority w:val="39"/>
    <w:unhideWhenUsed/>
    <w:pPr>
      <w:ind w:left="1701"/>
      <w:spacing w:after="57"/>
    </w:pPr>
  </w:style>
  <w:style w:type="paragraph" w:styleId="1085">
    <w:name w:val="toc 8"/>
    <w:basedOn w:val="891"/>
    <w:next w:val="891"/>
    <w:uiPriority w:val="39"/>
    <w:unhideWhenUsed/>
    <w:pPr>
      <w:ind w:left="1984"/>
      <w:spacing w:after="57"/>
    </w:pPr>
  </w:style>
  <w:style w:type="paragraph" w:styleId="1086">
    <w:name w:val="toc 9"/>
    <w:basedOn w:val="891"/>
    <w:next w:val="891"/>
    <w:uiPriority w:val="39"/>
    <w:unhideWhenUsed/>
    <w:pPr>
      <w:ind w:left="2268"/>
      <w:spacing w:after="57"/>
    </w:pPr>
  </w:style>
  <w:style w:type="paragraph" w:styleId="1087">
    <w:name w:val="TOC Heading"/>
    <w:uiPriority w:val="39"/>
    <w:unhideWhenUsed/>
    <w:rPr>
      <w:lang w:eastAsia="zh-CN"/>
    </w:rPr>
  </w:style>
  <w:style w:type="paragraph" w:styleId="1088">
    <w:name w:val="table of figures"/>
    <w:basedOn w:val="891"/>
    <w:next w:val="891"/>
    <w:uiPriority w:val="99"/>
    <w:unhideWhenUsed/>
    <w:pPr>
      <w:spacing w:after="0"/>
    </w:pPr>
  </w:style>
  <w:style w:type="character" w:styleId="1089" w:customStyle="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qFormat/>
    <w:rPr>
      <w:rFonts w:ascii="Times New Roman" w:hAnsi="Times New Roman" w:cs="Times New Roman"/>
      <w:vertAlign w:val="superscript"/>
    </w:rPr>
  </w:style>
  <w:style w:type="paragraph" w:styleId="1090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891"/>
    <w:link w:val="1091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1091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09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92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1093">
    <w:name w:val="Balloon Text"/>
    <w:basedOn w:val="891"/>
    <w:link w:val="109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1094" w:customStyle="1">
    <w:name w:val="Текст выноски Знак"/>
    <w:link w:val="1093"/>
    <w:uiPriority w:val="99"/>
    <w:semiHidden/>
    <w:rPr>
      <w:rFonts w:ascii="Tahoma" w:hAnsi="Tahoma" w:cs="Tahoma"/>
      <w:sz w:val="16"/>
      <w:szCs w:val="16"/>
    </w:rPr>
  </w:style>
  <w:style w:type="paragraph" w:styleId="1095" w:customStyle="1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891"/>
    <w:link w:val="10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96" w:customStyle="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basedOn w:val="901"/>
    <w:link w:val="1095"/>
    <w:uiPriority w:val="99"/>
  </w:style>
  <w:style w:type="character" w:styleId="1097" w:customStyle="1">
    <w:name w:val="Нижний колонтитул Знак"/>
    <w:basedOn w:val="901"/>
    <w:link w:val="941"/>
    <w:uiPriority w:val="99"/>
  </w:style>
  <w:style w:type="paragraph" w:styleId="1098" w:customStyle="1">
    <w:name w:val="Нормальный"/>
    <w:rPr>
      <w:rFonts w:ascii="TimesET" w:hAnsi="TimesET" w:eastAsia="Times New Roman" w:cs="TimesET"/>
      <w:b/>
      <w:bCs/>
      <w:i/>
      <w:iCs/>
      <w:smallCaps/>
      <w:sz w:val="24"/>
      <w:szCs w:val="24"/>
    </w:rPr>
  </w:style>
  <w:style w:type="paragraph" w:styleId="1099">
    <w:name w:val="Revision"/>
    <w:hidden/>
    <w:uiPriority w:val="99"/>
    <w:semiHidden/>
    <w:rPr>
      <w:sz w:val="22"/>
      <w:szCs w:val="22"/>
      <w:lang w:eastAsia="en-US"/>
    </w:rPr>
  </w:style>
  <w:style w:type="paragraph" w:styleId="1100" w:customStyle="1">
    <w:name w:val="ConsNormal"/>
    <w:pPr>
      <w:ind w:firstLine="720"/>
      <w:widowControl w:val="off"/>
    </w:pPr>
    <w:rPr>
      <w:rFonts w:ascii="Arial" w:hAnsi="Arial" w:eastAsia="Times New Roman" w:cs="Arial"/>
    </w:rPr>
  </w:style>
  <w:style w:type="character" w:styleId="1101">
    <w:name w:val="annotation reference"/>
    <w:uiPriority w:val="99"/>
    <w:semiHidden/>
    <w:unhideWhenUsed/>
    <w:rPr>
      <w:sz w:val="16"/>
      <w:szCs w:val="16"/>
    </w:rPr>
  </w:style>
  <w:style w:type="paragraph" w:styleId="1102">
    <w:name w:val="annotation text"/>
    <w:basedOn w:val="891"/>
    <w:link w:val="1103"/>
    <w:uiPriority w:val="99"/>
    <w:semiHidden/>
    <w:unhideWhenUsed/>
    <w:rPr>
      <w:sz w:val="20"/>
      <w:szCs w:val="20"/>
    </w:rPr>
  </w:style>
  <w:style w:type="character" w:styleId="1103" w:customStyle="1">
    <w:name w:val="Текст примечания Знак"/>
    <w:link w:val="1102"/>
    <w:uiPriority w:val="99"/>
    <w:semiHidden/>
    <w:rPr>
      <w:lang w:eastAsia="en-US"/>
    </w:rPr>
  </w:style>
  <w:style w:type="paragraph" w:styleId="1104">
    <w:name w:val="annotation subject"/>
    <w:basedOn w:val="1102"/>
    <w:next w:val="1102"/>
    <w:link w:val="1105"/>
    <w:uiPriority w:val="99"/>
    <w:semiHidden/>
    <w:unhideWhenUsed/>
    <w:rPr>
      <w:b/>
      <w:bCs/>
    </w:rPr>
  </w:style>
  <w:style w:type="character" w:styleId="1105" w:customStyle="1">
    <w:name w:val="Тема примечания Знак"/>
    <w:link w:val="1104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revision>12</cp:revision>
  <dcterms:created xsi:type="dcterms:W3CDTF">2024-12-23T12:07:00Z</dcterms:created>
  <dcterms:modified xsi:type="dcterms:W3CDTF">2025-11-25T06:40:08Z</dcterms:modified>
  <cp:version>1048576</cp:version>
</cp:coreProperties>
</file>