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899"/>
      </w:tblGrid>
      <w:tr>
        <w:tblPrEx/>
        <w:trPr>
          <w:jc w:val="center"/>
          <w:trHeight w:val="2880"/>
        </w:trPr>
        <w:tc>
          <w:tcPr>
            <w:tcW w:w="5000" w:type="pct"/>
            <w:textDirection w:val="lrTb"/>
            <w:noWrap w:val="false"/>
          </w:tcPr>
          <w:p>
            <w:pPr>
              <w:jc w:val="center"/>
              <w:tabs>
                <w:tab w:val="left" w:pos="9210" w:leader="none"/>
              </w:tabs>
              <w:rPr>
                <w:rFonts w:ascii="Cambria" w:hAnsi="Cambria"/>
                <w:caps/>
                <w:sz w:val="32"/>
                <w:szCs w:val="32"/>
              </w:rPr>
            </w:pPr>
            <w:r/>
            <w:bookmarkStart w:id="0" w:name="_Toc458611410"/>
            <w:r/>
            <w:bookmarkStart w:id="1" w:name="_GoBack"/>
            <w:r/>
            <w:bookmarkEnd w:id="1"/>
            <w:r>
              <w:rPr>
                <w:rFonts w:ascii="Cambria" w:hAnsi="Cambria"/>
                <w:caps/>
                <w:sz w:val="32"/>
                <w:szCs w:val="32"/>
              </w:rPr>
              <w:t xml:space="preserve">ИРКУТСКИЙ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jc w:val="center"/>
              <w:tabs>
                <w:tab w:val="left" w:pos="9210" w:leader="none"/>
              </w:tabs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jc w:val="center"/>
              <w:tabs>
                <w:tab w:val="left" w:pos="9210" w:leader="none"/>
              </w:tabs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ind w:left="566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49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5664"/>
              <w:spacing w:after="200" w:line="276" w:lineRule="auto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ind w:left="5664"/>
              <w:spacing w:after="200" w:line="276" w:lineRule="auto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ТАРИФЫ КОМИССИОННОГО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ВОЗНАГРАЖДЕНИЯ НА УСЛУГИ АО </w:t>
            </w:r>
            <w:r>
              <w:rPr>
                <w:rFonts w:ascii="Cambria" w:hAnsi="Cambria"/>
                <w:caps/>
                <w:sz w:val="46"/>
                <w:szCs w:val="46"/>
              </w:rPr>
              <w:t xml:space="preserve">«РОССЕЛЬХОЗБАНК» </w:t>
            </w:r>
            <w:r>
              <w:rPr>
                <w:rFonts w:ascii="Cambria" w:hAnsi="Cambria"/>
                <w:sz w:val="46"/>
                <w:szCs w:val="46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ИНДИВИДУАЛЬНЫМ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ЛИЦАМ, ЗАНИМАЮЩИМСЯ В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  <w:p>
            <w:pPr>
              <w:pStyle w:val="1070"/>
              <w:jc w:val="center"/>
              <w:rPr>
                <w:rFonts w:ascii="Cambria" w:hAnsi="Cambria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ЧАСТНОЙ ПРАКТИКОЙ</w:t>
            </w:r>
            <w:r>
              <w:rPr>
                <w:rFonts w:ascii="Cambria" w:hAnsi="Cambria"/>
                <w:sz w:val="46"/>
                <w:szCs w:val="46"/>
              </w:rPr>
            </w:r>
            <w:r>
              <w:rPr>
                <w:rFonts w:ascii="Cambria" w:hAnsi="Cambria"/>
                <w:sz w:val="46"/>
                <w:szCs w:val="46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70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pStyle w:val="107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26.11.2025г.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pPr>
        <w:rPr>
          <w:szCs w:val="22"/>
          <w:lang w:eastAsia="en-US"/>
        </w:rPr>
      </w:pPr>
      <w:r>
        <w:rPr>
          <w:szCs w:val="22"/>
          <w:lang w:eastAsia="en-US"/>
        </w:rPr>
      </w:r>
      <w:r>
        <w:rPr>
          <w:szCs w:val="22"/>
          <w:lang w:eastAsia="en-US"/>
        </w:rPr>
      </w:r>
      <w:r>
        <w:rPr>
          <w:szCs w:val="22"/>
          <w:lang w:eastAsia="en-US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69110" cy="1211580"/>
                <wp:effectExtent l="0" t="0" r="2540" b="7620"/>
                <wp:docPr id="1" name="Рисунок 1" descr="Описание: 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6911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30pt;height:95.4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tbl>
      <w:tblPr>
        <w:tblpPr w:horzAnchor="margin" w:tblpXSpec="left" w:vertAnchor="text" w:tblpY="652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rFonts w:eastAsia="Calibri"/>
          <w:szCs w:val="22"/>
        </w:rPr>
      </w:pPr>
      <w:r>
        <w:br w:type="page" w:clear="all"/>
      </w:r>
      <w:r>
        <w:rPr>
          <w:rFonts w:eastAsia="Calibri"/>
          <w:szCs w:val="22"/>
        </w:rPr>
      </w:r>
      <w:r>
        <w:rPr>
          <w:rFonts w:eastAsia="Calibri"/>
          <w:szCs w:val="22"/>
        </w:rPr>
      </w:r>
    </w:p>
    <w:p>
      <w:r/>
      <w:r/>
    </w:p>
    <w:p>
      <w:pPr>
        <w:rPr>
          <w:b/>
          <w:caps/>
          <w:sz w:val="22"/>
        </w:rPr>
      </w:pP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rPr>
          <w:lang w:val="en-US"/>
        </w:rPr>
        <w:t xml:space="preserve">1.</w:t>
      </w:r>
      <w:r>
        <w:fldChar w:fldCharType="begin"/>
      </w:r>
      <w:r>
        <w:instrText xml:space="preserve"> TOC \o "1-3" \h \z \u \t "Заголовок 4;1" </w:instrText>
      </w:r>
      <w:r>
        <w:fldChar w:fldCharType="separate"/>
      </w:r>
      <w:hyperlink w:tooltip="#_Toc185949305" w:anchor="_Toc185949305" w:history="1">
        <w:r>
          <w:rPr>
            <w:rStyle w:val="1073"/>
          </w:rPr>
          <w:t xml:space="preserve">Открытие и ведение счетов</w:t>
        </w:r>
        <w:r>
          <w:tab/>
        </w:r>
        <w:r>
          <w:fldChar w:fldCharType="begin"/>
        </w:r>
        <w:r>
          <w:instrText xml:space="preserve"> PAGEREF _Toc185949305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0" w:anchor="_Toc185949310" w:history="1">
        <w:r>
          <w:rPr>
            <w:rStyle w:val="1073"/>
          </w:rPr>
          <w:t xml:space="preserve">2. Кассовые операции*</w:t>
        </w:r>
        <w:r>
          <w:tab/>
        </w:r>
        <w:r>
          <w:fldChar w:fldCharType="begin"/>
        </w:r>
        <w:r>
          <w:instrText xml:space="preserve"> PAGEREF _Toc185949310 \h </w:instrText>
        </w:r>
        <w:r>
          <w:fldChar w:fldCharType="separate"/>
        </w:r>
        <w:r>
          <w:t xml:space="preserve">23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rPr>
          <w:sz w:val="22"/>
          <w:szCs w:val="22"/>
        </w:rPr>
      </w:pPr>
      <w:r>
        <w:rPr>
          <w:rStyle w:val="1073"/>
        </w:rPr>
        <w:fldChar w:fldCharType="begin"/>
      </w:r>
      <w:r>
        <w:rPr>
          <w:rStyle w:val="1073"/>
        </w:rPr>
        <w:instrText xml:space="preserve"> </w:instrText>
      </w:r>
      <w:r>
        <w:instrText xml:space="preserve">HYPERLINK \l "_Toc185949311"</w:instrText>
      </w:r>
      <w:r>
        <w:rPr>
          <w:rStyle w:val="1073"/>
        </w:rPr>
        <w:instrText xml:space="preserve"> </w:instrText>
      </w:r>
      <w:r>
        <w:rPr>
          <w:rStyle w:val="1073"/>
        </w:rPr>
        <w:fldChar w:fldCharType="separate"/>
      </w:r>
      <w:r>
        <w:rPr>
          <w:rStyle w:val="1073"/>
          <w:lang w:val="en-US"/>
        </w:rPr>
        <w:t xml:space="preserve">3. </w:t>
      </w:r>
      <w:r>
        <w:rPr>
          <w:sz w:val="22"/>
          <w:szCs w:val="22"/>
        </w:rPr>
        <w:t xml:space="preserve">Выполнение функций агента валютного контроля(размер тарифов указан без учета НДС)*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00"/>
        <w:ind w:left="0"/>
        <w:tabs>
          <w:tab w:val="right" w:pos="9889" w:leader="dot"/>
        </w:tabs>
      </w:pPr>
      <w:r>
        <w:tab/>
      </w:r>
      <w:r>
        <w:fldChar w:fldCharType="begin"/>
      </w:r>
      <w:r>
        <w:instrText xml:space="preserve"> PAGEREF _Toc185949311 \h </w:instrText>
      </w:r>
      <w:r>
        <w:fldChar w:fldCharType="separate"/>
      </w:r>
      <w:r>
        <w:t xml:space="preserve">27</w:t>
      </w:r>
      <w:r>
        <w:fldChar w:fldCharType="end"/>
      </w:r>
      <w:r>
        <w:rPr>
          <w:rStyle w:val="1073"/>
        </w:rPr>
        <w:fldChar w:fldCharType="end"/>
      </w:r>
      <w:r/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2" w:anchor="_Toc185949312" w:history="1">
        <w:r>
          <w:rPr>
            <w:rStyle w:val="1073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_Toc185949312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3" w:anchor="_Toc185949313" w:history="1">
        <w:r>
          <w:rPr>
            <w:rStyle w:val="1073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_Toc185949313 \h </w:instrText>
        </w:r>
        <w:r>
          <w:fldChar w:fldCharType="separate"/>
        </w:r>
        <w:r>
          <w:t xml:space="preserve">43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4" w:anchor="_Toc185949314" w:history="1">
        <w:r>
          <w:rPr>
            <w:rStyle w:val="1073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_Toc185949314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5" w:anchor="_Toc185949315" w:history="1">
        <w:r>
          <w:rPr>
            <w:rStyle w:val="1073"/>
          </w:rPr>
          <w:t xml:space="preserve">9. Операции по предоставлению клиентам в аренду индивидуальных сейфовых ячеек</w:t>
        </w:r>
        <w:r>
          <w:tab/>
        </w:r>
        <w:r>
          <w:fldChar w:fldCharType="begin"/>
        </w:r>
        <w:r>
          <w:instrText xml:space="preserve"> PAGEREF _Toc185949315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6" w:anchor="_Toc185949316" w:history="1">
        <w:r>
          <w:rPr>
            <w:rStyle w:val="1073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_Toc185949316 \h </w:instrText>
        </w:r>
        <w:r>
          <w:fldChar w:fldCharType="separate"/>
        </w:r>
        <w:r>
          <w:t xml:space="preserve">53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7" w:anchor="_Toc185949317" w:history="1">
        <w:r>
          <w:rPr>
            <w:rStyle w:val="1073"/>
          </w:rPr>
          <w:t xml:space="preserve">11. Операции по покупке-продаже иностранной валюты</w:t>
        </w:r>
        <w:r>
          <w:rPr>
            <w:rStyle w:val="1073"/>
            <w:vertAlign w:val="superscript"/>
          </w:rPr>
          <w:t xml:space="preserve">1</w:t>
        </w:r>
        <w:r>
          <w:tab/>
        </w:r>
        <w:r>
          <w:fldChar w:fldCharType="begin"/>
        </w:r>
        <w:r>
          <w:instrText xml:space="preserve"> PAGEREF _Toc185949317 \h </w:instrText>
        </w:r>
        <w:r>
          <w:fldChar w:fldCharType="separate"/>
        </w:r>
        <w:r>
          <w:t xml:space="preserve">53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8" w:anchor="_Toc185949318" w:history="1">
        <w:r>
          <w:rPr>
            <w:rStyle w:val="1073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_Toc185949318 \h </w:instrText>
        </w:r>
        <w:r>
          <w:fldChar w:fldCharType="separate"/>
        </w:r>
        <w:r>
          <w:t xml:space="preserve">54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19" w:anchor="_Toc185949319" w:history="1">
        <w:r>
          <w:rPr>
            <w:rStyle w:val="1073"/>
          </w:rPr>
          <w:t xml:space="preserve">13. Обслуживание торгово-сервисных предприятий*, принимающих к оплате платежные карты, а также принимающих оплату через сервис быстрых платежей платежной системы Банка России</w:t>
        </w:r>
        <w:r>
          <w:tab/>
        </w:r>
        <w:r>
          <w:fldChar w:fldCharType="begin"/>
        </w:r>
        <w:r>
          <w:instrText xml:space="preserve"> PAGEREF _Toc185949319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20" w:anchor="_Toc185949320" w:history="1">
        <w:r>
          <w:rPr>
            <w:rStyle w:val="1073"/>
          </w:rPr>
          <w:t xml:space="preserve">14. Депозитарные услуги</w:t>
        </w:r>
        <w:r>
          <w:tab/>
        </w:r>
        <w:r>
          <w:fldChar w:fldCharType="begin"/>
        </w:r>
        <w:r>
          <w:instrText xml:space="preserve"> PAGEREF _Toc185949320 \h </w:instrText>
        </w:r>
        <w:r>
          <w:fldChar w:fldCharType="separate"/>
        </w:r>
        <w:r>
          <w:t xml:space="preserve">68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21" w:anchor="_Toc185949321" w:history="1">
        <w:r>
          <w:rPr>
            <w:rStyle w:val="1073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_Toc185949321 \h </w:instrText>
        </w:r>
        <w:r>
          <w:fldChar w:fldCharType="separate"/>
        </w:r>
        <w:r>
          <w:t xml:space="preserve">72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094"/>
        <w:tabs>
          <w:tab w:val="right" w:pos="9889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949322" w:anchor="_Toc185949322" w:history="1">
        <w:r>
          <w:rPr>
            <w:rStyle w:val="1073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_Toc185949322 \h </w:instrText>
        </w:r>
        <w:r>
          <w:fldChar w:fldCharType="separate"/>
        </w:r>
        <w:r>
          <w:t xml:space="preserve">72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1100"/>
        <w:ind w:left="0"/>
        <w:tabs>
          <w:tab w:val="right" w:pos="9889" w:leader="dot"/>
        </w:tabs>
      </w:pPr>
      <w:r/>
      <w:hyperlink w:tooltip="#_Toc185949323" w:anchor="_Toc185949323" w:history="1">
        <w:r>
          <w:rPr>
            <w:rStyle w:val="1073"/>
            <w:bCs/>
          </w:rPr>
          <w:t xml:space="preserve">17. Обслуживание с использованием Торговой системы  РСХБ-Дилинг АО «Россельхозбанк», Торговой системы РСХБ-Дилинг 2.0</w:t>
        </w:r>
        <w:r>
          <w:tab/>
        </w:r>
        <w:r>
          <w:fldChar w:fldCharType="begin"/>
        </w:r>
        <w:r>
          <w:instrText xml:space="preserve"> PAGEREF _Toc185949323 \h </w:instrText>
        </w:r>
        <w:r>
          <w:fldChar w:fldCharType="separate"/>
        </w:r>
        <w:r>
          <w:fldChar w:fldCharType="end"/>
          <w:t xml:space="preserve">7</w:t>
        </w:r>
      </w:hyperlink>
      <w:r>
        <w:t xml:space="preserve">3</w:t>
      </w:r>
      <w:r/>
    </w:p>
    <w:p>
      <w:pPr>
        <w:pStyle w:val="1100"/>
        <w:ind w:left="0"/>
        <w:tabs>
          <w:tab w:val="right" w:pos="9889" w:leader="dot"/>
        </w:tabs>
      </w:pPr>
      <w:r/>
      <w:hyperlink w:tooltip="#_Toc185949325" w:anchor="_Toc185949325" w:history="1">
        <w:r>
          <w:rPr>
            <w:rStyle w:val="1073"/>
          </w:rPr>
          <w:t xml:space="preserve">18. Операции с использованием цифрового рубля</w:t>
        </w:r>
        <w:r>
          <w:tab/>
        </w:r>
        <w:r>
          <w:fldChar w:fldCharType="begin"/>
        </w:r>
        <w:r>
          <w:instrText xml:space="preserve"> PAGEREF _Toc185949325 \h </w:instrText>
        </w:r>
        <w:r>
          <w:fldChar w:fldCharType="separate"/>
        </w:r>
        <w:r>
          <w:t xml:space="preserve">76</w:t>
        </w:r>
        <w:r>
          <w:fldChar w:fldCharType="end"/>
        </w:r>
      </w:hyperlink>
      <w:r/>
      <w:r/>
    </w:p>
    <w:p>
      <w:pPr>
        <w:rPr>
          <w:rFonts w:eastAsia="Calibri"/>
          <w:szCs w:val="22"/>
        </w:rPr>
      </w:pPr>
      <w:r>
        <w:fldChar w:fldCharType="end"/>
      </w:r>
      <w:r>
        <w:rPr>
          <w:rFonts w:eastAsia="Calibri"/>
          <w:szCs w:val="22"/>
        </w:rPr>
      </w:r>
      <w:r>
        <w:rPr>
          <w:rFonts w:eastAsia="Calibri"/>
          <w:szCs w:val="22"/>
        </w:rPr>
      </w:r>
    </w:p>
    <w:p>
      <w:pPr>
        <w:pStyle w:val="1058"/>
        <w:jc w:val="left"/>
        <w:pageBreakBefore/>
      </w:pPr>
      <w:r/>
      <w:bookmarkStart w:id="2" w:name="_Toc185949305"/>
      <w:r>
        <w:t xml:space="preserve">Открытие</w:t>
      </w:r>
      <w:r>
        <w:t xml:space="preserve"> </w:t>
      </w:r>
      <w:r>
        <w:t xml:space="preserve">и</w:t>
      </w:r>
      <w:r>
        <w:t xml:space="preserve"> </w:t>
      </w:r>
      <w:r>
        <w:t xml:space="preserve">ведение</w:t>
      </w:r>
      <w:r>
        <w:t xml:space="preserve"> </w:t>
      </w:r>
      <w:r>
        <w:t xml:space="preserve">счетов</w:t>
      </w:r>
      <w:bookmarkEnd w:id="0"/>
      <w:r/>
      <w:bookmarkEnd w:id="2"/>
      <w:r/>
      <w:r/>
    </w:p>
    <w:p>
      <w:r/>
      <w:r/>
    </w:p>
    <w:tbl>
      <w:tblPr>
        <w:tblW w:w="101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402"/>
        <w:gridCol w:w="29"/>
        <w:gridCol w:w="2097"/>
        <w:gridCol w:w="120"/>
        <w:gridCol w:w="35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1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</w:t>
            </w:r>
            <w:r>
              <w:rPr>
                <w:sz w:val="20"/>
                <w:szCs w:val="20"/>
              </w:rPr>
              <w:t xml:space="preserve">ирных домов, переселения граждан из аварийного жилищного фонда в соответствии с Федеральным законом от 21.07.2007   № 185-ФЗ «О Фонде содействия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</w:t>
            </w:r>
            <w:r>
              <w:rPr>
                <w:sz w:val="20"/>
                <w:szCs w:val="20"/>
              </w:rPr>
              <w:t xml:space="preserve">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</w:t>
            </w:r>
            <w:r>
              <w:rPr>
                <w:sz w:val="20"/>
                <w:szCs w:val="20"/>
              </w:rPr>
              <w:t xml:space="preserve">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91"/>
              <w:numPr>
                <w:ilvl w:val="0"/>
                <w:numId w:val="25"/>
              </w:numPr>
              <w:ind w:left="0" w:firstLine="0"/>
              <w:jc w:val="both"/>
              <w:tabs>
                <w:tab w:val="left" w:pos="44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91"/>
              <w:numPr>
                <w:ilvl w:val="0"/>
                <w:numId w:val="25"/>
              </w:numPr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эквайринга и </w:t>
            </w:r>
            <w:r>
              <w:rPr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keepNext/>
              <w:rPr>
                <w:sz w:val="20"/>
                <w:szCs w:val="20"/>
              </w:rPr>
              <w:outlineLvl w:val="4"/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left="3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firstLine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</w:t>
            </w:r>
            <w:r>
              <w:rPr>
                <w:sz w:val="20"/>
                <w:szCs w:val="20"/>
              </w:rPr>
              <w:t xml:space="preserve">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66" w:leader="none"/>
                <w:tab w:val="left" w:pos="340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91"/>
              <w:numPr>
                <w:ilvl w:val="0"/>
                <w:numId w:val="26"/>
              </w:numPr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sz w:val="20"/>
                <w:szCs w:val="20"/>
              </w:rPr>
              <w:t xml:space="preserve">Банке </w:t>
            </w:r>
            <w:r>
              <w:rPr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91"/>
              <w:numPr>
                <w:ilvl w:val="0"/>
                <w:numId w:val="26"/>
              </w:numPr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эквайринга, заключенного с </w:t>
            </w:r>
            <w:r>
              <w:rPr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091"/>
              <w:numPr>
                <w:ilvl w:val="0"/>
                <w:numId w:val="26"/>
              </w:numPr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keepNext/>
              <w:rPr>
                <w:sz w:val="20"/>
                <w:szCs w:val="20"/>
              </w:rPr>
              <w:outlineLvl w:val="1"/>
            </w:pPr>
            <w:r/>
            <w:bookmarkStart w:id="3" w:name="_Toc185949306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3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</w:t>
            </w:r>
            <w:r>
              <w:rPr>
                <w:sz w:val="20"/>
                <w:szCs w:val="20"/>
              </w:rPr>
              <w:t xml:space="preserve">, занимающихся в установленном законодательством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0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</w:t>
            </w:r>
            <w:r>
              <w:rPr>
                <w:sz w:val="20"/>
                <w:szCs w:val="20"/>
              </w:rPr>
              <w:t xml:space="preserve">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</w:t>
            </w:r>
            <w:r>
              <w:rPr>
                <w:sz w:val="20"/>
                <w:szCs w:val="20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</w:t>
            </w:r>
            <w:r>
              <w:rPr>
                <w:sz w:val="20"/>
                <w:szCs w:val="20"/>
              </w:rPr>
              <w:br/>
              <w:t xml:space="preserve">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 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 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</w:t>
            </w:r>
            <w:r>
              <w:rPr>
                <w:sz w:val="20"/>
                <w:szCs w:val="20"/>
              </w:rPr>
              <w:t xml:space="preserve">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</w:t>
            </w:r>
            <w:r>
              <w:rPr>
                <w:sz w:val="20"/>
                <w:szCs w:val="20"/>
              </w:rPr>
              <w:t xml:space="preserve">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  <w:p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</w:t>
            </w:r>
            <w:r>
              <w:rPr>
                <w:sz w:val="20"/>
                <w:szCs w:val="20"/>
              </w:rPr>
              <w:t xml:space="preserve">фонды (в т.ч. переводов, возникающих в резул</w:t>
            </w:r>
            <w:r>
              <w:rPr>
                <w:sz w:val="20"/>
                <w:szCs w:val="20"/>
              </w:rPr>
              <w:t xml:space="preserve">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0"/>
                <w:szCs w:val="20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1%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150 000,01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300 000,00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1,7%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300 000,01 руб. </w:t>
            </w:r>
            <w:r>
              <w:rPr>
                <w:sz w:val="20"/>
                <w:szCs w:val="20"/>
              </w:rPr>
              <w:br/>
              <w:t xml:space="preserve">до 2 000 000,00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3,7% от суммы 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2 000 000,01 руб. </w:t>
            </w:r>
            <w:r>
              <w:rPr>
                <w:sz w:val="20"/>
                <w:szCs w:val="20"/>
              </w:rPr>
              <w:br/>
              <w:t xml:space="preserve">до 5 000 000,00 руб. (включительно);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6% от суммы</w:t>
            </w:r>
            <w:r>
              <w:rPr>
                <w:sz w:val="20"/>
                <w:szCs w:val="20"/>
              </w:rPr>
              <w:br/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5 000 000,00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</w:t>
            </w:r>
            <w:r>
              <w:rPr>
                <w:sz w:val="20"/>
                <w:szCs w:val="20"/>
              </w:rPr>
              <w:t xml:space="preserve">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</w:t>
            </w:r>
            <w:r>
              <w:rPr>
                <w:sz w:val="20"/>
                <w:szCs w:val="20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</w:t>
            </w:r>
            <w:r>
              <w:rPr>
                <w:sz w:val="20"/>
                <w:szCs w:val="20"/>
              </w:rPr>
              <w:t xml:space="preserve">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 </w:t>
            </w:r>
            <w:r>
              <w:rPr>
                <w:sz w:val="20"/>
                <w:szCs w:val="20"/>
              </w:rPr>
              <w:t xml:space="preserve">«Россельхозбанк» по кредитным сделкам***,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  <w:br/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</w:t>
            </w:r>
            <w:r>
              <w:rPr>
                <w:sz w:val="20"/>
                <w:szCs w:val="20"/>
              </w:rPr>
              <w:br/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/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keepNext/>
              <w:rPr>
                <w:sz w:val="20"/>
                <w:szCs w:val="20"/>
              </w:rPr>
              <w:outlineLvl w:val="1"/>
            </w:pPr>
            <w:r/>
            <w:bookmarkStart w:id="4" w:name="_Toc185949307"/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bookmarkEnd w:id="4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за каждый запрос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keepNext/>
              <w:rPr>
                <w:sz w:val="20"/>
                <w:szCs w:val="20"/>
              </w:rPr>
              <w:outlineLvl w:val="1"/>
            </w:pPr>
            <w:r/>
            <w:bookmarkStart w:id="5" w:name="_Toc185949308"/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bookmarkEnd w:id="5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 </w:t>
            </w:r>
            <w:r>
              <w:rPr>
                <w:sz w:val="20"/>
                <w:szCs w:val="20"/>
              </w:rPr>
              <w:br/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</w:t>
            </w:r>
            <w:r>
              <w:rPr>
                <w:sz w:val="20"/>
                <w:szCs w:val="20"/>
              </w:rPr>
              <w:br/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/>
            <w:bookmarkStart w:id="6" w:name="_Toc185949309"/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bookmarkEnd w:id="6"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но</w:t>
            </w:r>
            <w:r>
              <w:rPr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</w:t>
            </w:r>
            <w:r>
              <w:rPr>
                <w:sz w:val="20"/>
                <w:szCs w:val="20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</w:t>
            </w:r>
            <w:r>
              <w:rPr>
                <w:sz w:val="20"/>
                <w:szCs w:val="20"/>
              </w:rPr>
              <w:t xml:space="preserve">обслуживания «Свой бизнес» на д</w:t>
            </w:r>
            <w:r>
              <w:rPr>
                <w:sz w:val="20"/>
                <w:szCs w:val="20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взимается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 взимание комиссий Банка;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</w:t>
            </w:r>
            <w:r>
              <w:rPr>
                <w:color w:val="000000" w:themeColor="text1"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</w:t>
            </w:r>
            <w:r>
              <w:rPr>
                <w:sz w:val="20"/>
                <w:szCs w:val="20"/>
              </w:rPr>
              <w:br/>
              <w:t xml:space="preserve">в последний рабочий день месяца/в день закрытия счета, включая месяц, </w:t>
            </w:r>
            <w:r>
              <w:rPr>
                <w:sz w:val="20"/>
                <w:szCs w:val="20"/>
              </w:rPr>
              <w:br/>
              <w:t xml:space="preserve">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</w:t>
            </w:r>
            <w:r>
              <w:rPr>
                <w:sz w:val="20"/>
                <w:szCs w:val="20"/>
              </w:rPr>
              <w:br/>
              <w:t xml:space="preserve">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</w:t>
            </w:r>
            <w:r>
              <w:rPr>
                <w:sz w:val="20"/>
                <w:szCs w:val="20"/>
              </w:rPr>
              <w:t xml:space="preserve">календарных дней в данном расчетном месяце, в том числе в случае, если размещение денежных средств на счете осуществлялось </w:t>
            </w:r>
            <w:r>
              <w:rPr>
                <w:sz w:val="20"/>
                <w:szCs w:val="20"/>
              </w:rPr>
              <w:br/>
              <w:t xml:space="preserve">не полный календарный месяц </w:t>
            </w:r>
            <w:r>
              <w:rPr>
                <w:sz w:val="20"/>
                <w:szCs w:val="20"/>
              </w:rPr>
              <w:br/>
              <w:t xml:space="preserve">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</w:t>
            </w:r>
            <w:r>
              <w:rPr>
                <w:sz w:val="20"/>
                <w:szCs w:val="20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0"/>
                <w:szCs w:val="20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взимание комиссий Банка; 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</w:t>
            </w:r>
            <w:r>
              <w:rPr>
                <w:color w:val="7030a0"/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color w:val="7030a0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</w:t>
            </w:r>
            <w:r>
              <w:rPr>
                <w:sz w:val="20"/>
                <w:szCs w:val="20"/>
              </w:rPr>
              <w:t xml:space="preserve">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</w:t>
            </w:r>
            <w:r>
              <w:rPr>
                <w:sz w:val="20"/>
                <w:szCs w:val="20"/>
              </w:rPr>
              <w:t xml:space="preserve">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</w:t>
            </w:r>
            <w:r>
              <w:rPr>
                <w:sz w:val="20"/>
                <w:szCs w:val="20"/>
              </w:rPr>
              <w:t xml:space="preserve">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причисление процентов к счету;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взимание комиссий Банка; 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7030a0"/>
                <w:sz w:val="20"/>
                <w:szCs w:val="20"/>
              </w:rPr>
            </w:r>
            <w:r>
              <w:rPr>
                <w:color w:val="7030a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</w:t>
            </w:r>
            <w:r>
              <w:rPr>
                <w:color w:val="7030a0"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                               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  <w:br/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</w:t>
            </w:r>
            <w:r>
              <w:rPr>
                <w:sz w:val="20"/>
                <w:szCs w:val="20"/>
              </w:rPr>
              <w:br/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</w:t>
            </w:r>
            <w:r>
              <w:rPr>
                <w:sz w:val="20"/>
                <w:szCs w:val="20"/>
              </w:rPr>
              <w:br/>
              <w:t xml:space="preserve">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</w:t>
            </w:r>
            <w:r>
              <w:rPr>
                <w:sz w:val="20"/>
                <w:szCs w:val="20"/>
              </w:rPr>
              <w:t xml:space="preserve">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  <w:br/>
              <w:t xml:space="preserve">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11"/>
              <w:jc w:val="both"/>
              <w:tabs>
                <w:tab w:val="left" w:pos="24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ind w:left="11"/>
              <w:jc w:val="both"/>
              <w:tabs>
                <w:tab w:val="left" w:pos="24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подтвержение подлинности подписи (при наличии в Банке расчетного 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  <w:br/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sz w:val="20"/>
                <w:szCs w:val="20"/>
              </w:rPr>
              <w:br/>
              <w:t xml:space="preserve"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/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  <w:br/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  <w:t xml:space="preserve">пп. 1.3.1-1.3.3, 1.3.5-1.3.13 Тарифов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7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 декабря 20</w:t>
      </w:r>
      <w:r>
        <w:rPr>
          <w:sz w:val="20"/>
          <w:szCs w:val="20"/>
        </w:rPr>
        <w:t xml:space="preserve">25</w:t>
      </w:r>
      <w:r>
        <w:rPr>
          <w:sz w:val="20"/>
          <w:szCs w:val="20"/>
        </w:rPr>
        <w:t xml:space="preserve"> года </w:t>
      </w:r>
      <w:r>
        <w:rPr>
          <w:sz w:val="20"/>
          <w:szCs w:val="20"/>
        </w:rPr>
        <w:t xml:space="preserve">включительно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Багамский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денар;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68"/>
        <w:spacing w:before="120"/>
      </w:pPr>
      <w:r>
        <w:t xml:space="preserve">*** Под обязательствами перед АО «Россельхозбанк» по кредитным сделкам понимаются:</w:t>
      </w:r>
      <w:r/>
    </w:p>
    <w:p>
      <w:pPr>
        <w:pStyle w:val="1068"/>
      </w:pPr>
      <w: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sz w:val="20"/>
          <w:szCs w:val="20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</w:t>
      </w:r>
      <w:r>
        <w:rPr>
          <w:sz w:val="20"/>
          <w:szCs w:val="20"/>
        </w:rPr>
        <w:t xml:space="preserve">е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депозитные счета нотариусов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sz w:val="20"/>
          <w:szCs w:val="20"/>
        </w:rPr>
        <w:t xml:space="preserve">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Тарифов).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58"/>
      </w:pPr>
      <w:r/>
      <w:bookmarkStart w:id="7" w:name="_Toc458611411"/>
      <w:r/>
      <w:r/>
    </w:p>
    <w:p>
      <w:pPr>
        <w:pStyle w:val="1058"/>
      </w:pPr>
      <w:r/>
      <w:bookmarkStart w:id="8" w:name="_Toc185949310"/>
      <w:r>
        <w:t xml:space="preserve">2.</w:t>
      </w:r>
      <w:r>
        <w:t xml:space="preserve"> </w:t>
      </w:r>
      <w:r>
        <w:t xml:space="preserve">Кассовые</w:t>
      </w:r>
      <w:r>
        <w:t xml:space="preserve"> </w:t>
      </w:r>
      <w:r>
        <w:t xml:space="preserve">операции*</w:t>
      </w:r>
      <w:bookmarkEnd w:id="7"/>
      <w:r/>
      <w:bookmarkEnd w:id="8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</w:t>
            </w:r>
            <w:r>
              <w:rPr>
                <w:sz w:val="20"/>
                <w:szCs w:val="20"/>
              </w:rPr>
              <w:t xml:space="preserve">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bCs/>
                <w:sz w:val="20"/>
                <w:szCs w:val="20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,3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/>
              <w:t xml:space="preserve">до 3 500 000,00 руб. (включительно)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/>
              <w:t xml:space="preserve">с 3 500 000,01</w:t>
            </w:r>
            <w:r>
              <w:rPr>
                <w:sz w:val="20"/>
                <w:szCs w:val="20"/>
              </w:rPr>
              <w:br/>
              <w:t xml:space="preserve">до 6 000 000,00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  <w:br/>
              <w:t xml:space="preserve">с 6 000 000,01</w:t>
            </w:r>
            <w:r>
              <w:rPr>
                <w:sz w:val="20"/>
                <w:szCs w:val="20"/>
              </w:rPr>
              <w:br/>
              <w:t xml:space="preserve">до 10 000 000,00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/>
              <w:t xml:space="preserve">с 10 000 000,01</w:t>
            </w:r>
            <w:r>
              <w:rPr>
                <w:sz w:val="20"/>
                <w:szCs w:val="20"/>
              </w:rPr>
              <w:br/>
              <w:t xml:space="preserve">до 15 000 000,00 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/>
              <w:t xml:space="preserve">c 15 000 000,01 руб. и выше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</w:t>
            </w:r>
            <w:r>
              <w:rPr>
                <w:sz w:val="20"/>
                <w:szCs w:val="20"/>
              </w:rPr>
              <w:t xml:space="preserve">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общая сумма </w:t>
            </w:r>
            <w:r>
              <w:rPr>
                <w:sz w:val="20"/>
                <w:szCs w:val="20"/>
              </w:rPr>
              <w:t xml:space="preserve">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40</w:t>
            </w:r>
            <w:r>
              <w:rPr>
                <w:bCs/>
                <w:sz w:val="20"/>
                <w:szCs w:val="20"/>
              </w:rPr>
              <w:t xml:space="preserve">% от суммы,</w:t>
            </w:r>
            <w:r>
              <w:rPr>
                <w:bCs/>
                <w:sz w:val="20"/>
                <w:szCs w:val="20"/>
              </w:rPr>
              <w:br/>
              <w:t xml:space="preserve">минимум </w:t>
            </w:r>
            <w:r>
              <w:rPr>
                <w:bCs/>
                <w:sz w:val="20"/>
                <w:szCs w:val="20"/>
              </w:rPr>
              <w:br/>
              <w:t xml:space="preserve">250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</w:t>
            </w:r>
            <w:r>
              <w:rPr>
                <w:sz w:val="20"/>
                <w:szCs w:val="20"/>
              </w:rPr>
              <w:br/>
              <w:t xml:space="preserve">250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</w:t>
            </w:r>
            <w:r>
              <w:rPr>
                <w:sz w:val="20"/>
                <w:szCs w:val="20"/>
              </w:rPr>
              <w:br/>
              <w:t xml:space="preserve">минимум </w:t>
            </w:r>
            <w:r>
              <w:rPr>
                <w:sz w:val="20"/>
                <w:szCs w:val="20"/>
              </w:rPr>
              <w:br/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0,3%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Примечание: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Операции по обслуживанию бюджетных счетов (счета, открываемые на балансовых позициях 401-404)</w:t>
      </w:r>
      <w:r>
        <w:rPr>
          <w:sz w:val="20"/>
          <w:szCs w:val="20"/>
        </w:rPr>
        <w:t xml:space="preserve">, </w:t>
      </w:r>
      <w:r>
        <w:rPr>
          <w:bCs/>
          <w:sz w:val="20"/>
          <w:szCs w:val="20"/>
        </w:rPr>
        <w:t xml:space="preserve">счетов, открытых бюджетным учреждениям/казенным учреждениям/ автономным учреждениям, отдельн</w:t>
      </w:r>
      <w:r>
        <w:rPr>
          <w:bCs/>
          <w:sz w:val="20"/>
          <w:szCs w:val="20"/>
        </w:rPr>
        <w:t xml:space="preserve">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2 «Кассовые операции» настоящих тарифов.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Плата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услуги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взимается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момент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совершения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операции,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если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конкретным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пунктом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Тарифов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предусмотрено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иное.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sz w:val="20"/>
          <w:szCs w:val="20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sz w:val="20"/>
          <w:szCs w:val="20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12 - Производство табачных изделий (включая все подклассы, группы, подгруппы, виды).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46.21.11 - Торговля оптовая зерном.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46.22 - Торговля оптовая цветами и растениями.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46.23 - Торговля оптовая живыми животными.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46.31 - Торговля оптовая фруктами 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46.31.11 - Торговля оптовая свежим картофелем.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46.31.12 - Торговля оптовая прочими свежими овощами.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46.31.13 - Торговля оптовая свежими фруктами и орехами.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46.32 - Торговля оптовая мясом и мясными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46.32.2 - Торговля оптовая продуктами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46.32.3 - Торговля оптовая консервами из мяса и мяса птицы.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46.33 - Торговля оптовая молочными продуктами, яйцами и пищевыми маслами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46.33.1 - Торговля оптовая молочными продуктами.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46.33.2 - Торговля оптовая яйцами.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46.33.3 - Торговля оптовая пищевыми маслами и жирами.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47.21 - Торговля розничная фруктами и овощами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47.29.1 - Торговля розничная молочными продуктами и яйцами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47.29.2 - Торговля розничная пищевыми маслами и жирами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*****) В соответствии с Федеральным законом от 10 ию</w:t>
      </w:r>
      <w:r>
        <w:rPr>
          <w:sz w:val="20"/>
          <w:szCs w:val="20"/>
        </w:rPr>
        <w:t xml:space="preserve">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sz w:val="20"/>
          <w:szCs w:val="20"/>
        </w:rPr>
        <w:t xml:space="preserve"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iCs/>
          <w:sz w:val="20"/>
          <w:szCs w:val="20"/>
        </w:rPr>
      </w:pPr>
      <w:r>
        <w:rPr>
          <w:bCs/>
          <w:sz w:val="20"/>
          <w:szCs w:val="20"/>
        </w:rPr>
        <w:t xml:space="preserve">******) Банк не принимает поврежденные банкноты иностранных государств.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sz w:val="22"/>
          <w:szCs w:val="22"/>
        </w:rPr>
      </w:pPr>
      <w:r/>
      <w:bookmarkStart w:id="9" w:name="_Toc458611413"/>
      <w:r>
        <w:rPr>
          <w:b/>
          <w:sz w:val="22"/>
          <w:szCs w:val="22"/>
        </w:rPr>
        <w:t xml:space="preserve">3. Выполнение функций агента валютного контроля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keepNext/>
        <w:spacing w:after="40"/>
        <w:rPr>
          <w:b/>
          <w:sz w:val="22"/>
          <w:szCs w:val="22"/>
        </w:rPr>
        <w:outlineLvl w:val="1"/>
      </w:pPr>
      <w:r/>
      <w:bookmarkStart w:id="10" w:name="_Toc185949311"/>
      <w:r>
        <w:rPr>
          <w:b/>
          <w:sz w:val="22"/>
          <w:szCs w:val="22"/>
        </w:rPr>
        <w:t xml:space="preserve">(размер тарифов указан без учета НДС)*</w:t>
      </w:r>
      <w:bookmarkEnd w:id="10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keepNext/>
        <w:spacing w:after="40"/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551"/>
        <w:gridCol w:w="3261"/>
      </w:tblGrid>
      <w:tr>
        <w:tblPrEx/>
        <w:trPr/>
        <w:tc>
          <w:tcPr>
            <w:shd w:val="clear" w:color="auto" w:fill="auto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головного офиса (далее – ГО), </w:t>
            </w: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  <w:t xml:space="preserve"> - «Центр розничного и малого бизнеса»</w:t>
            </w:r>
            <w:r>
              <w:rPr>
                <w:sz w:val="20"/>
                <w:szCs w:val="20"/>
              </w:rPr>
              <w:t xml:space="preserve"> (далее – </w:t>
            </w:r>
            <w:r>
              <w:rPr>
                <w:sz w:val="20"/>
                <w:szCs w:val="20"/>
              </w:rPr>
              <w:t xml:space="preserve">«ЦРМБ»</w:t>
            </w:r>
            <w:r>
              <w:rPr>
                <w:sz w:val="20"/>
                <w:szCs w:val="20"/>
              </w:rPr>
              <w:t xml:space="preserve">) и РФ АО «Россельхозбанк» - «ЦКБ» (далее -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Региональных филиалов АО «Россельхозбанк» (далее -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64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</w:t>
            </w:r>
            <w:r>
              <w:rPr>
                <w:sz w:val="20"/>
                <w:szCs w:val="20"/>
              </w:rPr>
              <w:t xml:space="preserve">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864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64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</w:t>
            </w:r>
            <w:r>
              <w:rPr>
                <w:sz w:val="20"/>
                <w:szCs w:val="20"/>
              </w:rPr>
              <w:t xml:space="preserve">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максимум 80 000 руб. 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/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  <w:br/>
              <w:t xml:space="preserve">за днем подачи клиентом в Банк заявления о подключении услуги, </w:t>
            </w:r>
            <w:r>
              <w:rPr>
                <w:sz w:val="20"/>
                <w:szCs w:val="20"/>
              </w:rPr>
              <w:t xml:space="preserve">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/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</w:t>
      </w:r>
      <w:r>
        <w:rPr>
          <w:bCs/>
          <w:sz w:val="20"/>
          <w:szCs w:val="20"/>
        </w:rPr>
        <w:t xml:space="preserve">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</w:t>
      </w:r>
      <w:r>
        <w:rPr>
          <w:sz w:val="20"/>
          <w:szCs w:val="20"/>
        </w:rPr>
        <w:t xml:space="preserve">Инструкция Банка России № 181-И)</w:t>
      </w:r>
      <w:r>
        <w:rPr>
          <w:bCs/>
          <w:sz w:val="20"/>
          <w:szCs w:val="20"/>
        </w:rPr>
        <w:t xml:space="preserve">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sz w:val="20"/>
          <w:szCs w:val="20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709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</w:t>
      </w:r>
      <w:r>
        <w:rPr>
          <w:bCs/>
          <w:sz w:val="20"/>
          <w:szCs w:val="20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bCs/>
          <w:sz w:val="20"/>
          <w:szCs w:val="20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bCs/>
          <w:sz w:val="20"/>
          <w:szCs w:val="20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В случае перевода (зачисления) денежных средств общей суммой: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взимается: 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</w:t>
      </w:r>
      <w:r>
        <w:rPr>
          <w:bCs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bCs/>
          <w:sz w:val="20"/>
          <w:szCs w:val="20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right="-2" w:firstLine="708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</w:t>
      </w:r>
      <w:r>
        <w:rPr>
          <w:sz w:val="20"/>
          <w:szCs w:val="20"/>
        </w:rPr>
        <w:t xml:space="preserve"> том числе через счет третьего лица, информация о которых подлежит отражению в ведомости банковского контроля.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Днем оказания услуги по валютному контролю является: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21"/>
        </w:numPr>
        <w:contextualSpacing/>
        <w:ind w:left="0" w:firstLine="35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По операциям резидентов, в том числе</w:t>
      </w:r>
      <w:r>
        <w:rPr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right="-2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сведений уполномоченного банка о проведенной операции.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numPr>
          <w:ilvl w:val="0"/>
          <w:numId w:val="21"/>
        </w:numPr>
        <w:contextualSpacing/>
        <w:ind w:left="0" w:right="-2"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firstLine="284"/>
        <w:jc w:val="both"/>
        <w:tabs>
          <w:tab w:val="left" w:pos="709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    При проверке СПД: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contextualSpacing/>
        <w:jc w:val="both"/>
        <w:tabs>
          <w:tab w:val="left" w:pos="1134" w:leader="none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день принятия Банком СПД.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    При оформлении Банком СПД за клиента: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оформления Банком СПД.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    При снятии контракта (кредитного договора) с учета: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8.     При представлении клиенту копий документов из досье валютного контроля: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день направления клиенту копий документов.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В случае перевода </w:t>
      </w:r>
      <w:r>
        <w:rPr>
          <w:bCs/>
          <w:sz w:val="20"/>
          <w:szCs w:val="20"/>
        </w:rPr>
        <w:t xml:space="preserve">контракта (кредитного договора) на учет </w:t>
      </w:r>
      <w:r>
        <w:rPr>
          <w:sz w:val="20"/>
          <w:szCs w:val="20"/>
        </w:rPr>
        <w:t xml:space="preserve">в другой уполномоченный банк либо при закрытии резидентом все</w:t>
      </w:r>
      <w:r>
        <w:rPr>
          <w:sz w:val="20"/>
          <w:szCs w:val="20"/>
        </w:rPr>
        <w:t xml:space="preserve">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keepNext/>
        <w:spacing w:before="120" w:after="120"/>
        <w:rPr>
          <w:b/>
          <w:bCs/>
          <w:sz w:val="2"/>
          <w:szCs w:val="2"/>
        </w:rPr>
        <w:outlineLvl w:val="3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058"/>
      </w:pPr>
      <w:r/>
      <w:bookmarkStart w:id="11" w:name="_Toc185949312"/>
      <w:r>
        <w:t xml:space="preserve">4.</w:t>
      </w:r>
      <w:r>
        <w:t xml:space="preserve"> </w:t>
      </w:r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ценными</w:t>
      </w:r>
      <w:r>
        <w:t xml:space="preserve"> </w:t>
      </w:r>
      <w:r>
        <w:t xml:space="preserve">бумагами</w:t>
      </w:r>
      <w:bookmarkEnd w:id="9"/>
      <w:r/>
      <w:bookmarkEnd w:id="11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облагается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b/>
                <w:sz w:val="20"/>
                <w:szCs w:val="20"/>
              </w:rPr>
              <w:t xml:space="preserve">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</w:t>
            </w:r>
            <w:r>
              <w:rPr>
                <w:b/>
                <w:sz w:val="20"/>
                <w:szCs w:val="20"/>
              </w:rPr>
              <w:t xml:space="preserve">30 дней</w:t>
            </w:r>
            <w:r>
              <w:rPr>
                <w:sz w:val="20"/>
                <w:szCs w:val="20"/>
              </w:rPr>
              <w:t xml:space="preserve">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залоговых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проверка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«Россельхозбанк»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передаче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заклад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keepNext/>
        <w:spacing w:before="120" w:after="12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Next/>
        <w:spacing w:before="120" w:after="120"/>
        <w:rPr>
          <w:b/>
          <w:bCs/>
        </w:rPr>
        <w:outlineLvl w:val="4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keepNext/>
        <w:pageBreakBefore/>
        <w:spacing w:before="120" w:after="120"/>
        <w:rPr>
          <w:b/>
          <w:bCs/>
        </w:rPr>
        <w:outlineLvl w:val="4"/>
      </w:pPr>
      <w:r>
        <w:rPr>
          <w:b/>
          <w:bCs/>
        </w:rPr>
        <w:t xml:space="preserve">5. Документарные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5153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180"/>
        <w:gridCol w:w="2352"/>
        <w:gridCol w:w="363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9" w:type="pct"/>
            <w:textDirection w:val="lrTb"/>
            <w:noWrap w:val="false"/>
          </w:tcPr>
          <w:p>
            <w:pPr>
              <w:ind w:right="170"/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минимум 1 000 руб.,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0"/>
                <w:szCs w:val="20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</w:t>
            </w:r>
            <w:r>
              <w:rPr>
                <w:iCs/>
                <w:sz w:val="20"/>
                <w:szCs w:val="20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</w:t>
            </w:r>
            <w:r>
              <w:rPr>
                <w:iCs/>
                <w:sz w:val="20"/>
                <w:szCs w:val="20"/>
              </w:rPr>
              <w:t xml:space="preserve">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</w:t>
            </w:r>
            <w:r>
              <w:rPr>
                <w:iCs/>
                <w:sz w:val="20"/>
                <w:szCs w:val="20"/>
              </w:rPr>
              <w:t xml:space="preserve">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</w:t>
            </w:r>
            <w:r>
              <w:rPr>
                <w:iCs/>
                <w:sz w:val="20"/>
                <w:szCs w:val="20"/>
              </w:rPr>
              <w:t xml:space="preserve">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sz w:val="20"/>
                <w:szCs w:val="20"/>
              </w:rPr>
              <w:br/>
              <w:t xml:space="preserve">на основании требования Банка.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100 000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трансферированному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49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/>
              <w:t xml:space="preserve">по внешнеторговым сделкам (экспортные аккредитивы)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75 000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sz w:val="20"/>
                <w:szCs w:val="20"/>
              </w:rPr>
              <w:br/>
              <w:t xml:space="preserve">из суммы, запрошенной к оплате </w:t>
            </w:r>
            <w:r>
              <w:rPr>
                <w:bCs/>
                <w:sz w:val="20"/>
                <w:szCs w:val="20"/>
              </w:rPr>
              <w:br/>
              <w:t xml:space="preserve">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3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99" w:type="pct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2 500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keepNext/>
        <w:spacing w:before="120" w:after="120"/>
        <w:rPr>
          <w:b/>
          <w:bCs/>
        </w:rPr>
        <w:outlineLvl w:val="4"/>
      </w:pPr>
      <w:r>
        <w:rPr>
          <w:b/>
          <w:bCs/>
        </w:rPr>
        <w:t xml:space="preserve">6. Гарантийные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70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4677"/>
      </w:tblGrid>
      <w:tr>
        <w:tblPrEx/>
        <w:trPr>
          <w:cantSplit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«Россельхозбанк»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5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sz w:val="20"/>
                <w:szCs w:val="20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/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/>
              <w:t xml:space="preserve">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93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/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/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</w:t>
            </w:r>
            <w:r>
              <w:rPr>
                <w:bCs/>
                <w:sz w:val="20"/>
                <w:szCs w:val="20"/>
              </w:rPr>
              <w:t xml:space="preserve">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058"/>
      </w:pPr>
      <w:r/>
      <w:bookmarkStart w:id="12" w:name="_Toc458611416"/>
      <w:r>
        <w:t xml:space="preserve">Приказ_изменения</w:t>
      </w:r>
      <w:r>
        <w:t xml:space="preserve">Приказ_изменения</w:t>
      </w:r>
      <w:r>
        <w:t xml:space="preserve">Приказ_изменения</w:t>
      </w:r>
      <w:r>
        <w:t xml:space="preserve">Приказ_изменения</w:t>
      </w:r>
      <w:r>
        <w:t xml:space="preserve">Приказ_изменения </w:t>
      </w:r>
      <w:r/>
    </w:p>
    <w:p>
      <w:pPr>
        <w:pStyle w:val="1058"/>
      </w:pPr>
      <w:r/>
      <w:bookmarkStart w:id="13" w:name="_Toc185949313"/>
      <w:r>
        <w:t xml:space="preserve">7.</w:t>
      </w:r>
      <w:r>
        <w:t xml:space="preserve"> </w:t>
      </w:r>
      <w:r>
        <w:t xml:space="preserve">Дистанционное</w:t>
      </w:r>
      <w:r>
        <w:t xml:space="preserve"> </w:t>
      </w:r>
      <w:r>
        <w:t xml:space="preserve">банковское</w:t>
      </w:r>
      <w:r>
        <w:t xml:space="preserve"> </w:t>
      </w:r>
      <w:r>
        <w:t xml:space="preserve">обслуживание</w:t>
      </w:r>
      <w:r>
        <w:t xml:space="preserve"> </w:t>
      </w:r>
      <w:r>
        <w:t xml:space="preserve">(ДБО)</w:t>
      </w:r>
      <w:bookmarkEnd w:id="12"/>
      <w:r/>
      <w:bookmarkEnd w:id="13"/>
      <w:r/>
      <w:r/>
    </w:p>
    <w:p>
      <w:r/>
      <w:r/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по г. </w:t>
            </w:r>
            <w:r>
              <w:rPr>
                <w:bCs/>
                <w:sz w:val="20"/>
                <w:szCs w:val="20"/>
              </w:rPr>
              <w:t xml:space="preserve">Иркутску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sz w:val="20"/>
                <w:szCs w:val="20"/>
              </w:rPr>
              <w:t xml:space="preserve">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</w:t>
            </w:r>
            <w:r>
              <w:rPr>
                <w:bCs/>
                <w:sz w:val="20"/>
                <w:szCs w:val="20"/>
              </w:rPr>
              <w:t xml:space="preserve">Иркутской</w:t>
            </w:r>
            <w:r>
              <w:rPr>
                <w:bCs/>
                <w:sz w:val="20"/>
                <w:szCs w:val="20"/>
              </w:rPr>
              <w:t xml:space="preserve">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7.3.1.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«Банк-Клиент»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5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00 руб. в месяц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/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</w:t>
            </w:r>
            <w:r>
              <w:rPr>
                <w:sz w:val="20"/>
                <w:szCs w:val="20"/>
              </w:rPr>
              <w:br/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bCs/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«Интернет-Клиент»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900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руб. в месяц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- «Мобильный банк»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- «Свой Бизнес»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/>
              <w:t xml:space="preserve">«О веден</w:t>
            </w:r>
            <w:r>
              <w:rPr>
                <w:bCs/>
                <w:sz w:val="20"/>
                <w:szCs w:val="20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ind w:hanging="766"/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</w:t>
            </w:r>
            <w:r>
              <w:rPr>
                <w:sz w:val="20"/>
                <w:szCs w:val="20"/>
              </w:rPr>
              <w:t xml:space="preserve">к «Интернет-Клиент»/«Свой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</w:t>
            </w:r>
            <w:r>
              <w:rPr>
                <w:bCs/>
                <w:sz w:val="20"/>
                <w:szCs w:val="20"/>
              </w:rPr>
              <w:t xml:space="preserve">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</w:t>
            </w:r>
            <w:r>
              <w:rPr>
                <w:sz w:val="20"/>
                <w:szCs w:val="20"/>
              </w:rPr>
              <w:t xml:space="preserve">к «Интернет-Клиент»/«Свой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7.4.1.2.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815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Тариф включает в себя НДС (дополнительно не взимается).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ind w:firstLine="38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sz w:val="20"/>
                <w:szCs w:val="20"/>
              </w:rPr>
              <w:t xml:space="preserve">к «Интернет-Клиент»/«Свой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sz w:val="20"/>
                <w:szCs w:val="20"/>
              </w:rPr>
              <w:t xml:space="preserve">к «Интернет-Клиент»/«Свой Бизнес» </w:t>
            </w:r>
            <w:r>
              <w:rPr>
                <w:bCs/>
                <w:sz w:val="20"/>
                <w:szCs w:val="20"/>
              </w:rPr>
              <w:t xml:space="preserve">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</w:t>
            </w:r>
            <w:r>
              <w:rPr>
                <w:sz w:val="20"/>
                <w:szCs w:val="20"/>
              </w:rPr>
              <w:t xml:space="preserve">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</w:t>
            </w:r>
            <w:r>
              <w:rPr>
                <w:bCs/>
                <w:sz w:val="20"/>
                <w:szCs w:val="20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</w:t>
            </w:r>
            <w:r>
              <w:rPr>
                <w:sz w:val="20"/>
                <w:szCs w:val="20"/>
              </w:rPr>
              <w:t xml:space="preserve">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sz w:val="20"/>
                <w:szCs w:val="20"/>
              </w:rPr>
              <w:t xml:space="preserve">по «Интернет-Клиент»/«Свой Бизнес»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 xml:space="preserve">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sz w:val="20"/>
                <w:szCs w:val="20"/>
              </w:rPr>
              <w:t xml:space="preserve">по «Интернет-Клиент»/«Свой Бизнес»</w:t>
            </w:r>
            <w:r>
              <w:t xml:space="preserve"> </w:t>
            </w:r>
            <w:r>
              <w:rPr>
                <w:bCs/>
                <w:sz w:val="20"/>
                <w:szCs w:val="20"/>
              </w:rPr>
              <w:t xml:space="preserve">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</w:rPr>
            </w:pPr>
            <w:r>
              <w:rPr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</w:t>
            </w:r>
            <w:r>
              <w:rPr>
                <w:bCs/>
                <w:sz w:val="20"/>
                <w:szCs w:val="20"/>
              </w:rPr>
              <w:t xml:space="preserve">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/>
              <w:t xml:space="preserve">к Сервису, </w:t>
            </w:r>
            <w:r>
              <w:rPr>
                <w:sz w:val="20"/>
                <w:szCs w:val="20"/>
              </w:rPr>
              <w:br/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5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2407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pStyle w:val="1068"/>
        <w:jc w:val="both"/>
      </w:pPr>
      <w:r>
        <w:t xml:space="preserve">* Под обязательствами перед АО «Россельхозбанк» по кредитным сделкам понимаются:</w:t>
      </w:r>
      <w:r/>
    </w:p>
    <w:p>
      <w:pPr>
        <w:pStyle w:val="1068"/>
        <w:jc w:val="both"/>
      </w:pPr>
      <w: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/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вышеуказанным договорам, в том числе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 договорам залога, договорам поручительства (в том числе прекратившим свое действие).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iCs/>
          <w:sz w:val="20"/>
          <w:szCs w:val="20"/>
          <w:highlight w:val="none"/>
          <w:u w:val="single"/>
        </w:rPr>
      </w:pPr>
      <w:r>
        <w:rPr>
          <w:bCs/>
          <w:iCs/>
          <w:sz w:val="20"/>
          <w:szCs w:val="20"/>
          <w:u w:val="single"/>
        </w:rPr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20"/>
          <w:szCs w:val="20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20"/>
          <w:szCs w:val="20"/>
          <w:lang w:eastAsia="en-US"/>
        </w:rPr>
        <w:t xml:space="preserve">Федеральным законом </w:t>
      </w:r>
      <w:r>
        <w:rPr>
          <w:sz w:val="20"/>
          <w:szCs w:val="20"/>
        </w:rPr>
        <w:t xml:space="preserve">от 07.05.1998 №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.</w:t>
      </w:r>
      <w:r>
        <w:rPr>
          <w:iCs/>
          <w:sz w:val="20"/>
          <w:szCs w:val="20"/>
          <w:highlight w:val="none"/>
          <w:u w:val="single"/>
        </w:rPr>
      </w:r>
      <w:r>
        <w:rPr>
          <w:iCs/>
          <w:sz w:val="20"/>
          <w:szCs w:val="20"/>
          <w:highlight w:val="none"/>
          <w:u w:val="single"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rPr>
          <w:bCs/>
          <w:iCs/>
          <w:sz w:val="20"/>
          <w:szCs w:val="20"/>
        </w:rPr>
      </w:pPr>
      <w:r>
        <w:rPr>
          <w:bCs/>
          <w:sz w:val="20"/>
          <w:szCs w:val="20"/>
        </w:rPr>
        <w:t xml:space="preserve">Без взимания комиссии в Банке обслуживаются</w:t>
      </w:r>
      <w:r>
        <w:rPr>
          <w:bCs/>
          <w:iCs/>
          <w:sz w:val="20"/>
          <w:szCs w:val="20"/>
        </w:rPr>
        <w:t xml:space="preserve">: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Cs/>
          <w:sz w:val="20"/>
          <w:szCs w:val="20"/>
        </w:rPr>
        <w:t xml:space="preserve">.</w:t>
      </w:r>
      <w:r>
        <w:rPr>
          <w:rFonts w:eastAsia="Calibri"/>
          <w:bCs/>
          <w:sz w:val="20"/>
          <w:szCs w:val="20"/>
          <w:lang w:eastAsia="en-US"/>
        </w:rPr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right="21"/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Дистанцио</w:t>
      </w:r>
      <w:r>
        <w:rPr>
          <w:bCs/>
          <w:iCs/>
          <w:sz w:val="20"/>
          <w:szCs w:val="20"/>
        </w:rPr>
        <w:t xml:space="preserve">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</w:t>
      </w:r>
      <w:r>
        <w:rPr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right="21"/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лими</w:t>
      </w:r>
      <w:r>
        <w:rPr>
          <w:bCs/>
          <w:iCs/>
          <w:sz w:val="20"/>
          <w:szCs w:val="20"/>
        </w:rPr>
        <w:t xml:space="preserve">т на единовременную операцию – 5</w:t>
      </w:r>
      <w:r>
        <w:rPr>
          <w:bCs/>
          <w:iCs/>
          <w:sz w:val="20"/>
          <w:szCs w:val="20"/>
        </w:rPr>
        <w:t xml:space="preserve"> 000 000 (</w:t>
      </w:r>
      <w:r>
        <w:rPr>
          <w:bCs/>
          <w:iCs/>
          <w:sz w:val="20"/>
          <w:szCs w:val="20"/>
        </w:rPr>
        <w:t xml:space="preserve">Пять</w:t>
      </w:r>
      <w:r>
        <w:rPr>
          <w:bCs/>
          <w:iCs/>
          <w:sz w:val="20"/>
          <w:szCs w:val="20"/>
        </w:rPr>
        <w:t xml:space="preserve"> миллион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рублей;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1440" w:right="198" w:hanging="720"/>
        <w:jc w:val="center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5. </w:t>
      </w:r>
      <w:r>
        <w:rPr>
          <w:rFonts w:eastAsia="Calibri"/>
          <w:color w:val="000000"/>
          <w:sz w:val="20"/>
          <w:szCs w:val="20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20"/>
          <w:szCs w:val="20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20"/>
          <w:szCs w:val="20"/>
          <w:highlight w:val="none"/>
        </w:rPr>
        <w:t xml:space="preserve"> Условиями </w:t>
      </w:r>
      <w:r>
        <w:rPr>
          <w:b w:val="0"/>
          <w:bCs w:val="0"/>
          <w:iCs/>
          <w:sz w:val="20"/>
          <w:szCs w:val="20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20"/>
          <w:szCs w:val="20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20"/>
          <w:szCs w:val="20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20"/>
          <w:szCs w:val="20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20"/>
          <w:szCs w:val="20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20"/>
          <w:szCs w:val="20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20"/>
          <w:szCs w:val="20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</w:t>
      </w:r>
      <w:r>
        <w:rPr>
          <w:sz w:val="20"/>
          <w:szCs w:val="20"/>
        </w:rPr>
        <w:t xml:space="preserve">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r/>
      <w:r/>
    </w:p>
    <w:p>
      <w:pPr>
        <w:pStyle w:val="1058"/>
      </w:pPr>
      <w:r/>
      <w:bookmarkStart w:id="14" w:name="_Toc458611417"/>
      <w:r/>
      <w:bookmarkStart w:id="15" w:name="_Toc185949314"/>
      <w:r>
        <w:t xml:space="preserve">8.</w:t>
      </w:r>
      <w:r>
        <w:t xml:space="preserve"> </w:t>
      </w:r>
      <w:r>
        <w:t xml:space="preserve">Хранение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клиентов</w:t>
      </w:r>
      <w:r>
        <w:t xml:space="preserve"> </w:t>
      </w:r>
      <w:r>
        <w:t xml:space="preserve">в</w:t>
      </w:r>
      <w:r>
        <w:t xml:space="preserve"> </w:t>
      </w:r>
      <w:r>
        <w:t xml:space="preserve">хранилище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Банка</w:t>
      </w:r>
      <w:bookmarkEnd w:id="14"/>
      <w:r/>
      <w:bookmarkEnd w:id="15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учетом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долл.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США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058"/>
      </w:pPr>
      <w:r/>
      <w:bookmarkStart w:id="16" w:name="_Toc458611418"/>
      <w:r/>
      <w:bookmarkStart w:id="17" w:name="_Toc185949315"/>
      <w:r>
        <w:t xml:space="preserve">9.</w:t>
      </w:r>
      <w:r>
        <w:t xml:space="preserve"> </w:t>
      </w:r>
      <w:r>
        <w:t xml:space="preserve">Операции по предоставлению клиентам в аренду индивидуальных сейфовых ячеек</w:t>
      </w:r>
      <w:bookmarkEnd w:id="16"/>
      <w:r/>
      <w:bookmarkEnd w:id="17"/>
      <w:r/>
      <w:r/>
    </w:p>
    <w:p>
      <w:r/>
      <w:r/>
    </w:p>
    <w:tbl>
      <w:tblPr>
        <w:tblW w:w="10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/>
            <w:bookmarkStart w:id="18" w:name="_Toc458611419"/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516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 руб. </w:t>
            </w:r>
            <w:r>
              <w:rPr>
                <w:sz w:val="20"/>
                <w:szCs w:val="20"/>
              </w:rPr>
              <w:br/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 </w:t>
            </w:r>
            <w:r>
              <w:rPr>
                <w:sz w:val="20"/>
                <w:szCs w:val="20"/>
              </w:rPr>
              <w:br/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1058"/>
      </w:pPr>
      <w:r/>
      <w:r/>
    </w:p>
    <w:p>
      <w:pPr>
        <w:pStyle w:val="1058"/>
      </w:pPr>
      <w:r/>
      <w:bookmarkStart w:id="19" w:name="_Toc185949316"/>
      <w:r>
        <w:t xml:space="preserve">10.</w:t>
      </w:r>
      <w:r>
        <w:t xml:space="preserve"> </w:t>
      </w:r>
      <w:r>
        <w:t xml:space="preserve">Услуги</w:t>
      </w:r>
      <w:r>
        <w:t xml:space="preserve"> </w:t>
      </w:r>
      <w:r>
        <w:t xml:space="preserve">инкассации</w:t>
      </w:r>
      <w:bookmarkEnd w:id="18"/>
      <w:r/>
      <w:bookmarkEnd w:id="19"/>
      <w:r>
        <w:t xml:space="preserve"> </w:t>
      </w:r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</w:t>
            </w:r>
            <w:r>
              <w:rPr>
                <w:bCs/>
                <w:sz w:val="20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0"/>
          <w:szCs w:val="20"/>
        </w:rPr>
      </w:pPr>
      <w:r>
        <w:rPr>
          <w:i/>
          <w:sz w:val="16"/>
          <w:szCs w:val="16"/>
        </w:rPr>
        <w:t xml:space="preserve">*</w:t>
      </w:r>
      <w:r>
        <w:rPr>
          <w:sz w:val="20"/>
          <w:szCs w:val="20"/>
        </w:rPr>
        <w:t xml:space="preserve">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** Заезд – прибытие бригады инкассаторских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*** Объект инкассации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Заезд</w:t>
      </w:r>
      <w:r>
        <w:rPr>
          <w:sz w:val="20"/>
          <w:szCs w:val="20"/>
        </w:rPr>
        <w:t xml:space="preserve"> – прибытие бригады инка</w:t>
      </w:r>
      <w:r>
        <w:rPr>
          <w:sz w:val="20"/>
          <w:szCs w:val="20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58"/>
        <w:rPr>
          <w:vertAlign w:val="superscript"/>
        </w:rPr>
      </w:pPr>
      <w:r/>
      <w:bookmarkStart w:id="20" w:name="_Toc458611420"/>
      <w:r/>
      <w:bookmarkStart w:id="21" w:name="_Toc185949317"/>
      <w:r>
        <w:t xml:space="preserve">11.</w:t>
      </w:r>
      <w:r>
        <w:t xml:space="preserve"> </w:t>
      </w:r>
      <w:r>
        <w:t xml:space="preserve">Операции</w:t>
      </w:r>
      <w:r>
        <w:t xml:space="preserve"> </w:t>
      </w:r>
      <w:r>
        <w:t xml:space="preserve">по</w:t>
      </w:r>
      <w:r>
        <w:t xml:space="preserve"> </w:t>
      </w:r>
      <w:r>
        <w:t xml:space="preserve">покупке-продаже</w:t>
      </w:r>
      <w:r>
        <w:t xml:space="preserve"> </w:t>
      </w:r>
      <w:r>
        <w:t xml:space="preserve">иностранной</w:t>
      </w:r>
      <w:r>
        <w:t xml:space="preserve"> </w:t>
      </w:r>
      <w:r>
        <w:t xml:space="preserve">валюты</w:t>
      </w:r>
      <w:r>
        <w:rPr>
          <w:vertAlign w:val="superscript"/>
        </w:rPr>
        <w:t xml:space="preserve">1</w:t>
      </w:r>
      <w:bookmarkEnd w:id="20"/>
      <w:r/>
      <w:bookmarkEnd w:id="21"/>
      <w:r>
        <w:rPr>
          <w:vertAlign w:val="superscript"/>
        </w:rPr>
      </w:r>
      <w:r>
        <w:rPr>
          <w:vertAlign w:val="superscript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1701"/>
        <w:gridCol w:w="1843"/>
      </w:tblGrid>
      <w:tr>
        <w:tblPrEx/>
        <w:trPr>
          <w:trHeight w:val="227"/>
          <w:tblHeader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суммы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42"/>
        </w:trPr>
        <w:tc>
          <w:tcPr>
            <w:gridSpan w:val="5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Операции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по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обязательной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продаже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части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валютной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выручки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на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внутреннем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валютном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рынке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Российской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Федерации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осуществляются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Банком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по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правилам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п.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11.1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настоящих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Тарифов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с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учетом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требований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нормативных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документов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ЦБ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РФ.</w: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16.00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часов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пятницам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предпраздничные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уменьшается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сокращение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времени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позже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указанного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исполнению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принимаются.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Списание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Примечания</w:t>
      </w:r>
      <w:r>
        <w:rPr>
          <w:sz w:val="20"/>
          <w:szCs w:val="20"/>
        </w:rPr>
        <w:t xml:space="preserve">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Покупка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продажа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валюты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непосредственно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осуществляется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только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видам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валют,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которым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головным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офисом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установлены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соответствующие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курсы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(Курс(ы)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имеет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право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изменять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Курс(ы)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и/или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размер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расчетной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комиссии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течение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дня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совершении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операций,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указанных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п.п.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11.1.1,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11.1.2,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</w:t>
      </w:r>
      <w:r>
        <w:rPr>
          <w:sz w:val="20"/>
          <w:szCs w:val="20"/>
        </w:rPr>
        <w:t xml:space="preserve">2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11.2.2,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Курс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или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размер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расчетной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комиссии,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действующий(ие)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дату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время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совершения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операции,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сообщаются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клиенту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после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приема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исполнению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распоряжения/заявки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58"/>
        <w:rPr>
          <w:sz w:val="20"/>
          <w:szCs w:val="20"/>
        </w:rPr>
      </w:pPr>
      <w:r/>
      <w:bookmarkStart w:id="22" w:name="_Toc458611421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58"/>
      </w:pPr>
      <w:r/>
      <w:bookmarkStart w:id="23" w:name="_Toc185949318"/>
      <w:r>
        <w:t xml:space="preserve">12.</w:t>
      </w:r>
      <w:r>
        <w:t xml:space="preserve"> </w:t>
      </w:r>
      <w:r>
        <w:t xml:space="preserve">Кредитные</w:t>
      </w:r>
      <w:r>
        <w:t xml:space="preserve"> </w:t>
      </w:r>
      <w:r>
        <w:t xml:space="preserve">операции</w:t>
      </w:r>
      <w:bookmarkEnd w:id="22"/>
      <w:r/>
      <w:bookmarkEnd w:id="23"/>
      <w:r/>
      <w:r/>
    </w:p>
    <w:p>
      <w:r/>
      <w:r/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4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Сезонный  Рефинанс», </w:t>
            </w:r>
            <w:r>
              <w:rPr>
                <w:bCs/>
                <w:sz w:val="20"/>
                <w:szCs w:val="20"/>
              </w:rPr>
              <w:t xml:space="preserve">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67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91"/>
              <w:numPr>
                <w:ilvl w:val="0"/>
                <w:numId w:val="30"/>
              </w:numPr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</w:t>
            </w:r>
            <w:r>
              <w:rPr>
                <w:bCs/>
                <w:sz w:val="20"/>
                <w:szCs w:val="20"/>
              </w:rPr>
              <w:t xml:space="preserve">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67"/>
                <w:bCs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по договору об </w:t>
            </w:r>
            <w:r>
              <w:rPr>
                <w:bCs/>
                <w:sz w:val="20"/>
                <w:szCs w:val="20"/>
              </w:rPr>
              <w:t xml:space="preserve">открытии кредитной линии,</w:t>
            </w:r>
            <w:r>
              <w:rPr>
                <w:bCs/>
                <w:sz w:val="20"/>
                <w:szCs w:val="20"/>
              </w:rPr>
              <w:t xml:space="preserve"> заключенному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</w:t>
            </w:r>
            <w:r>
              <w:rPr>
                <w:sz w:val="20"/>
                <w:szCs w:val="20"/>
              </w:rPr>
              <w:t xml:space="preserve">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</w:t>
            </w:r>
            <w:r>
              <w:rPr>
                <w:sz w:val="20"/>
                <w:szCs w:val="20"/>
              </w:rPr>
              <w:t xml:space="preserve">при кредитовании в рамках решен</w:t>
            </w:r>
            <w:r>
              <w:rPr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</w:t>
            </w:r>
            <w:r>
              <w:rPr>
                <w:sz w:val="20"/>
                <w:szCs w:val="20"/>
              </w:rPr>
              <w:t xml:space="preserve"> уплачивается в дату досрочного </w:t>
            </w:r>
            <w:r>
              <w:rPr>
                <w:sz w:val="20"/>
                <w:szCs w:val="20"/>
              </w:rPr>
              <w:t xml:space="preserve">возврата кредита либо его части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bCs/>
                <w:sz w:val="20"/>
                <w:szCs w:val="20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  <w:t xml:space="preserve">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</w:t>
      </w:r>
      <w:r>
        <w:rPr>
          <w:sz w:val="20"/>
          <w:szCs w:val="20"/>
        </w:rPr>
        <w:t xml:space="preserve">постановлением Правительства Российской Федерации от 06.09.2022 № 1570) (дале</w:t>
      </w:r>
      <w:r>
        <w:rPr>
          <w:sz w:val="20"/>
          <w:szCs w:val="20"/>
        </w:rPr>
        <w:t xml:space="preserve">е – ППРФ от 06.09.2022 № 1570)»;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</w:t>
      </w:r>
      <w:r>
        <w:rPr>
          <w:sz w:val="20"/>
          <w:szCs w:val="20"/>
        </w:rPr>
        <w:t xml:space="preserve">порядке предоставления субсидии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22-68850-00258-Р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(далее – Решение № 258-Р)</w:t>
      </w:r>
      <w:r>
        <w:rPr>
          <w:sz w:val="20"/>
          <w:szCs w:val="20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 № 22-68850-00358-Р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(далее – Решение № 358-Р)</w:t>
      </w:r>
      <w:r>
        <w:rPr>
          <w:b/>
          <w:sz w:val="20"/>
          <w:szCs w:val="20"/>
        </w:rPr>
        <w:t xml:space="preserve">,</w:t>
      </w:r>
      <w:r>
        <w:rPr>
          <w:sz w:val="20"/>
          <w:szCs w:val="20"/>
        </w:rPr>
        <w:t xml:space="preserve">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</w:t>
      </w:r>
      <w:r>
        <w:rPr>
          <w:sz w:val="20"/>
          <w:szCs w:val="20"/>
        </w:rPr>
        <w:t xml:space="preserve">рядке предоставления субсидии</w:t>
      </w:r>
      <w:r>
        <w:rPr>
          <w:sz w:val="20"/>
          <w:szCs w:val="20"/>
        </w:rPr>
        <w:t xml:space="preserve">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sz w:val="20"/>
          <w:szCs w:val="20"/>
        </w:rPr>
        <w:t xml:space="preserve"> </w:t>
      </w:r>
      <w:r>
        <w:rPr>
          <w:b/>
        </w:rPr>
        <w:t xml:space="preserve">(</w:t>
      </w:r>
      <w:r>
        <w:rPr>
          <w:b/>
          <w:sz w:val="20"/>
          <w:szCs w:val="20"/>
        </w:rPr>
        <w:t xml:space="preserve">далее – Решение № 1201-Р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  <w:t xml:space="preserve">, принятого в соответствии с ППРФ от 25.10.2023 № 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</w:t>
      </w:r>
      <w:r>
        <w:rPr>
          <w:sz w:val="20"/>
          <w:szCs w:val="20"/>
        </w:rPr>
        <w:t xml:space="preserve">рядке предоставления субсидии </w:t>
      </w:r>
      <w:r>
        <w:rPr>
          <w:sz w:val="20"/>
          <w:szCs w:val="20"/>
        </w:rPr>
        <w:t xml:space="preserve">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</w:t>
      </w:r>
      <w:r>
        <w:rPr>
          <w:sz w:val="20"/>
          <w:szCs w:val="20"/>
        </w:rPr>
        <w:t xml:space="preserve">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sz w:val="20"/>
          <w:szCs w:val="20"/>
        </w:rPr>
        <w:t xml:space="preserve">-Р</w:t>
      </w:r>
      <w:r>
        <w:rPr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  <w:highlight w:val="none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№ 1780.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outlineLvl w:val="5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</w:rPr>
              <w:br/>
            </w:r>
            <w:r>
              <w:rPr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bCs/>
                <w:iCs/>
                <w:sz w:val="20"/>
                <w:szCs w:val="20"/>
              </w:rPr>
              <w:t xml:space="preserve"> </w:t>
            </w:r>
            <w:r>
              <w:rPr>
                <w:bCs/>
                <w:iCs/>
                <w:sz w:val="20"/>
                <w:szCs w:val="20"/>
              </w:rPr>
              <w:t xml:space="preserve">1780</w:t>
            </w:r>
            <w:r>
              <w:rPr>
                <w:bCs/>
                <w:iCs/>
                <w:sz w:val="20"/>
                <w:szCs w:val="20"/>
              </w:rPr>
              <w:t xml:space="preserve">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</w:t>
      </w:r>
      <w:r>
        <w:rPr>
          <w:bCs/>
          <w:iCs/>
          <w:sz w:val="20"/>
          <w:szCs w:val="20"/>
        </w:rPr>
        <w:t xml:space="preserve">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1058"/>
      </w:pPr>
      <w:r/>
      <w:bookmarkStart w:id="24" w:name="_Toc458611422"/>
      <w:r/>
      <w:bookmarkStart w:id="25" w:name="_Toc185949319"/>
      <w:r>
        <w:t xml:space="preserve">13</w:t>
      </w:r>
      <w:r>
        <w:t xml:space="preserve">.</w:t>
      </w:r>
      <w:r>
        <w:t xml:space="preserve"> </w:t>
      </w:r>
      <w:r>
        <w:t xml:space="preserve">Обслуживание</w:t>
      </w:r>
      <w:r>
        <w:t xml:space="preserve"> </w:t>
      </w:r>
      <w:r>
        <w:t xml:space="preserve">торгово-сервисных</w:t>
      </w:r>
      <w:r>
        <w:t xml:space="preserve"> </w:t>
      </w:r>
      <w:r>
        <w:t xml:space="preserve">предприятий</w:t>
      </w:r>
      <w:r>
        <w:t xml:space="preserve">*</w:t>
      </w:r>
      <w:r>
        <w:t xml:space="preserve">,</w:t>
      </w:r>
      <w:r>
        <w:t xml:space="preserve"> </w:t>
      </w:r>
      <w:bookmarkEnd w:id="24"/>
      <w:r>
        <w:rPr>
          <w:sz w:val="24"/>
          <w:szCs w:val="24"/>
        </w:rPr>
        <w:t xml:space="preserve">принимающих к оплате платежные карты, а также принимающих оплату через сервис быстрых платежей платежной системы Банка России</w:t>
      </w:r>
      <w:bookmarkEnd w:id="25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797"/>
        <w:gridCol w:w="2440"/>
        <w:gridCol w:w="3089"/>
      </w:tblGrid>
      <w:tr>
        <w:tblPrEx/>
        <w:trPr>
          <w:trHeight w:val="227"/>
          <w:tblHeader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sz w:val="20"/>
                <w:szCs w:val="20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</w:t>
            </w:r>
            <w:r>
              <w:rPr>
                <w:sz w:val="20"/>
                <w:szCs w:val="20"/>
              </w:rPr>
              <w:t xml:space="preserve">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</w:t>
            </w:r>
            <w:r>
              <w:rPr>
                <w:sz w:val="20"/>
                <w:szCs w:val="20"/>
              </w:rPr>
              <w:t xml:space="preserve">территории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(кроме карт, выпущенных АО 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организаций, оплата жилищно-коммунальн</w:t>
            </w:r>
            <w:r>
              <w:rPr>
                <w:sz w:val="20"/>
                <w:szCs w:val="20"/>
              </w:rPr>
              <w:t xml:space="preserve">ых услуг,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sz w:val="20"/>
                <w:szCs w:val="20"/>
              </w:rPr>
              <w:t xml:space="preserve"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/>
              <w:t xml:space="preserve">п.п. 13.5.1.1 и 13.5.1.2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</w:t>
            </w:r>
            <w:r>
              <w:rPr>
                <w:sz w:val="20"/>
                <w:szCs w:val="20"/>
              </w:rPr>
              <w:t xml:space="preserve">пользу юридических лиц и индивидуальных предпринимателей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vAlign w:val="center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7" w:type="dxa"/>
            <w:vAlign w:val="center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91"/>
        <w:ind w:left="0"/>
        <w:jc w:val="both"/>
        <w:tabs>
          <w:tab w:val="left" w:pos="426" w:leader="none"/>
        </w:tabs>
        <w:rPr>
          <w:highlight w:val="none"/>
        </w:rPr>
      </w:pPr>
      <w:r>
        <w:rPr>
          <w:rStyle w:val="1067"/>
          <w:rFonts w:ascii="Symbol" w:hAnsi="Symbol" w:eastAsia="Symbol" w:cs="Symbol"/>
        </w:rPr>
        <w:t xml:space="preserve">*</w:t>
      </w:r>
      <w:r>
        <w:t xml:space="preserve"> </w:t>
      </w:r>
      <w:bookmarkStart w:id="26" w:name="_Toc458611423"/>
      <w:r>
        <w:rPr>
          <w:sz w:val="20"/>
        </w:rPr>
        <w:t xml:space="preserve">Под </w:t>
      </w:r>
      <w:r>
        <w:rPr>
          <w:sz w:val="20"/>
          <w:u w:val="single"/>
        </w:rPr>
        <w:t xml:space="preserve">торгово-сервисным предприятием</w:t>
      </w:r>
      <w:r>
        <w:rPr>
          <w:sz w:val="20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</w:t>
      </w:r>
      <w:r>
        <w:rPr>
          <w:sz w:val="20"/>
        </w:rPr>
        <w:t xml:space="preserve">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1091"/>
        <w:ind w:left="0"/>
        <w:jc w:val="both"/>
        <w:tabs>
          <w:tab w:val="left" w:pos="426" w:leader="none"/>
        </w:tabs>
      </w:pPr>
      <w:r/>
      <w:r/>
    </w:p>
    <w:p>
      <w:pPr>
        <w:pStyle w:val="1091"/>
        <w:ind w:left="0"/>
        <w:jc w:val="both"/>
        <w:tabs>
          <w:tab w:val="left" w:pos="426" w:leader="none"/>
        </w:tabs>
      </w:pPr>
      <w:r/>
      <w:r/>
    </w:p>
    <w:p>
      <w:pPr>
        <w:pStyle w:val="1091"/>
        <w:ind w:left="0"/>
        <w:jc w:val="both"/>
        <w:tabs>
          <w:tab w:val="left" w:pos="426" w:leader="none"/>
        </w:tabs>
      </w:pPr>
      <w:r/>
      <w:r/>
    </w:p>
    <w:p>
      <w:pPr>
        <w:pStyle w:val="1091"/>
        <w:ind w:left="0"/>
        <w:jc w:val="both"/>
        <w:tabs>
          <w:tab w:val="left" w:pos="426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91"/>
        <w:ind w:left="0"/>
        <w:jc w:val="both"/>
        <w:tabs>
          <w:tab w:val="left" w:pos="426" w:leader="none"/>
        </w:tabs>
      </w:pPr>
      <w:r/>
      <w:r/>
    </w:p>
    <w:p>
      <w:pPr>
        <w:pStyle w:val="1091"/>
        <w:ind w:left="0"/>
        <w:jc w:val="both"/>
        <w:tabs>
          <w:tab w:val="left" w:pos="426" w:leader="none"/>
        </w:tabs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85865" cy="4422519"/>
                <wp:effectExtent l="6350" t="6350" r="6350" b="635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4382736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rcRect l="0" t="0" r="0" b="17807"/>
                        <a:stretch/>
                      </pic:blipFill>
                      <pic:spPr bwMode="auto">
                        <a:xfrm rot="0" flipH="0" flipV="0">
                          <a:off x="0" y="0"/>
                          <a:ext cx="6285863" cy="442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4.95pt;height:348.23pt;mso-wrap-distance-left:0.00pt;mso-wrap-distance-top:0.00pt;mso-wrap-distance-right:0.00pt;mso-wrap-distance-bottom:0.00pt;rotation:0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1058"/>
        <w:jc w:val="left"/>
      </w:pPr>
      <w:r>
        <w:t xml:space="preserve">          </w:t>
      </w:r>
      <w:r/>
    </w:p>
    <w:tbl>
      <w:tblPr>
        <w:tblStyle w:val="918"/>
        <w:tblW w:w="0" w:type="auto"/>
        <w:tblLook w:val="04A0" w:firstRow="1" w:lastRow="0" w:firstColumn="1" w:lastColumn="0" w:noHBand="0" w:noVBand="1"/>
      </w:tblPr>
      <w:tblGrid>
        <w:gridCol w:w="1935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2700"/>
      </w:tblGrid>
      <w:tr>
        <w:tblPrEx/>
        <w:trPr>
          <w:trHeight w:val="28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Порядок применения Тарифа: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84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* 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азмер комиссии за совершение операции   для применения в текущем месяце будет рассчитываться, исходя из профиля деятельности торговых точек клиента (в соответствии с МСС-кодом) и среднего оборота от расчетов по банковским картам в предыдущем календарном ме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сяце, приходящегося на один электронный терминал/сервис «SoftPOS решение».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72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85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** Комиссия за технологическое взаимодействие - фиксированная величина, 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плачиваемая клиентом, за каждый электронный терминал (комиссия за технологическое взаимодействие для сервиса «SoftPOS решение» не взимается). Первый месяц подключения электронного терминала льготный- комиссия за технологическое взаимодействие не взимается.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r/>
      <w:r/>
    </w:p>
    <w:p>
      <w:pPr>
        <w:pStyle w:val="1058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58"/>
        <w:rPr>
          <w:highlight w:val="none"/>
        </w:rPr>
      </w:pPr>
      <w:r/>
      <w:bookmarkStart w:id="27" w:name="_Toc185949320"/>
      <w:r>
        <w:t xml:space="preserve">1</w:t>
      </w:r>
      <w:r>
        <w:t xml:space="preserve">4</w:t>
      </w:r>
      <w:r>
        <w:t xml:space="preserve">.</w:t>
      </w:r>
      <w:r>
        <w:t xml:space="preserve"> </w:t>
      </w:r>
      <w:r>
        <w:t xml:space="preserve">Депозитарные</w:t>
      </w:r>
      <w:r>
        <w:t xml:space="preserve"> </w:t>
      </w:r>
      <w:r>
        <w:t xml:space="preserve">услуги</w:t>
      </w:r>
      <w:r>
        <w:rPr>
          <w:rStyle w:val="1067"/>
        </w:rPr>
        <w:footnoteReference w:customMarkFollows="1" w:id="6"/>
      </w:r>
      <w:r>
        <w:rPr>
          <w:rStyle w:val="1067"/>
          <w:rFonts w:ascii="Symbol" w:hAnsi="Symbol" w:eastAsia="Symbol" w:cs="Symbol"/>
        </w:rPr>
        <w:t xml:space="preserve">*</w:t>
      </w:r>
      <w:r>
        <w:rPr>
          <w:rStyle w:val="1067"/>
        </w:rPr>
        <w:footnoteReference w:customMarkFollows="1" w:id="7"/>
      </w:r>
      <w:r>
        <w:rPr>
          <w:rStyle w:val="1067"/>
          <w:rFonts w:ascii="Symbol" w:hAnsi="Symbol" w:eastAsia="Symbol" w:cs="Symbol"/>
        </w:rPr>
        <w:t xml:space="preserve">*</w:t>
      </w:r>
      <w:bookmarkEnd w:id="26"/>
      <w:r/>
      <w:bookmarkEnd w:id="27"/>
      <w:r>
        <w:rPr>
          <w:highlight w:val="none"/>
        </w:rPr>
      </w:r>
      <w:r>
        <w:rPr>
          <w:highlight w:val="none"/>
        </w:rPr>
      </w:r>
    </w:p>
    <w:p>
      <w:r/>
      <w:r/>
    </w:p>
    <w:tbl>
      <w:tblPr>
        <w:tblW w:w="1021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6"/>
        <w:gridCol w:w="1988"/>
        <w:gridCol w:w="3405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Административные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spacing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color w:val="auto"/>
                <w:sz w:val="20"/>
                <w:szCs w:val="20"/>
              </w:rPr>
              <w:br/>
              <w:t xml:space="preserve">АО «Россельхозбанк» в НКО </w:t>
            </w:r>
            <w:r>
              <w:rPr>
                <w:rFonts w:eastAsia="Times New Roman"/>
                <w:color w:val="auto"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092"/>
              <w:jc w:val="center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spacing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Ведение счета депо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092"/>
              <w:jc w:val="center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Style w:val="1092"/>
              <w:jc w:val="center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14.1.4.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092"/>
              <w:jc w:val="center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20 000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  <w:t xml:space="preserve">1.5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</w:t>
            </w: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акций, облигаций и  российских депозитарных расписок, хранение сертификатов эмиссионных ценных бумаг,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</w:t>
            </w:r>
            <w:r>
              <w:rPr>
                <w:sz w:val="20"/>
                <w:szCs w:val="20"/>
              </w:rPr>
              <w:t xml:space="preserve">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92"/>
              <w:jc w:val="both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92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не обращающихся на организованном рынке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092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500 руб. в месяц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92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spacing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Депозитарный учет прав на инвестиционные паи паевых инвестиционных фондов обращающихся на организованном рынке ценных бумаг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092"/>
              <w:jc w:val="both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0,7% годовых, минимум 300 руб. в месяц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92"/>
              <w:jc w:val="both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Плата рассчитывается в процентах годовых от расчётной стоимости паёв пропорционально срока их хранения на счёте депо на дату выставления счета».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spacing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color w:val="auto"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pStyle w:val="1092"/>
              <w:jc w:val="both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92"/>
              <w:spacing w:before="40" w:after="40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355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Хранение и учет на торговом счете ДЕПО ценных бумаг Депонентов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«В настоящем разделе термин «Депонент» используется в значении, определенном ст. 7 Федерального закона от 22.04.1996 № 39-ФЗ «О рынке ценных бумаг».».</w:t>
            </w:r>
            <w:r>
              <w:rPr>
                <w:sz w:val="20"/>
                <w:szCs w:val="20"/>
              </w:rPr>
              <w:t xml:space="preserve">, принятых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 брокерское 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949" w:right="720" w:bottom="426" w:left="1287" w:header="427" w:footer="567" w:gutter="0"/>
          <w:cols w:num="1" w:sep="0" w:space="708" w:equalWidth="1"/>
          <w:docGrid w:linePitch="360"/>
          <w:titlePg/>
        </w:sect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966"/>
        <w:gridCol w:w="1065"/>
        <w:gridCol w:w="1063"/>
        <w:gridCol w:w="3261"/>
      </w:tblGrid>
      <w:tr>
        <w:tblPrEx/>
        <w:trPr>
          <w:trHeight w:val="227"/>
        </w:trPr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67"/>
                <w:sz w:val="20"/>
                <w:szCs w:val="20"/>
              </w:rPr>
              <w:footnoteReference w:id="8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ind w:right="-109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 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2" w:type="dxa"/>
            <w:vMerge w:val="restart"/>
            <w:textDirection w:val="lrTb"/>
            <w:noWrap w:val="false"/>
          </w:tcPr>
          <w:p>
            <w:pPr>
              <w:ind w:right="-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 российских депозитарных расписок,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2" w:type="dxa"/>
            <w:textDirection w:val="lrTb"/>
            <w:noWrap w:val="false"/>
          </w:tcPr>
          <w:p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1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700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092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 (по счетам АО 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</w:t>
            </w:r>
            <w:r>
              <w:rPr>
                <w:sz w:val="20"/>
                <w:szCs w:val="20"/>
              </w:rPr>
              <w:t xml:space="preserve">совершенным через брокера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2 000 руб.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pStyle w:val="1092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  <w:r>
              <w:rPr>
                <w:rFonts w:eastAsia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за период до 1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Ответ формируется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бумажном носителе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за период от 1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(включительно)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 3-х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лет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(включительно)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 за период более 3-х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058"/>
      </w:pPr>
      <w:r/>
      <w:bookmarkStart w:id="28" w:name="_Toc458611424"/>
      <w:r/>
      <w:bookmarkStart w:id="29" w:name="_Toc185949321"/>
      <w:r>
        <w:t xml:space="preserve">15.</w:t>
      </w:r>
      <w:r>
        <w:t xml:space="preserve"> </w:t>
      </w:r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монетами</w:t>
      </w:r>
      <w:r>
        <w:t xml:space="preserve"> </w:t>
      </w:r>
      <w:r>
        <w:t xml:space="preserve">из</w:t>
      </w:r>
      <w:r>
        <w:t xml:space="preserve"> </w:t>
      </w:r>
      <w:r>
        <w:t xml:space="preserve">драгоценных</w:t>
      </w:r>
      <w:r>
        <w:t xml:space="preserve"> </w:t>
      </w:r>
      <w:r>
        <w:t xml:space="preserve">металлов</w:t>
      </w:r>
      <w:bookmarkEnd w:id="28"/>
      <w:r/>
      <w:bookmarkEnd w:id="29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драгоценных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металлов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территориальном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учреждении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России/у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количество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золото,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качество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чеканки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«анциркулейтед»,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7,78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499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999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1499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более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9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058"/>
      </w:pPr>
      <w:r/>
      <w:bookmarkStart w:id="30" w:name="_Toc458611425"/>
      <w:r/>
      <w:bookmarkStart w:id="31" w:name="_Toc185949322"/>
      <w:r>
        <w:t xml:space="preserve">16. Операции с драгоценными металлами</w:t>
      </w:r>
      <w:bookmarkEnd w:id="30"/>
      <w:r/>
      <w:bookmarkEnd w:id="31"/>
      <w:r/>
      <w:r/>
    </w:p>
    <w:p>
      <w:r/>
      <w:r/>
    </w:p>
    <w:tbl>
      <w:tblPr>
        <w:tblW w:w="1020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851"/>
        <w:gridCol w:w="73"/>
        <w:gridCol w:w="2160"/>
        <w:gridCol w:w="35"/>
        <w:gridCol w:w="98"/>
        <w:gridCol w:w="2866"/>
        <w:gridCol w:w="13"/>
      </w:tblGrid>
      <w:tr>
        <w:tblPrEx/>
        <w:trPr>
          <w:gridAfter w:val="1"/>
        </w:trPr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i/>
                <w:iCs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bCs/>
                <w:i/>
                <w:iCs/>
                <w:smallCaps/>
                <w:sz w:val="20"/>
                <w:szCs w:val="20"/>
              </w:rPr>
            </w:r>
            <w:r>
              <w:rPr>
                <w:b/>
                <w:bCs/>
                <w:i/>
                <w:iCs/>
                <w:smallCap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109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2268" w:type="dxa"/>
            <w:textDirection w:val="lrTb"/>
            <w:noWrap w:val="false"/>
          </w:tcPr>
          <w:p>
            <w:pPr>
              <w:pStyle w:val="109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2964" w:type="dxa"/>
            <w:textDirection w:val="lrTb"/>
            <w:noWrap w:val="false"/>
          </w:tcPr>
          <w:p>
            <w:pPr>
              <w:pStyle w:val="109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W w:w="8789" w:type="dxa"/>
            <w:textDirection w:val="lrTb"/>
            <w:noWrap w:val="false"/>
          </w:tcPr>
          <w:p>
            <w:pPr>
              <w:pStyle w:val="109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Ведение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банковского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3617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160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3012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8"/>
            <w:shd w:val="clear" w:color="auto" w:fill="auto"/>
            <w:tcW w:w="8789" w:type="dxa"/>
            <w:textDirection w:val="lrTb"/>
            <w:noWrap w:val="false"/>
          </w:tcPr>
          <w:p>
            <w:pPr>
              <w:pStyle w:val="1090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rStyle w:val="1067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067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>
          <w:trHeight w:val="3082"/>
        </w:trPr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067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>
          <w:trHeight w:val="2054"/>
        </w:trPr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5"/>
            <w:shd w:val="clear" w:color="auto" w:fill="auto"/>
            <w:tcW w:w="321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9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09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879" w:type="dxa"/>
            <w:textDirection w:val="lrTb"/>
            <w:noWrap w:val="false"/>
          </w:tcPr>
          <w:p>
            <w:pPr>
              <w:pStyle w:val="109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</w:tbl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/>
      <w:bookmarkStart w:id="32" w:name="_Toc185949323"/>
      <w:r>
        <w:rPr>
          <w:b/>
          <w:bCs/>
          <w:sz w:val="22"/>
          <w:szCs w:val="22"/>
        </w:rPr>
        <w:t xml:space="preserve">17. Обслуживание с использованием Торговой системы</w:t>
      </w:r>
      <w:r>
        <w:rPr>
          <w:b/>
          <w:bCs/>
          <w:sz w:val="22"/>
          <w:szCs w:val="22"/>
        </w:rPr>
        <w:br/>
        <w:t xml:space="preserve"> РСХБ-Дилинг АО «Россельхозбанк», Торговой системы РСХБ-Дилинг 2.0</w:t>
      </w:r>
      <w:bookmarkEnd w:id="32"/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РСХБ-Дилинг</w:t>
            </w:r>
            <w:r>
              <w:rPr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rStyle w:val="1067"/>
                <w:bCs/>
              </w:rPr>
              <w:footnoteReference w:id="12"/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/>
            <w:r/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lang w:val="en-US"/>
              </w:rPr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rStyle w:val="1067"/>
                <w:bCs/>
              </w:rPr>
              <w:footnoteReference w:id="13"/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r/>
            <w:r/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/>
      <w:bookmarkStart w:id="33" w:name="_Toc185949324"/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bookmarkEnd w:id="33"/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keepNext/>
        <w:spacing w:after="40"/>
        <w:tabs>
          <w:tab w:val="left" w:pos="284" w:leader="none"/>
        </w:tabs>
        <w:rPr>
          <w:b/>
          <w:sz w:val="22"/>
          <w:szCs w:val="22"/>
        </w:rPr>
        <w:outlineLvl w:val="1"/>
      </w:pPr>
      <w:r/>
      <w:bookmarkStart w:id="34" w:name="_Toc185949325"/>
      <w:r>
        <w:rPr>
          <w:b/>
          <w:sz w:val="22"/>
          <w:szCs w:val="22"/>
        </w:rPr>
        <w:t xml:space="preserve">18. Операции с использованием цифрового рубля</w:t>
      </w:r>
      <w:bookmarkEnd w:id="34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keepNext/>
        <w:spacing w:after="40"/>
        <w:tabs>
          <w:tab w:val="left" w:pos="284" w:leader="none"/>
        </w:tabs>
        <w:rPr>
          <w:b/>
          <w:sz w:val="22"/>
          <w:szCs w:val="22"/>
        </w:rPr>
        <w:outlineLvl w:val="1"/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31.12.2025(включительно).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jc w:val="both"/>
        <w:keepNext/>
        <w:spacing w:after="40"/>
        <w:tabs>
          <w:tab w:val="left" w:pos="284" w:leader="none"/>
        </w:tabs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continuous"/>
      <w:pgSz w:w="11906" w:h="16838" w:orient="portrait"/>
      <w:pgMar w:top="720" w:right="720" w:bottom="426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68"/>
      </w:pPr>
      <w:r>
        <w:rPr>
          <w:rStyle w:val="1067"/>
        </w:rPr>
        <w:footnoteRef/>
      </w:r>
      <w:r>
        <w:t xml:space="preserve"> 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3">
    <w:p>
      <w:pPr>
        <w:pStyle w:val="1068"/>
      </w:pPr>
      <w:r>
        <w:rPr>
          <w:rStyle w:val="1067"/>
        </w:rPr>
        <w:footnoteRef/>
      </w:r>
      <w:r>
        <w:t xml:space="preserve"> </w:t>
      </w: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068"/>
      </w:pPr>
      <w:r/>
      <w:r/>
    </w:p>
  </w:footnote>
  <w:footnote w:id="4">
    <w:p>
      <w:pPr>
        <w:pStyle w:val="1068"/>
        <w:jc w:val="both"/>
      </w:pPr>
      <w:r>
        <w:rPr>
          <w:rStyle w:val="1067"/>
        </w:rPr>
        <w:footnoteRef/>
      </w:r>
      <w:r>
        <w:t xml:space="preserve">  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068"/>
      </w:pPr>
      <w:r>
        <w:rPr>
          <w:rStyle w:val="1067"/>
        </w:rPr>
        <w:footnoteRef/>
      </w:r>
      <w:r>
        <w:t xml:space="preserve">   В соответствии с пунктом 10.2 приказа АО «Россельхозбанк» от 01.08.2013 № 386-ОД.</w:t>
      </w:r>
      <w:r/>
    </w:p>
  </w:footnote>
  <w:footnote w:id="6">
    <w:p>
      <w:pPr>
        <w:pStyle w:val="1068"/>
      </w:pPr>
      <w:r>
        <w:rPr>
          <w:rStyle w:val="1067"/>
          <w:rFonts w:ascii="Symbol" w:hAnsi="Symbol" w:eastAsia="Symbol" w:cs="Symbol"/>
        </w:rPr>
        <w:t xml:space="preserve">*</w:t>
      </w:r>
      <w:r>
        <w:rPr>
          <w:rStyle w:val="1067"/>
          <w:rFonts w:ascii="Symbol" w:hAnsi="Symbol" w:eastAsia="Symbol" w:cs="Symbol"/>
        </w:rPr>
        <w:t xml:space="preserve">*</w:t>
      </w:r>
      <w: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/>
    </w:p>
    <w:p>
      <w:pPr>
        <w:pStyle w:val="1068"/>
      </w:pPr>
      <w:r/>
      <w:r/>
    </w:p>
  </w:footnote>
  <w:footnote w:id="7">
    <w:p>
      <w:pPr>
        <w:pStyle w:val="1068"/>
      </w:pPr>
      <w:r/>
      <w:r/>
    </w:p>
  </w:footnote>
  <w:footnote w:id="8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067"/>
          <w:sz w:val="20"/>
          <w:szCs w:val="20"/>
        </w:rPr>
        <w:footnoteRef/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16"/>
          <w:szCs w:val="16"/>
        </w:rPr>
      </w:pPr>
      <w:r>
        <w:rPr>
          <w:bCs/>
          <w:sz w:val="16"/>
          <w:szCs w:val="16"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</w:footnote>
  <w:footnote w:id="9">
    <w:p>
      <w:pPr>
        <w:pStyle w:val="1068"/>
        <w:rPr>
          <w:sz w:val="18"/>
          <w:szCs w:val="18"/>
        </w:rPr>
      </w:pPr>
      <w:r>
        <w:rPr>
          <w:rStyle w:val="1067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0">
    <w:p>
      <w:pPr>
        <w:pStyle w:val="1068"/>
        <w:jc w:val="both"/>
      </w:pPr>
      <w:r>
        <w:rPr>
          <w:rStyle w:val="1067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pStyle w:val="1068"/>
        <w:jc w:val="both"/>
      </w:pPr>
      <w:r>
        <w:rPr>
          <w:rStyle w:val="1067"/>
        </w:rPr>
        <w:footnoteRef/>
      </w:r>
      <w:r>
        <w:rPr>
          <w:sz w:val="18"/>
          <w:szCs w:val="18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jc w:val="both"/>
        <w:rPr>
          <w:bCs/>
          <w:sz w:val="20"/>
          <w:szCs w:val="20"/>
        </w:rPr>
      </w:pPr>
      <w:r>
        <w:rPr>
          <w:rStyle w:val="1067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</w:t>
      </w:r>
      <w:r>
        <w:rPr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</w:footnote>
  <w:footnote w:id="13">
    <w:p>
      <w:pPr>
        <w:jc w:val="both"/>
        <w:rPr>
          <w:sz w:val="20"/>
          <w:szCs w:val="20"/>
        </w:rPr>
      </w:pPr>
      <w:r>
        <w:rPr>
          <w:rStyle w:val="1067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21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107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rPr>
        <w:color w:val="ffffff"/>
        <w:lang w:val="ru-RU"/>
      </w:rPr>
    </w:pPr>
    <w:r>
      <w:rPr>
        <w:color w:val="ffffff"/>
        <w:lang w:val="ru-RU"/>
      </w:rPr>
      <w:t xml:space="preserve">2013.10.30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9" w:hanging="221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4574" w:hanging="360"/>
      </w:pPr>
      <w:rPr>
        <w:rFonts w:hint="default" w:ascii="Times New Roman" w:hAnsi="Times New Roman" w:eastAsia="Times New Roman" w:cs="Times New Roman"/>
        <w:b/>
        <w:bCs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807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770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469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num w:numId="1">
    <w:abstractNumId w:val="17"/>
  </w:num>
  <w:num w:numId="2">
    <w:abstractNumId w:val="28"/>
  </w:num>
  <w:num w:numId="3">
    <w:abstractNumId w:val="10"/>
  </w:num>
  <w:num w:numId="4">
    <w:abstractNumId w:val="15"/>
  </w:num>
  <w:num w:numId="5">
    <w:abstractNumId w:val="30"/>
  </w:num>
  <w:num w:numId="6">
    <w:abstractNumId w:val="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12"/>
  </w:num>
  <w:num w:numId="13">
    <w:abstractNumId w:val="13"/>
  </w:num>
  <w:num w:numId="14">
    <w:abstractNumId w:val="7"/>
  </w:num>
  <w:num w:numId="15">
    <w:abstractNumId w:val="3"/>
  </w:num>
  <w:num w:numId="16">
    <w:abstractNumId w:val="25"/>
  </w:num>
  <w:num w:numId="17">
    <w:abstractNumId w:val="16"/>
  </w:num>
  <w:num w:numId="18">
    <w:abstractNumId w:val="20"/>
  </w:num>
  <w:num w:numId="19">
    <w:abstractNumId w:val="11"/>
  </w:num>
  <w:num w:numId="20">
    <w:abstractNumId w:val="19"/>
  </w:num>
  <w:num w:numId="21">
    <w:abstractNumId w:val="18"/>
  </w:num>
  <w:num w:numId="22">
    <w:abstractNumId w:val="24"/>
  </w:num>
  <w:num w:numId="23">
    <w:abstractNumId w:val="22"/>
  </w:num>
  <w:num w:numId="24">
    <w:abstractNumId w:val="0"/>
  </w:num>
  <w:num w:numId="25">
    <w:abstractNumId w:val="1"/>
  </w:num>
  <w:num w:numId="26">
    <w:abstractNumId w:val="29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4"/>
  </w:num>
  <w:num w:numId="30">
    <w:abstractNumId w:val="21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98">
    <w:name w:val="Heading 1 Char"/>
    <w:basedOn w:val="1064"/>
    <w:link w:val="1055"/>
    <w:uiPriority w:val="9"/>
    <w:rPr>
      <w:rFonts w:ascii="Arial" w:hAnsi="Arial" w:eastAsia="Arial" w:cs="Arial"/>
      <w:sz w:val="40"/>
      <w:szCs w:val="40"/>
    </w:rPr>
  </w:style>
  <w:style w:type="character" w:styleId="899">
    <w:name w:val="Heading 2 Char"/>
    <w:basedOn w:val="1064"/>
    <w:link w:val="1056"/>
    <w:uiPriority w:val="9"/>
    <w:rPr>
      <w:rFonts w:ascii="Arial" w:hAnsi="Arial" w:eastAsia="Arial" w:cs="Arial"/>
      <w:sz w:val="34"/>
    </w:rPr>
  </w:style>
  <w:style w:type="character" w:styleId="900">
    <w:name w:val="Heading 3 Char"/>
    <w:basedOn w:val="1064"/>
    <w:link w:val="1057"/>
    <w:uiPriority w:val="9"/>
    <w:rPr>
      <w:rFonts w:ascii="Arial" w:hAnsi="Arial" w:eastAsia="Arial" w:cs="Arial"/>
      <w:sz w:val="30"/>
      <w:szCs w:val="30"/>
    </w:rPr>
  </w:style>
  <w:style w:type="character" w:styleId="901">
    <w:name w:val="Heading 4 Char"/>
    <w:basedOn w:val="1064"/>
    <w:link w:val="1058"/>
    <w:uiPriority w:val="9"/>
    <w:rPr>
      <w:rFonts w:ascii="Arial" w:hAnsi="Arial" w:eastAsia="Arial" w:cs="Arial"/>
      <w:b/>
      <w:bCs/>
      <w:sz w:val="26"/>
      <w:szCs w:val="26"/>
    </w:rPr>
  </w:style>
  <w:style w:type="character" w:styleId="902">
    <w:name w:val="Heading 5 Char"/>
    <w:basedOn w:val="1064"/>
    <w:link w:val="1059"/>
    <w:uiPriority w:val="9"/>
    <w:rPr>
      <w:rFonts w:ascii="Arial" w:hAnsi="Arial" w:eastAsia="Arial" w:cs="Arial"/>
      <w:b/>
      <w:bCs/>
      <w:sz w:val="24"/>
      <w:szCs w:val="24"/>
    </w:rPr>
  </w:style>
  <w:style w:type="character" w:styleId="903">
    <w:name w:val="Heading 6 Char"/>
    <w:basedOn w:val="1064"/>
    <w:link w:val="1060"/>
    <w:uiPriority w:val="9"/>
    <w:rPr>
      <w:rFonts w:ascii="Arial" w:hAnsi="Arial" w:eastAsia="Arial" w:cs="Arial"/>
      <w:b/>
      <w:bCs/>
      <w:sz w:val="22"/>
      <w:szCs w:val="22"/>
    </w:rPr>
  </w:style>
  <w:style w:type="character" w:styleId="904">
    <w:name w:val="Heading 7 Char"/>
    <w:basedOn w:val="1064"/>
    <w:link w:val="10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05">
    <w:name w:val="Heading 8 Char"/>
    <w:basedOn w:val="1064"/>
    <w:link w:val="1062"/>
    <w:uiPriority w:val="9"/>
    <w:rPr>
      <w:rFonts w:ascii="Arial" w:hAnsi="Arial" w:eastAsia="Arial" w:cs="Arial"/>
      <w:i/>
      <w:iCs/>
      <w:sz w:val="22"/>
      <w:szCs w:val="22"/>
    </w:rPr>
  </w:style>
  <w:style w:type="character" w:styleId="906">
    <w:name w:val="Heading 9 Char"/>
    <w:basedOn w:val="1064"/>
    <w:link w:val="1063"/>
    <w:uiPriority w:val="9"/>
    <w:rPr>
      <w:rFonts w:ascii="Arial" w:hAnsi="Arial" w:eastAsia="Arial" w:cs="Arial"/>
      <w:i/>
      <w:iCs/>
      <w:sz w:val="21"/>
      <w:szCs w:val="21"/>
    </w:rPr>
  </w:style>
  <w:style w:type="character" w:styleId="907">
    <w:name w:val="Title Char"/>
    <w:basedOn w:val="1064"/>
    <w:link w:val="1096"/>
    <w:uiPriority w:val="10"/>
    <w:rPr>
      <w:sz w:val="48"/>
      <w:szCs w:val="48"/>
    </w:rPr>
  </w:style>
  <w:style w:type="paragraph" w:styleId="908">
    <w:name w:val="Subtitle"/>
    <w:basedOn w:val="1054"/>
    <w:next w:val="1054"/>
    <w:link w:val="909"/>
    <w:uiPriority w:val="11"/>
    <w:qFormat/>
    <w:pPr>
      <w:spacing w:before="200" w:after="200"/>
    </w:pPr>
    <w:rPr>
      <w:sz w:val="24"/>
      <w:szCs w:val="24"/>
    </w:rPr>
  </w:style>
  <w:style w:type="character" w:styleId="909">
    <w:name w:val="Subtitle Char"/>
    <w:basedOn w:val="1064"/>
    <w:link w:val="908"/>
    <w:uiPriority w:val="11"/>
    <w:rPr>
      <w:sz w:val="24"/>
      <w:szCs w:val="24"/>
    </w:rPr>
  </w:style>
  <w:style w:type="paragraph" w:styleId="910">
    <w:name w:val="Quote"/>
    <w:basedOn w:val="1054"/>
    <w:next w:val="1054"/>
    <w:link w:val="911"/>
    <w:uiPriority w:val="29"/>
    <w:qFormat/>
    <w:pPr>
      <w:ind w:left="720" w:right="720"/>
    </w:pPr>
    <w:rPr>
      <w:i/>
    </w:rPr>
  </w:style>
  <w:style w:type="character" w:styleId="911">
    <w:name w:val="Quote Char"/>
    <w:link w:val="910"/>
    <w:uiPriority w:val="29"/>
    <w:rPr>
      <w:i/>
    </w:rPr>
  </w:style>
  <w:style w:type="paragraph" w:styleId="912">
    <w:name w:val="Intense Quote"/>
    <w:basedOn w:val="1054"/>
    <w:next w:val="1054"/>
    <w:link w:val="9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13">
    <w:name w:val="Intense Quote Char"/>
    <w:link w:val="912"/>
    <w:uiPriority w:val="30"/>
    <w:rPr>
      <w:i/>
    </w:rPr>
  </w:style>
  <w:style w:type="character" w:styleId="914">
    <w:name w:val="Header Char"/>
    <w:basedOn w:val="1064"/>
    <w:link w:val="1074"/>
    <w:uiPriority w:val="99"/>
  </w:style>
  <w:style w:type="character" w:styleId="915">
    <w:name w:val="Footer Char"/>
    <w:basedOn w:val="1064"/>
    <w:link w:val="1076"/>
    <w:uiPriority w:val="99"/>
  </w:style>
  <w:style w:type="paragraph" w:styleId="916">
    <w:name w:val="Caption"/>
    <w:basedOn w:val="1054"/>
    <w:next w:val="10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17">
    <w:name w:val="Caption Char"/>
    <w:basedOn w:val="916"/>
    <w:link w:val="1076"/>
    <w:uiPriority w:val="99"/>
  </w:style>
  <w:style w:type="table" w:styleId="918">
    <w:name w:val="Table Grid"/>
    <w:basedOn w:val="10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>
    <w:name w:val="Table Grid Light"/>
    <w:basedOn w:val="10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>
    <w:name w:val="Plain Table 1"/>
    <w:basedOn w:val="10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1">
    <w:name w:val="Plain Table 2"/>
    <w:basedOn w:val="10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2">
    <w:name w:val="Plain Table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3">
    <w:name w:val="Plain Table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Plain Table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5">
    <w:name w:val="Grid Table 1 Light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Grid Table 1 Light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Grid Table 1 Light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Grid Table 1 Light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Grid Table 1 Light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Grid Table 1 Light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Grid Table 1 Light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Grid Table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2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2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2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2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2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2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3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3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3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3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3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3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4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7">
    <w:name w:val="Grid Table 4 - Accent 1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48">
    <w:name w:val="Grid Table 4 - Accent 2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9">
    <w:name w:val="Grid Table 4 - Accent 3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0">
    <w:name w:val="Grid Table 4 - Accent 4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51">
    <w:name w:val="Grid Table 4 - Accent 5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2">
    <w:name w:val="Grid Table 4 - Accent 6"/>
    <w:basedOn w:val="10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53">
    <w:name w:val="Grid Table 5 Dark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54">
    <w:name w:val="Grid Table 5 Dark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55">
    <w:name w:val="Grid Table 5 Dark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56">
    <w:name w:val="Grid Table 5 Dark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57">
    <w:name w:val="Grid Table 5 Dark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58">
    <w:name w:val="Grid Table 5 Dark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59">
    <w:name w:val="Grid Table 5 Dark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60">
    <w:name w:val="Grid Table 6 Colorful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1">
    <w:name w:val="Grid Table 6 Colorful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2">
    <w:name w:val="Grid Table 6 Colorful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63">
    <w:name w:val="Grid Table 6 Colorful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64">
    <w:name w:val="Grid Table 6 Colorful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65">
    <w:name w:val="Grid Table 6 Colorful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6">
    <w:name w:val="Grid Table 6 Colorful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7">
    <w:name w:val="Grid Table 7 Colorful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7 Colorful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7 Colorful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7 Colorful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7 Colorful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7 Colorful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7 Colorful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1 Light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1 Light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List Table 1 Light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List Table 1 Light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List Table 1 Light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List Table 1 Light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2">
    <w:name w:val="List Table 2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83">
    <w:name w:val="List Table 2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84">
    <w:name w:val="List Table 2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85">
    <w:name w:val="List Table 2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86">
    <w:name w:val="List Table 2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87">
    <w:name w:val="List Table 2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88">
    <w:name w:val="List Table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3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3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3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3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3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3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4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4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4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4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4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4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5 Dark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3">
    <w:name w:val="List Table 5 Dark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4">
    <w:name w:val="List Table 5 Dark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5">
    <w:name w:val="List Table 5 Dark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6">
    <w:name w:val="List Table 5 Dark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7">
    <w:name w:val="List Table 5 Dark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8">
    <w:name w:val="List Table 5 Dark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9">
    <w:name w:val="List Table 6 Colorful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0">
    <w:name w:val="List Table 6 Colorful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11">
    <w:name w:val="List Table 6 Colorful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2">
    <w:name w:val="List Table 6 Colorful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13">
    <w:name w:val="List Table 6 Colorful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4">
    <w:name w:val="List Table 6 Colorful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15">
    <w:name w:val="List Table 6 Colorful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16">
    <w:name w:val="List Table 7 Colorful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17">
    <w:name w:val="List Table 7 Colorful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18">
    <w:name w:val="List Table 7 Colorful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19">
    <w:name w:val="List Table 7 Colorful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20">
    <w:name w:val="List Table 7 Colorful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21">
    <w:name w:val="List Table 7 Colorful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22">
    <w:name w:val="List Table 7 Colorful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23">
    <w:name w:val="Lined - Accent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4">
    <w:name w:val="Lined - Accent 1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25">
    <w:name w:val="Lined - Accent 2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26">
    <w:name w:val="Lined - Accent 3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27">
    <w:name w:val="Lined - Accent 4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28">
    <w:name w:val="Lined - Accent 5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29">
    <w:name w:val="Lined - Accent 6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30">
    <w:name w:val="Bordered &amp; Lined - Accent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1">
    <w:name w:val="Bordered &amp; Lined - Accent 1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32">
    <w:name w:val="Bordered &amp; Lined - Accent 2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33">
    <w:name w:val="Bordered &amp; Lined - Accent 3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34">
    <w:name w:val="Bordered &amp; Lined - Accent 4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35">
    <w:name w:val="Bordered &amp; Lined - Accent 5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36">
    <w:name w:val="Bordered &amp; Lined - Accent 6"/>
    <w:basedOn w:val="10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37">
    <w:name w:val="Bordered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38">
    <w:name w:val="Bordered - Accent 1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9">
    <w:name w:val="Bordered - Accent 2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0">
    <w:name w:val="Bordered - Accent 3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41">
    <w:name w:val="Bordered - Accent 4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2">
    <w:name w:val="Bordered - Accent 5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43">
    <w:name w:val="Bordered - Accent 6"/>
    <w:basedOn w:val="10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44">
    <w:name w:val="Footnote Text Char"/>
    <w:link w:val="1068"/>
    <w:uiPriority w:val="99"/>
    <w:rPr>
      <w:sz w:val="18"/>
    </w:rPr>
  </w:style>
  <w:style w:type="character" w:styleId="1045">
    <w:name w:val="Endnote Text Char"/>
    <w:link w:val="1086"/>
    <w:uiPriority w:val="99"/>
    <w:rPr>
      <w:sz w:val="20"/>
    </w:rPr>
  </w:style>
  <w:style w:type="paragraph" w:styleId="1046">
    <w:name w:val="toc 3"/>
    <w:basedOn w:val="1054"/>
    <w:next w:val="1054"/>
    <w:uiPriority w:val="39"/>
    <w:unhideWhenUsed/>
    <w:pPr>
      <w:ind w:left="567" w:right="0" w:firstLine="0"/>
      <w:spacing w:after="57"/>
    </w:pPr>
  </w:style>
  <w:style w:type="paragraph" w:styleId="1047">
    <w:name w:val="toc 5"/>
    <w:basedOn w:val="1054"/>
    <w:next w:val="1054"/>
    <w:uiPriority w:val="39"/>
    <w:unhideWhenUsed/>
    <w:pPr>
      <w:ind w:left="1134" w:right="0" w:firstLine="0"/>
      <w:spacing w:after="57"/>
    </w:pPr>
  </w:style>
  <w:style w:type="paragraph" w:styleId="1048">
    <w:name w:val="toc 6"/>
    <w:basedOn w:val="1054"/>
    <w:next w:val="1054"/>
    <w:uiPriority w:val="39"/>
    <w:unhideWhenUsed/>
    <w:pPr>
      <w:ind w:left="1417" w:right="0" w:firstLine="0"/>
      <w:spacing w:after="57"/>
    </w:pPr>
  </w:style>
  <w:style w:type="paragraph" w:styleId="1049">
    <w:name w:val="toc 7"/>
    <w:basedOn w:val="1054"/>
    <w:next w:val="1054"/>
    <w:uiPriority w:val="39"/>
    <w:unhideWhenUsed/>
    <w:pPr>
      <w:ind w:left="1701" w:right="0" w:firstLine="0"/>
      <w:spacing w:after="57"/>
    </w:pPr>
  </w:style>
  <w:style w:type="paragraph" w:styleId="1050">
    <w:name w:val="toc 8"/>
    <w:basedOn w:val="1054"/>
    <w:next w:val="1054"/>
    <w:uiPriority w:val="39"/>
    <w:unhideWhenUsed/>
    <w:pPr>
      <w:ind w:left="1984" w:right="0" w:firstLine="0"/>
      <w:spacing w:after="57"/>
    </w:pPr>
  </w:style>
  <w:style w:type="paragraph" w:styleId="1051">
    <w:name w:val="toc 9"/>
    <w:basedOn w:val="1054"/>
    <w:next w:val="1054"/>
    <w:uiPriority w:val="39"/>
    <w:unhideWhenUsed/>
    <w:pPr>
      <w:ind w:left="2268" w:right="0" w:firstLine="0"/>
      <w:spacing w:after="57"/>
    </w:pPr>
  </w:style>
  <w:style w:type="paragraph" w:styleId="1052">
    <w:name w:val="TOC Heading"/>
    <w:uiPriority w:val="39"/>
    <w:unhideWhenUsed/>
  </w:style>
  <w:style w:type="paragraph" w:styleId="1053">
    <w:name w:val="table of figures"/>
    <w:basedOn w:val="1054"/>
    <w:next w:val="1054"/>
    <w:uiPriority w:val="99"/>
    <w:unhideWhenUsed/>
    <w:pPr>
      <w:spacing w:after="0" w:afterAutospacing="0"/>
    </w:pPr>
  </w:style>
  <w:style w:type="paragraph" w:styleId="1054" w:default="1">
    <w:name w:val="Normal"/>
    <w:qFormat/>
    <w:rPr>
      <w:sz w:val="24"/>
      <w:szCs w:val="24"/>
    </w:rPr>
  </w:style>
  <w:style w:type="paragraph" w:styleId="1055">
    <w:name w:val="Heading 1"/>
    <w:basedOn w:val="1054"/>
    <w:next w:val="1054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056">
    <w:name w:val="Heading 2"/>
    <w:basedOn w:val="1054"/>
    <w:next w:val="1054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057">
    <w:name w:val="Heading 3"/>
    <w:basedOn w:val="1054"/>
    <w:next w:val="1054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058">
    <w:name w:val="Heading 4"/>
    <w:basedOn w:val="1054"/>
    <w:next w:val="1054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1059">
    <w:name w:val="Heading 5"/>
    <w:basedOn w:val="1054"/>
    <w:next w:val="1054"/>
    <w:qFormat/>
    <w:pPr>
      <w:keepNext/>
      <w:outlineLvl w:val="4"/>
    </w:pPr>
    <w:rPr>
      <w:b/>
      <w:bCs/>
      <w:sz w:val="28"/>
      <w:szCs w:val="28"/>
    </w:rPr>
  </w:style>
  <w:style w:type="paragraph" w:styleId="1060">
    <w:name w:val="Heading 6"/>
    <w:basedOn w:val="1054"/>
    <w:next w:val="1054"/>
    <w:qFormat/>
    <w:pPr>
      <w:jc w:val="center"/>
      <w:keepNext/>
      <w:outlineLvl w:val="5"/>
    </w:pPr>
    <w:rPr>
      <w:b/>
      <w:bCs/>
    </w:rPr>
  </w:style>
  <w:style w:type="paragraph" w:styleId="1061">
    <w:name w:val="Heading 7"/>
    <w:basedOn w:val="1054"/>
    <w:next w:val="1054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062">
    <w:name w:val="Heading 8"/>
    <w:basedOn w:val="1054"/>
    <w:next w:val="1054"/>
    <w:qFormat/>
    <w:pPr>
      <w:keepNext/>
      <w:outlineLvl w:val="7"/>
    </w:pPr>
    <w:rPr>
      <w:b/>
      <w:bCs/>
    </w:rPr>
  </w:style>
  <w:style w:type="paragraph" w:styleId="1063">
    <w:name w:val="Heading 9"/>
    <w:basedOn w:val="1054"/>
    <w:next w:val="1054"/>
    <w:qFormat/>
    <w:pPr>
      <w:keepNext/>
      <w:outlineLvl w:val="8"/>
    </w:pPr>
    <w:rPr>
      <w:b/>
      <w:bCs/>
      <w:sz w:val="20"/>
      <w:szCs w:val="20"/>
    </w:rPr>
  </w:style>
  <w:style w:type="character" w:styleId="1064" w:default="1">
    <w:name w:val="Default Paragraph Font"/>
    <w:uiPriority w:val="1"/>
    <w:semiHidden/>
    <w:unhideWhenUsed/>
  </w:style>
  <w:style w:type="table" w:styleId="10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6" w:default="1">
    <w:name w:val="No List"/>
    <w:uiPriority w:val="99"/>
    <w:semiHidden/>
    <w:unhideWhenUsed/>
  </w:style>
  <w:style w:type="character" w:styleId="1067">
    <w:name w:val="footnote reference"/>
    <w:qFormat/>
    <w:rPr>
      <w:rFonts w:ascii="Times New Roman" w:hAnsi="Times New Roman" w:cs="Times New Roman"/>
      <w:vertAlign w:val="superscript"/>
    </w:rPr>
  </w:style>
  <w:style w:type="paragraph" w:styleId="1068">
    <w:name w:val="footnote text"/>
    <w:basedOn w:val="1054"/>
    <w:link w:val="1089"/>
    <w:qFormat/>
    <w:rPr>
      <w:sz w:val="20"/>
      <w:szCs w:val="20"/>
    </w:rPr>
  </w:style>
  <w:style w:type="paragraph" w:styleId="1069">
    <w:name w:val="Document Map"/>
    <w:basedOn w:val="1054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70">
    <w:name w:val="No Spacing"/>
    <w:link w:val="1071"/>
    <w:uiPriority w:val="99"/>
    <w:qFormat/>
    <w:rPr>
      <w:rFonts w:ascii="Calibri" w:hAnsi="Calibri"/>
      <w:sz w:val="22"/>
      <w:szCs w:val="22"/>
      <w:lang w:eastAsia="en-US"/>
    </w:rPr>
  </w:style>
  <w:style w:type="character" w:styleId="1071" w:customStyle="1">
    <w:name w:val="Без интервала Знак"/>
    <w:link w:val="1070"/>
    <w:uiPriority w:val="99"/>
    <w:rPr>
      <w:rFonts w:ascii="Calibri" w:hAnsi="Calibri"/>
      <w:sz w:val="22"/>
      <w:szCs w:val="22"/>
      <w:lang w:val="ru-RU" w:eastAsia="en-US" w:bidi="ar-SA"/>
    </w:rPr>
  </w:style>
  <w:style w:type="paragraph" w:styleId="1072">
    <w:name w:val="toc 4"/>
    <w:basedOn w:val="1054"/>
    <w:next w:val="1054"/>
    <w:uiPriority w:val="39"/>
    <w:pPr>
      <w:ind w:right="142"/>
      <w:spacing w:line="360" w:lineRule="auto"/>
      <w:tabs>
        <w:tab w:val="right" w:pos="10206" w:leader="dot"/>
      </w:tabs>
    </w:pPr>
    <w:rPr>
      <w:sz w:val="22"/>
    </w:rPr>
  </w:style>
  <w:style w:type="character" w:styleId="1073">
    <w:name w:val="Hyperlink"/>
    <w:uiPriority w:val="99"/>
    <w:unhideWhenUsed/>
    <w:rPr>
      <w:color w:val="0000ff"/>
      <w:u w:val="single"/>
    </w:rPr>
  </w:style>
  <w:style w:type="paragraph" w:styleId="1074">
    <w:name w:val="Header"/>
    <w:basedOn w:val="1054"/>
    <w:link w:val="1075"/>
    <w:uiPriority w:val="99"/>
    <w:pPr>
      <w:tabs>
        <w:tab w:val="center" w:pos="4677" w:leader="none"/>
        <w:tab w:val="right" w:pos="9355" w:leader="none"/>
      </w:tabs>
    </w:pPr>
  </w:style>
  <w:style w:type="character" w:styleId="1075" w:customStyle="1">
    <w:name w:val="Верхний колонтитул Знак"/>
    <w:link w:val="1074"/>
    <w:uiPriority w:val="99"/>
    <w:rPr>
      <w:sz w:val="24"/>
      <w:szCs w:val="24"/>
    </w:rPr>
  </w:style>
  <w:style w:type="paragraph" w:styleId="1076">
    <w:name w:val="Footer"/>
    <w:basedOn w:val="1054"/>
    <w:link w:val="1077"/>
    <w:pPr>
      <w:tabs>
        <w:tab w:val="center" w:pos="4677" w:leader="none"/>
        <w:tab w:val="right" w:pos="9355" w:leader="none"/>
      </w:tabs>
    </w:pPr>
  </w:style>
  <w:style w:type="character" w:styleId="1077" w:customStyle="1">
    <w:name w:val="Нижний колонтитул Знак"/>
    <w:link w:val="1076"/>
    <w:rPr>
      <w:sz w:val="24"/>
      <w:szCs w:val="24"/>
    </w:rPr>
  </w:style>
  <w:style w:type="paragraph" w:styleId="1078">
    <w:name w:val="Balloon Text"/>
    <w:basedOn w:val="1054"/>
    <w:link w:val="1079"/>
    <w:rPr>
      <w:rFonts w:ascii="Tahoma" w:hAnsi="Tahoma"/>
      <w:sz w:val="16"/>
      <w:szCs w:val="16"/>
    </w:rPr>
  </w:style>
  <w:style w:type="character" w:styleId="1079" w:customStyle="1">
    <w:name w:val="Текст выноски Знак"/>
    <w:link w:val="1078"/>
    <w:rPr>
      <w:rFonts w:ascii="Tahoma" w:hAnsi="Tahoma" w:cs="Tahoma"/>
      <w:sz w:val="16"/>
      <w:szCs w:val="16"/>
    </w:rPr>
  </w:style>
  <w:style w:type="paragraph" w:styleId="1080">
    <w:name w:val="Body Text Indent 2"/>
    <w:basedOn w:val="1054"/>
    <w:link w:val="1081"/>
    <w:pPr>
      <w:ind w:firstLine="708"/>
      <w:jc w:val="both"/>
    </w:pPr>
    <w:rPr>
      <w:sz w:val="22"/>
      <w:szCs w:val="22"/>
    </w:rPr>
  </w:style>
  <w:style w:type="character" w:styleId="1081" w:customStyle="1">
    <w:name w:val="Основной текст с отступом 2 Знак"/>
    <w:link w:val="1080"/>
    <w:rPr>
      <w:sz w:val="22"/>
      <w:szCs w:val="22"/>
    </w:rPr>
  </w:style>
  <w:style w:type="paragraph" w:styleId="1082">
    <w:name w:val="Body Text 2"/>
    <w:basedOn w:val="1054"/>
    <w:link w:val="1083"/>
    <w:rPr>
      <w:b/>
      <w:bCs/>
      <w:sz w:val="20"/>
      <w:szCs w:val="22"/>
    </w:rPr>
  </w:style>
  <w:style w:type="character" w:styleId="1083" w:customStyle="1">
    <w:name w:val="Основной текст 2 Знак"/>
    <w:link w:val="1082"/>
    <w:rPr>
      <w:b/>
      <w:bCs/>
      <w:szCs w:val="22"/>
    </w:rPr>
  </w:style>
  <w:style w:type="paragraph" w:styleId="1084">
    <w:name w:val="Body Text"/>
    <w:basedOn w:val="1054"/>
    <w:link w:val="1085"/>
    <w:pPr>
      <w:spacing w:after="120"/>
    </w:pPr>
  </w:style>
  <w:style w:type="character" w:styleId="1085" w:customStyle="1">
    <w:name w:val="Основной текст Знак"/>
    <w:link w:val="1084"/>
    <w:rPr>
      <w:sz w:val="24"/>
      <w:szCs w:val="24"/>
    </w:rPr>
  </w:style>
  <w:style w:type="paragraph" w:styleId="1086">
    <w:name w:val="endnote text"/>
    <w:basedOn w:val="1054"/>
    <w:link w:val="1087"/>
    <w:rPr>
      <w:sz w:val="20"/>
      <w:szCs w:val="20"/>
    </w:rPr>
  </w:style>
  <w:style w:type="character" w:styleId="1087" w:customStyle="1">
    <w:name w:val="Текст концевой сноски Знак"/>
    <w:basedOn w:val="1064"/>
    <w:link w:val="1086"/>
  </w:style>
  <w:style w:type="character" w:styleId="1088">
    <w:name w:val="endnote reference"/>
    <w:rPr>
      <w:vertAlign w:val="superscript"/>
    </w:rPr>
  </w:style>
  <w:style w:type="character" w:styleId="1089" w:customStyle="1">
    <w:name w:val="Текст сноски Знак"/>
    <w:link w:val="1068"/>
  </w:style>
  <w:style w:type="paragraph" w:styleId="1090" w:customStyle="1">
    <w:name w:val="Нормальный"/>
    <w:rPr>
      <w:rFonts w:ascii="TimesET" w:hAnsi="TimesET" w:cs="TimesET"/>
      <w:b/>
      <w:bCs/>
      <w:i/>
      <w:iCs/>
      <w:smallCaps/>
      <w:sz w:val="24"/>
      <w:szCs w:val="24"/>
    </w:rPr>
  </w:style>
  <w:style w:type="paragraph" w:styleId="1091">
    <w:name w:val="List Paragraph"/>
    <w:basedOn w:val="1054"/>
    <w:link w:val="1099"/>
    <w:uiPriority w:val="34"/>
    <w:qFormat/>
    <w:pPr>
      <w:contextualSpacing/>
      <w:ind w:left="720"/>
    </w:pPr>
  </w:style>
  <w:style w:type="paragraph" w:styleId="1092" w:customStyle="1">
    <w:name w:val="Default"/>
    <w:rPr>
      <w:rFonts w:eastAsia="Calibri"/>
      <w:color w:val="000000"/>
      <w:sz w:val="24"/>
      <w:szCs w:val="24"/>
    </w:rPr>
  </w:style>
  <w:style w:type="paragraph" w:styleId="1093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1094">
    <w:name w:val="toc 1"/>
    <w:basedOn w:val="1054"/>
    <w:next w:val="1054"/>
    <w:uiPriority w:val="39"/>
    <w:unhideWhenUsed/>
    <w:pPr>
      <w:spacing w:after="100"/>
    </w:pPr>
  </w:style>
  <w:style w:type="table" w:styleId="1095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096">
    <w:name w:val="Title"/>
    <w:basedOn w:val="1054"/>
    <w:link w:val="1097"/>
    <w:uiPriority w:val="1"/>
    <w:qFormat/>
    <w:pPr>
      <w:ind w:left="1010" w:hanging="333"/>
      <w:spacing w:before="130"/>
      <w:widowControl w:val="off"/>
    </w:pPr>
    <w:rPr>
      <w:lang w:eastAsia="en-US"/>
    </w:rPr>
  </w:style>
  <w:style w:type="character" w:styleId="1097" w:customStyle="1">
    <w:name w:val="Заголовок Знак"/>
    <w:basedOn w:val="1064"/>
    <w:link w:val="1096"/>
    <w:uiPriority w:val="1"/>
    <w:rPr>
      <w:sz w:val="24"/>
      <w:szCs w:val="24"/>
      <w:lang w:eastAsia="en-US"/>
    </w:rPr>
  </w:style>
  <w:style w:type="paragraph" w:styleId="1098" w:customStyle="1">
    <w:name w:val="Table Paragraph"/>
    <w:basedOn w:val="1054"/>
    <w:uiPriority w:val="1"/>
    <w:qFormat/>
    <w:pPr>
      <w:widowControl w:val="off"/>
    </w:pPr>
    <w:rPr>
      <w:sz w:val="22"/>
      <w:szCs w:val="22"/>
      <w:lang w:eastAsia="en-US"/>
    </w:rPr>
  </w:style>
  <w:style w:type="character" w:styleId="1099" w:customStyle="1">
    <w:name w:val="Абзац списка Знак"/>
    <w:link w:val="1091"/>
    <w:uiPriority w:val="34"/>
    <w:rPr>
      <w:sz w:val="24"/>
      <w:szCs w:val="24"/>
    </w:rPr>
  </w:style>
  <w:style w:type="paragraph" w:styleId="1100">
    <w:name w:val="toc 2"/>
    <w:basedOn w:val="1054"/>
    <w:next w:val="1054"/>
    <w:uiPriority w:val="39"/>
    <w:unhideWhenUsed/>
    <w:pPr>
      <w:ind w:left="240"/>
      <w:spacing w:after="1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E24277-8E66-423E-AC23-DDC94FBD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RSB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20</cp:revision>
  <dcterms:created xsi:type="dcterms:W3CDTF">2024-08-01T06:14:00Z</dcterms:created>
  <dcterms:modified xsi:type="dcterms:W3CDTF">2025-11-25T06:59:06Z</dcterms:modified>
</cp:coreProperties>
</file>