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60"/>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60"/>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7"/>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7"/>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7"/>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cs="Calibri"/>
                <w:bCs/>
                <w:sz w:val="36"/>
                <w:szCs w:val="36"/>
              </w:rPr>
            </w:pPr>
            <w:r>
              <w:rPr>
                <w:rFonts w:cs="Calibri"/>
                <w:bCs/>
                <w:sz w:val="36"/>
                <w:szCs w:val="36"/>
              </w:rPr>
              <w:t xml:space="preserve">действуют с 30</w:t>
            </w:r>
            <w:r>
              <w:rPr>
                <w:rFonts w:cs="Calibri"/>
                <w:bCs/>
                <w:sz w:val="36"/>
                <w:szCs w:val="36"/>
              </w:rPr>
              <w:t xml:space="preserve">.05.2025</w:t>
            </w:r>
            <w:r>
              <w:rPr>
                <w:rFonts w:cs="Calibri"/>
                <w:bCs/>
                <w:sz w:val="36"/>
                <w:szCs w:val="36"/>
              </w:rPr>
            </w:r>
            <w:r>
              <w:rPr>
                <w:rFonts w:cs="Calibri"/>
                <w:bCs/>
                <w:sz w:val="36"/>
                <w:szCs w:val="36"/>
              </w:rPr>
            </w:r>
          </w:p>
        </w:tc>
      </w:tr>
    </w:tbl>
    <w:p>
      <w:pPr>
        <w:pStyle w:val="116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60"/>
      </w:pPr>
      <w:r/>
      <w:r/>
    </w:p>
    <w:p>
      <w:pPr>
        <w:pStyle w:val="1160"/>
        <w:jc w:val="center"/>
        <w:widowControl w:val="off"/>
      </w:pPr>
      <w:r/>
      <w:r/>
    </w:p>
    <w:p>
      <w:pPr>
        <w:pStyle w:val="1160"/>
        <w:rPr>
          <w:b/>
          <w:caps/>
          <w:sz w:val="22"/>
        </w:rPr>
      </w:pPr>
      <w:r>
        <w:br w:type="page" w:clear="all"/>
      </w:r>
      <w:r>
        <w:rPr>
          <w:b/>
          <w:caps/>
          <w:sz w:val="22"/>
        </w:rPr>
        <w:t xml:space="preserve">Содержание:</w:t>
      </w:r>
      <w:r>
        <w:rPr>
          <w:b/>
          <w:caps/>
          <w:sz w:val="22"/>
        </w:rPr>
      </w:r>
      <w:r>
        <w:rPr>
          <w:b/>
          <w:caps/>
          <w:sz w:val="22"/>
        </w:rPr>
      </w:r>
    </w:p>
    <w:p>
      <w:pPr>
        <w:pStyle w:val="1160"/>
        <w:widowControl w:val="off"/>
      </w:pPr>
      <w:r/>
      <w:r/>
    </w:p>
    <w:p>
      <w:pPr>
        <w:pStyle w:val="1179"/>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6"/>
          <w:color w:val="000000"/>
        </w:rPr>
        <w:fldChar w:fldCharType="begin"/>
      </w:r>
      <w:r>
        <w:rPr>
          <w:rStyle w:val="1176"/>
          <w:color w:val="000000"/>
        </w:rPr>
        <w:instrText xml:space="preserve"> </w:instrText>
      </w:r>
      <w:r>
        <w:instrText xml:space="preserve">HYPERLINK \l "_Toc53502956"</w:instrText>
      </w:r>
      <w:r>
        <w:rPr>
          <w:rStyle w:val="1176"/>
          <w:color w:val="000000"/>
        </w:rPr>
        <w:instrText xml:space="preserve"> </w:instrText>
      </w:r>
      <w:r>
        <w:rPr>
          <w:rStyle w:val="1176"/>
          <w:color w:val="000000"/>
        </w:rPr>
        <w:fldChar w:fldCharType="separate"/>
      </w:r>
      <w:r>
        <w:rPr>
          <w:rStyle w:val="1176"/>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"_Toc53502957"</w:instrText>
      </w:r>
      <w:r>
        <w:rPr>
          <w:rStyle w:val="1176"/>
          <w:color w:val="000000"/>
        </w:rPr>
        <w:instrText xml:space="preserve"> </w:instrText>
      </w:r>
      <w:r>
        <w:rPr>
          <w:rStyle w:val="1176"/>
          <w:color w:val="000000"/>
        </w:rPr>
        <w:fldChar w:fldCharType="separate"/>
      </w:r>
      <w:r>
        <w:rPr>
          <w:rStyle w:val="1176"/>
          <w:color w:val="000000"/>
        </w:rPr>
        <w:t xml:space="preserve">2. Кассовые операции*</w:t>
      </w:r>
      <w:r>
        <w:tab/>
      </w:r>
      <w:r>
        <w:t xml:space="preserve">31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"_Toc53502958"</w:instrText>
      </w:r>
      <w:r>
        <w:rPr>
          <w:rStyle w:val="1176"/>
          <w:color w:val="000000"/>
        </w:rPr>
        <w:instrText xml:space="preserve"> </w:instrText>
      </w:r>
      <w:r>
        <w:rPr>
          <w:rStyle w:val="1176"/>
          <w:color w:val="000000"/>
        </w:rPr>
        <w:fldChar w:fldCharType="separate"/>
      </w:r>
      <w:r>
        <w:rPr>
          <w:rStyle w:val="1176"/>
          <w:color w:val="000000"/>
        </w:rPr>
        <w:t xml:space="preserve">3. Выполнение функций агента валютного контроля</w:t>
      </w:r>
      <w:r>
        <w:tab/>
      </w:r>
      <w:r>
        <w:t xml:space="preserve">35</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"_Toc53502959"</w:instrText>
      </w:r>
      <w:r>
        <w:rPr>
          <w:rStyle w:val="1176"/>
          <w:color w:val="000000"/>
        </w:rPr>
        <w:instrText xml:space="preserve"> </w:instrText>
      </w:r>
      <w:r>
        <w:rPr>
          <w:rStyle w:val="1176"/>
          <w:color w:val="000000"/>
        </w:rPr>
        <w:fldChar w:fldCharType="separate"/>
      </w:r>
      <w:r>
        <w:rPr>
          <w:rStyle w:val="1176"/>
          <w:color w:val="000000"/>
        </w:rPr>
        <w:t xml:space="preserve">4. Операции с ценными бумагами</w:t>
      </w:r>
      <w:r>
        <w:tab/>
      </w:r>
      <w:r>
        <w:t xml:space="preserve">39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"_Toc53502960"</w:instrText>
      </w:r>
      <w:r>
        <w:rPr>
          <w:rStyle w:val="1176"/>
          <w:color w:val="000000"/>
        </w:rPr>
        <w:instrText xml:space="preserve"> </w:instrText>
      </w:r>
      <w:r>
        <w:rPr>
          <w:rStyle w:val="1176"/>
          <w:color w:val="000000"/>
        </w:rPr>
        <w:fldChar w:fldCharType="separate"/>
      </w:r>
      <w:r>
        <w:rPr>
          <w:rStyle w:val="1176"/>
          <w:color w:val="000000"/>
        </w:rPr>
        <w:t xml:space="preserve">5. Документарные операции</w:t>
      </w:r>
      <w:r>
        <w:tab/>
      </w:r>
      <w:r>
        <w:t xml:space="preserve">40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"_Toc53502961"</w:instrText>
      </w:r>
      <w:r>
        <w:rPr>
          <w:rStyle w:val="1176"/>
          <w:color w:val="000000"/>
        </w:rPr>
        <w:instrText xml:space="preserve"> </w:instrText>
      </w:r>
      <w:r>
        <w:rPr>
          <w:rStyle w:val="1176"/>
          <w:color w:val="000000"/>
        </w:rPr>
        <w:fldChar w:fldCharType="separate"/>
      </w:r>
      <w:r>
        <w:rPr>
          <w:rStyle w:val="1176"/>
          <w:color w:val="000000"/>
        </w:rPr>
        <w:t xml:space="preserve">6. Гарантийные операции</w:t>
      </w:r>
      <w:r>
        <w:tab/>
      </w:r>
      <w:r>
        <w:t xml:space="preserve">47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"_Toc53502962"</w:instrText>
      </w:r>
      <w:r>
        <w:rPr>
          <w:rStyle w:val="1176"/>
          <w:color w:val="000000"/>
        </w:rPr>
        <w:instrText xml:space="preserve"> </w:instrText>
      </w:r>
      <w:r>
        <w:rPr>
          <w:rStyle w:val="1176"/>
          <w:color w:val="000000"/>
        </w:rPr>
        <w:fldChar w:fldCharType="separate"/>
      </w:r>
      <w:r>
        <w:rPr>
          <w:rStyle w:val="1176"/>
          <w:color w:val="000000"/>
        </w:rPr>
        <w:t xml:space="preserve">7. Дистанционное банковское обслуживание (ДБО)</w:t>
      </w:r>
      <w:r>
        <w:tab/>
      </w:r>
      <w:r>
        <w:t xml:space="preserve">50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"_Toc53502963"</w:instrText>
      </w:r>
      <w:r>
        <w:rPr>
          <w:rStyle w:val="1176"/>
          <w:color w:val="000000"/>
        </w:rPr>
        <w:instrText xml:space="preserve"> </w:instrText>
      </w:r>
      <w:r>
        <w:rPr>
          <w:rStyle w:val="1176"/>
          <w:color w:val="000000"/>
        </w:rPr>
        <w:fldChar w:fldCharType="separate"/>
      </w:r>
      <w:r>
        <w:rPr>
          <w:rStyle w:val="1176"/>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6"/>
          <w:color w:val="000000"/>
        </w:rPr>
        <w:fldChar w:fldCharType="end"/>
      </w:r>
      <w:r>
        <w:rPr>
          <w:rStyle w:val="1176"/>
          <w:color w:val="000000"/>
        </w:rPr>
        <w:t xml:space="preserve">7</w:t>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"_Toc53502964"</w:instrText>
      </w:r>
      <w:r>
        <w:rPr>
          <w:rStyle w:val="1176"/>
          <w:color w:val="000000"/>
        </w:rPr>
        <w:instrText xml:space="preserve"> </w:instrText>
      </w:r>
      <w:r>
        <w:rPr>
          <w:rStyle w:val="1176"/>
          <w:color w:val="000000"/>
        </w:rPr>
        <w:fldChar w:fldCharType="separate"/>
      </w:r>
      <w:r>
        <w:rPr>
          <w:rStyle w:val="1176"/>
          <w:color w:val="000000"/>
        </w:rPr>
        <w:t xml:space="preserve">9. Операции по предоставлению клиентам в аренду</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"_Toc53502965"</w:instrText>
      </w:r>
      <w:r>
        <w:rPr>
          <w:rStyle w:val="1176"/>
          <w:color w:val="000000"/>
        </w:rPr>
        <w:instrText xml:space="preserve"> </w:instrText>
      </w:r>
      <w:r>
        <w:rPr>
          <w:rStyle w:val="1176"/>
          <w:color w:val="000000"/>
        </w:rPr>
        <w:fldChar w:fldCharType="separate"/>
      </w:r>
      <w:r>
        <w:rPr>
          <w:rStyle w:val="1176"/>
          <w:color w:val="000000"/>
        </w:rPr>
        <w:t xml:space="preserve">индивидуальных сейфовых ячеек *</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"_Toc53502966"</w:instrText>
      </w:r>
      <w:r>
        <w:rPr>
          <w:rStyle w:val="1176"/>
          <w:color w:val="000000"/>
        </w:rPr>
        <w:instrText xml:space="preserve"> </w:instrText>
      </w:r>
      <w:r>
        <w:rPr>
          <w:rStyle w:val="1176"/>
          <w:color w:val="000000"/>
        </w:rPr>
        <w:fldChar w:fldCharType="separate"/>
      </w:r>
      <w:r>
        <w:rPr>
          <w:rStyle w:val="1176"/>
          <w:color w:val="000000"/>
        </w:rPr>
        <w:t xml:space="preserve">10. Услуги инкассации</w:t>
      </w:r>
      <w:r>
        <w:tab/>
      </w:r>
      <w:r>
        <w:t xml:space="preserve">57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"_Toc53502967"</w:instrText>
      </w:r>
      <w:r>
        <w:rPr>
          <w:rStyle w:val="1176"/>
          <w:color w:val="000000"/>
        </w:rPr>
        <w:instrText xml:space="preserve"> </w:instrText>
      </w:r>
      <w:r>
        <w:rPr>
          <w:rStyle w:val="1176"/>
          <w:color w:val="000000"/>
        </w:rPr>
        <w:fldChar w:fldCharType="separate"/>
      </w:r>
      <w:r>
        <w:rPr>
          <w:rStyle w:val="1176"/>
          <w:color w:val="000000"/>
        </w:rPr>
        <w:t xml:space="preserve">11. Операции по покупке-продаже иностранной валюты</w:t>
      </w:r>
      <w:r>
        <w:rPr>
          <w:rStyle w:val="1176"/>
          <w:color w:val="000000"/>
          <w:vertAlign w:val="superscript"/>
        </w:rPr>
        <w:t xml:space="preserve">1</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"_Toc53502968"</w:instrText>
      </w:r>
      <w:r>
        <w:rPr>
          <w:rStyle w:val="1176"/>
          <w:color w:val="000000"/>
        </w:rPr>
        <w:instrText xml:space="preserve"> </w:instrText>
      </w:r>
      <w:r>
        <w:rPr>
          <w:rStyle w:val="1176"/>
          <w:color w:val="000000"/>
        </w:rPr>
        <w:fldChar w:fldCharType="separate"/>
      </w:r>
      <w:r>
        <w:rPr>
          <w:rStyle w:val="1176"/>
          <w:color w:val="000000"/>
        </w:rPr>
        <w:t xml:space="preserve">12. Кредитные операции</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"_Toc53502969"</w:instrText>
      </w:r>
      <w:r>
        <w:rPr>
          <w:rStyle w:val="1176"/>
          <w:color w:val="000000"/>
        </w:rPr>
        <w:instrText xml:space="preserve"> </w:instrText>
      </w:r>
      <w:r>
        <w:rPr>
          <w:rStyle w:val="1176"/>
          <w:color w:val="000000"/>
        </w:rPr>
        <w:fldChar w:fldCharType="separate"/>
      </w:r>
      <w:r>
        <w:rPr>
          <w:rStyle w:val="1176"/>
          <w:color w:val="000000"/>
        </w:rPr>
        <w:t xml:space="preserve">13. Обслуживание торгово-сервисных предприятий*, </w:t>
      </w:r>
      <w:r>
        <w:rPr>
          <w:rStyle w:val="1176"/>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"_Toc53502970"</w:instrText>
      </w:r>
      <w:r>
        <w:rPr>
          <w:rStyle w:val="1176"/>
          <w:color w:val="000000"/>
        </w:rPr>
        <w:instrText xml:space="preserve"> </w:instrText>
      </w:r>
      <w:r>
        <w:rPr>
          <w:rStyle w:val="1176"/>
          <w:color w:val="000000"/>
        </w:rPr>
        <w:fldChar w:fldCharType="separate"/>
      </w:r>
      <w:r>
        <w:rPr>
          <w:rStyle w:val="1176"/>
          <w:color w:val="000000"/>
        </w:rPr>
        <w:t xml:space="preserve">14. Депозитарные услуги*</w:t>
      </w:r>
      <w:r>
        <w:tab/>
      </w:r>
      <w:r>
        <w:t xml:space="preserve">71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"_Toc53502971"</w:instrText>
      </w:r>
      <w:r>
        <w:rPr>
          <w:rStyle w:val="1176"/>
          <w:color w:val="000000"/>
        </w:rPr>
        <w:instrText xml:space="preserve"> </w:instrText>
      </w:r>
      <w:r>
        <w:rPr>
          <w:rStyle w:val="1176"/>
          <w:color w:val="000000"/>
        </w:rPr>
        <w:fldChar w:fldCharType="separate"/>
      </w:r>
      <w:r>
        <w:rPr>
          <w:rStyle w:val="1176"/>
          <w:color w:val="000000"/>
        </w:rPr>
        <w:t xml:space="preserve">15. Операции с монетами из драгоценных металлов</w:t>
      </w:r>
      <w:r>
        <w:tab/>
      </w:r>
      <w:r>
        <w:t xml:space="preserve">76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"_Toc53502972"</w:instrText>
      </w:r>
      <w:r>
        <w:rPr>
          <w:rStyle w:val="1176"/>
          <w:color w:val="000000"/>
        </w:rPr>
        <w:instrText xml:space="preserve"> </w:instrText>
      </w:r>
      <w:r>
        <w:rPr>
          <w:rStyle w:val="1176"/>
          <w:color w:val="000000"/>
        </w:rPr>
        <w:fldChar w:fldCharType="separate"/>
      </w:r>
      <w:r>
        <w:rPr>
          <w:rStyle w:val="1176"/>
          <w:color w:val="000000"/>
        </w:rPr>
        <w:t xml:space="preserve">16. Операции с драгоценными металлами</w:t>
      </w:r>
      <w:r>
        <w:tab/>
      </w:r>
      <w:r>
        <w:t xml:space="preserve">77</w:t>
      </w:r>
      <w:r>
        <w:rPr>
          <w:rStyle w:val="1176"/>
          <w:color w:val="000000"/>
        </w:rPr>
        <w:fldChar w:fldCharType="end"/>
      </w:r>
      <w:r>
        <w:rPr>
          <w:rFonts w:ascii="Calibri" w:hAnsi="Calibri"/>
          <w:szCs w:val="22"/>
        </w:rPr>
      </w:r>
      <w:r>
        <w:rPr>
          <w:rFonts w:ascii="Calibri" w:hAnsi="Calibri"/>
          <w:szCs w:val="22"/>
        </w:rPr>
      </w:r>
    </w:p>
    <w:p>
      <w:pPr>
        <w:pStyle w:val="1179"/>
        <w:rPr>
          <w:rStyle w:val="1176"/>
          <w:color w:val="000000"/>
        </w:rPr>
      </w:pPr>
      <w:r>
        <w:rPr>
          <w:rStyle w:val="1176"/>
          <w:color w:val="000000"/>
        </w:rPr>
        <w:fldChar w:fldCharType="begin"/>
      </w:r>
      <w:r>
        <w:rPr>
          <w:rStyle w:val="1176"/>
          <w:color w:val="000000"/>
        </w:rPr>
        <w:instrText xml:space="preserve"> </w:instrText>
      </w:r>
      <w:r>
        <w:instrText xml:space="preserve">HYPERLINK \l "_Toc53502973"</w:instrText>
      </w:r>
      <w:r>
        <w:rPr>
          <w:rStyle w:val="1176"/>
          <w:color w:val="000000"/>
        </w:rPr>
        <w:instrText xml:space="preserve"> </w:instrText>
      </w:r>
      <w:r>
        <w:rPr>
          <w:rStyle w:val="1176"/>
          <w:color w:val="000000"/>
        </w:rPr>
        <w:fldChar w:fldCharType="separate"/>
      </w:r>
      <w:r>
        <w:rPr>
          <w:rStyle w:val="1176"/>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6"/>
          <w:color w:val="000000"/>
        </w:rPr>
        <w:fldChar w:fldCharType="end"/>
      </w:r>
      <w:r>
        <w:rPr>
          <w:rStyle w:val="1176"/>
          <w:color w:val="000000"/>
        </w:rPr>
      </w:r>
      <w:r>
        <w:rPr>
          <w:rStyle w:val="1176"/>
          <w:color w:val="000000"/>
        </w:rPr>
      </w:r>
    </w:p>
    <w:p>
      <w:pPr>
        <w:pStyle w:val="1160"/>
      </w:pPr>
      <w:r>
        <w:t xml:space="preserve">18 «</w:t>
      </w:r>
      <w:r>
        <w:t xml:space="preserve">Операции с использованием цифрового рубля</w:t>
      </w:r>
      <w:r>
        <w:t xml:space="preserve">»………………………………………………82</w:t>
      </w:r>
      <w:r/>
    </w:p>
    <w:p>
      <w:pPr>
        <w:pStyle w:val="1160"/>
      </w:pPr>
      <w:r>
        <w:t xml:space="preserve">Приложение…………………………………………………………………………………………….</w:t>
      </w:r>
      <w:r>
        <w:t xml:space="preserve">8</w:t>
      </w:r>
      <w:r>
        <w:t xml:space="preserve">2</w:t>
      </w:r>
      <w:r/>
    </w:p>
    <w:p>
      <w:pPr>
        <w:pStyle w:val="1164"/>
        <w:jc w:val="both"/>
      </w:pPr>
      <w:r>
        <w:fldChar w:fldCharType="end"/>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6"/>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6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6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6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20</w:t>
            </w:r>
            <w:r>
              <w:t xml:space="preserve">00 руб.</w:t>
            </w:r>
            <w:r/>
          </w:p>
          <w:p>
            <w:pPr>
              <w:pStyle w:val="1160"/>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60"/>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6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6"/>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6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6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6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6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6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6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6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6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6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34"/>
              <w:spacing w:after="40"/>
            </w:pPr>
            <w:r/>
            <w:r/>
          </w:p>
          <w:p>
            <w:pPr>
              <w:pStyle w:val="1160"/>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after="40"/>
            </w:pPr>
            <w:r/>
            <w:r/>
          </w:p>
          <w:p>
            <w:pPr>
              <w:pStyle w:val="1160"/>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6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spacing w:after="120"/>
            </w:pPr>
            <w:r>
              <w:t xml:space="preserve">300 руб. </w:t>
            </w:r>
            <w:r/>
          </w:p>
          <w:p>
            <w:pPr>
              <w:pStyle w:val="1160"/>
              <w:jc w:val="center"/>
              <w:spacing w:after="120"/>
            </w:pPr>
            <w:r>
              <w:t xml:space="preserve">при ОБЩЕЙ СУММЕ </w:t>
            </w:r>
            <w:r/>
          </w:p>
          <w:p>
            <w:pPr>
              <w:pStyle w:val="1160"/>
              <w:jc w:val="center"/>
              <w:spacing w:after="120"/>
            </w:pPr>
            <w:r>
              <w:t xml:space="preserve">до 150 000,00 руб. (включительно);</w:t>
            </w:r>
            <w:r/>
          </w:p>
          <w:p>
            <w:pPr>
              <w:pStyle w:val="1160"/>
              <w:jc w:val="center"/>
              <w:spacing w:after="120"/>
            </w:pPr>
            <w:r>
              <w:t xml:space="preserve">1% от суммы </w:t>
            </w:r>
            <w:r/>
          </w:p>
          <w:p>
            <w:pPr>
              <w:pStyle w:val="1160"/>
              <w:jc w:val="center"/>
              <w:spacing w:after="120"/>
            </w:pPr>
            <w:r>
              <w:t xml:space="preserve">при ОБЩЕЙ СУММЕ</w:t>
            </w:r>
            <w:r/>
          </w:p>
          <w:p>
            <w:pPr>
              <w:pStyle w:val="1160"/>
              <w:jc w:val="center"/>
              <w:spacing w:after="120"/>
            </w:pPr>
            <w:r>
              <w:t xml:space="preserve">с 150 000,01 руб. до 300 000,00 руб. (включительно);</w:t>
            </w:r>
            <w:r/>
          </w:p>
          <w:p>
            <w:pPr>
              <w:pStyle w:val="1160"/>
              <w:jc w:val="center"/>
              <w:spacing w:after="120"/>
            </w:pPr>
            <w:r>
              <w:t xml:space="preserve">1,7% от суммы </w:t>
            </w:r>
            <w:r/>
          </w:p>
          <w:p>
            <w:pPr>
              <w:pStyle w:val="1160"/>
              <w:jc w:val="center"/>
              <w:spacing w:after="120"/>
            </w:pPr>
            <w:r>
              <w:t xml:space="preserve">при ОБЩЕЙ СУММЕ</w:t>
            </w:r>
            <w:r/>
          </w:p>
          <w:p>
            <w:pPr>
              <w:pStyle w:val="1160"/>
              <w:jc w:val="center"/>
              <w:spacing w:after="120"/>
            </w:pPr>
            <w:r>
              <w:t xml:space="preserve">с 300 000,01 руб. </w:t>
            </w:r>
            <w:r/>
          </w:p>
          <w:p>
            <w:pPr>
              <w:pStyle w:val="1160"/>
              <w:jc w:val="center"/>
              <w:spacing w:after="120"/>
            </w:pPr>
            <w:r>
              <w:t xml:space="preserve">до 2 000 000,00 руб. (включительно);</w:t>
            </w:r>
            <w:r/>
          </w:p>
          <w:p>
            <w:pPr>
              <w:pStyle w:val="1160"/>
              <w:jc w:val="center"/>
              <w:spacing w:after="120"/>
            </w:pPr>
            <w:r>
              <w:t xml:space="preserve">3,7% от суммы </w:t>
            </w:r>
            <w:r/>
          </w:p>
          <w:p>
            <w:pPr>
              <w:pStyle w:val="1160"/>
              <w:jc w:val="center"/>
              <w:spacing w:after="120"/>
            </w:pPr>
            <w:r>
              <w:t xml:space="preserve">при ОБЩЕЙ СУММЕ</w:t>
            </w:r>
            <w:r/>
          </w:p>
          <w:p>
            <w:pPr>
              <w:pStyle w:val="1160"/>
              <w:jc w:val="center"/>
              <w:spacing w:after="120"/>
            </w:pPr>
            <w:r>
              <w:t xml:space="preserve">с 2 000 000,01 руб. </w:t>
            </w:r>
            <w:r/>
          </w:p>
          <w:p>
            <w:pPr>
              <w:pStyle w:val="1160"/>
              <w:jc w:val="center"/>
              <w:spacing w:after="120"/>
            </w:pPr>
            <w:r>
              <w:t xml:space="preserve">до 5 000 000,00 руб. (включительно);</w:t>
            </w:r>
            <w:r/>
          </w:p>
          <w:p>
            <w:pPr>
              <w:pStyle w:val="1160"/>
              <w:jc w:val="center"/>
              <w:spacing w:after="120"/>
            </w:pPr>
            <w:r>
              <w:t xml:space="preserve">6% от суммы</w:t>
            </w:r>
            <w:r/>
          </w:p>
          <w:p>
            <w:pPr>
              <w:pStyle w:val="1160"/>
              <w:jc w:val="center"/>
              <w:spacing w:after="120"/>
            </w:pPr>
            <w:r>
              <w:t xml:space="preserve">при ОБЩЕЙ СУММЕ</w:t>
            </w:r>
            <w:r/>
          </w:p>
          <w:p>
            <w:pPr>
              <w:pStyle w:val="1160"/>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pPr>
            <w:r>
              <w:t xml:space="preserve">1. Комиссия взимается при переводе денежных средств на счета физических лиц, в том числе:</w:t>
            </w:r>
            <w:r/>
          </w:p>
          <w:p>
            <w:pPr>
              <w:pStyle w:val="1160"/>
              <w:jc w:val="both"/>
            </w:pPr>
            <w:r>
              <w:t xml:space="preserve">- на текущие счета и счета вкладов;</w:t>
            </w:r>
            <w:r/>
          </w:p>
          <w:p>
            <w:pPr>
              <w:pStyle w:val="1160"/>
              <w:jc w:val="both"/>
            </w:pPr>
            <w:r>
              <w:t xml:space="preserve">- на счета, открытые для расчетов с использованием карт;</w:t>
            </w:r>
            <w:r/>
          </w:p>
          <w:p>
            <w:pPr>
              <w:pStyle w:val="1160"/>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60"/>
              <w:jc w:val="both"/>
            </w:pPr>
            <w:r>
              <w:t xml:space="preserve">2. При осуществлении следующих операций комиссия взимается согласно п. 1.1.5 Тарифов:</w:t>
            </w:r>
            <w:r/>
          </w:p>
          <w:p>
            <w:pPr>
              <w:pStyle w:val="1160"/>
              <w:jc w:val="both"/>
            </w:pPr>
            <w:r>
              <w:t xml:space="preserve">- перевод денежных средств со счетов страховых и управляющих компаний;</w:t>
            </w:r>
            <w:r/>
          </w:p>
          <w:p>
            <w:pPr>
              <w:pStyle w:val="1160"/>
              <w:jc w:val="both"/>
            </w:pPr>
            <w:r>
              <w:t xml:space="preserve">- перевод денежных средств с расчетного счета застройщика;</w:t>
            </w:r>
            <w:r/>
          </w:p>
          <w:p>
            <w:pPr>
              <w:pStyle w:val="116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60"/>
              <w:jc w:val="both"/>
            </w:pPr>
            <w:r>
              <w:t xml:space="preserve">- перечисление алиментов, пенсий,</w:t>
            </w:r>
            <w:r/>
          </w:p>
          <w:p>
            <w:pPr>
              <w:pStyle w:val="1160"/>
              <w:jc w:val="both"/>
            </w:pPr>
            <w:r>
              <w:t xml:space="preserve"> стипендий, иных социальных выплат;</w:t>
            </w:r>
            <w:r/>
          </w:p>
          <w:p>
            <w:pPr>
              <w:pStyle w:val="1160"/>
              <w:jc w:val="both"/>
            </w:pPr>
            <w:r>
              <w:t xml:space="preserve">- перечисление дохода лицам, занимающимся частной практикой;</w:t>
            </w:r>
            <w:r/>
          </w:p>
          <w:p>
            <w:pPr>
              <w:pStyle w:val="116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6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6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6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60"/>
              <w:jc w:val="both"/>
            </w:pPr>
            <w:r>
              <w:t xml:space="preserve">3. Комиссия не взимается за перевод денежных средств:</w:t>
            </w:r>
            <w:r/>
          </w:p>
          <w:p>
            <w:pPr>
              <w:pStyle w:val="116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6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6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6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6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6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6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6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6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60"/>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60"/>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0"/>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60"/>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2" w:firstLine="52"/>
              <w:jc w:val="both"/>
              <w:spacing w:before="40" w:after="40"/>
            </w:pPr>
            <w:r>
              <w:t xml:space="preserve">Ведение счета в отдельных иностранных валютах**:</w:t>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6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0,33%</w:t>
            </w:r>
            <w:r/>
          </w:p>
          <w:p>
            <w:pPr>
              <w:pStyle w:val="1160"/>
              <w:jc w:val="center"/>
            </w:pPr>
            <w:r>
              <w:t xml:space="preserve">минимум </w:t>
            </w:r>
            <w:r/>
          </w:p>
          <w:p>
            <w:pPr>
              <w:pStyle w:val="1160"/>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0"/>
              <w:ind w:left="34"/>
              <w:spacing w:before="40"/>
            </w:pPr>
            <w:r>
              <w:t xml:space="preserve">Комиссия Банка взимается в день совершения операции отдельно от суммы перевода.</w:t>
            </w:r>
            <w:r/>
          </w:p>
          <w:p>
            <w:pPr>
              <w:pStyle w:val="1160"/>
              <w:ind w:left="34"/>
            </w:pPr>
            <w:r>
              <w:t xml:space="preserve">Комиссия взимается дополнительно к комиссии, указанной в п. 1.2.5.1 настоящих Тарифов.</w:t>
            </w:r>
            <w:r/>
          </w:p>
          <w:p>
            <w:pPr>
              <w:pStyle w:val="1160"/>
              <w:ind w:left="34"/>
              <w:tabs>
                <w:tab w:val="left" w:pos="301" w:leader="none"/>
              </w:tabs>
            </w:pPr>
            <w:r>
              <w:t xml:space="preserve">Услуга предоставляется при одновременном выполнении следующих условий:</w:t>
            </w:r>
            <w:r/>
          </w:p>
          <w:p>
            <w:pPr>
              <w:pStyle w:val="1160"/>
              <w:numPr>
                <w:ilvl w:val="0"/>
                <w:numId w:val="47"/>
              </w:numPr>
              <w:ind w:left="57" w:firstLine="0"/>
              <w:jc w:val="both"/>
              <w:tabs>
                <w:tab w:val="left" w:pos="340" w:leader="none"/>
              </w:tabs>
            </w:pPr>
            <w:r>
              <w:t xml:space="preserve">Валюта перевода – доллары США.</w:t>
            </w:r>
            <w:r/>
          </w:p>
          <w:p>
            <w:pPr>
              <w:pStyle w:val="116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6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6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6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Выдача копии платежного документа по заявлению клиента</w:t>
            </w:r>
            <w:r>
              <w:rPr>
                <w:bCs/>
              </w:rPr>
            </w:r>
            <w:r>
              <w:rPr>
                <w:bCs/>
              </w:rPr>
            </w:r>
          </w:p>
          <w:p>
            <w:pPr>
              <w:pStyle w:val="116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Услуга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6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6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4"/>
        <w:jc w:val="both"/>
        <w:spacing w:before="60"/>
      </w:pPr>
      <w:r>
        <w:t xml:space="preserve">*** Под обязательствами перед АО «Россельхозбанк» по кредитным сделкам понимаются:</w:t>
      </w:r>
      <w:r/>
    </w:p>
    <w:p>
      <w:pPr>
        <w:pStyle w:val="1174"/>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74"/>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60"/>
        <w:jc w:val="both"/>
        <w:tabs>
          <w:tab w:val="left" w:pos="1080" w:leader="none"/>
        </w:tabs>
        <w:rPr>
          <w:sz w:val="20"/>
          <w:szCs w:val="20"/>
        </w:rPr>
      </w:pPr>
      <w:r>
        <w:rPr>
          <w:sz w:val="20"/>
          <w:szCs w:val="20"/>
        </w:rPr>
      </w:r>
      <w:r>
        <w:rPr>
          <w:sz w:val="20"/>
          <w:szCs w:val="20"/>
        </w:rPr>
      </w:r>
      <w:r>
        <w:rPr>
          <w:sz w:val="20"/>
          <w:szCs w:val="20"/>
        </w:rPr>
      </w:r>
    </w:p>
    <w:p>
      <w:pPr>
        <w:pStyle w:val="1160"/>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64"/>
      </w:pPr>
      <w:r/>
      <w:r/>
    </w:p>
    <w:p>
      <w:pPr>
        <w:pStyle w:val="1164"/>
      </w:pPr>
      <w:r/>
      <w:bookmarkStart w:id="0" w:name="_Toc53502957"/>
      <w:r/>
      <w:r/>
    </w:p>
    <w:p>
      <w:pPr>
        <w:pStyle w:val="1164"/>
      </w:pPr>
      <w:r>
        <w:t xml:space="preserve">2.</w:t>
      </w:r>
      <w:r>
        <w:t xml:space="preserve"> </w:t>
      </w:r>
      <w:r>
        <w:t xml:space="preserve">Кассовые</w:t>
      </w:r>
      <w:r>
        <w:t xml:space="preserve"> </w:t>
      </w:r>
      <w:r>
        <w:t xml:space="preserve">операции*</w:t>
      </w:r>
      <w:bookmarkEnd w:id="0"/>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bCs/>
                <w:sz w:val="20"/>
                <w:szCs w:val="20"/>
              </w:rPr>
              <w:t xml:space="preserve">0,9% от суммы,</w:t>
            </w:r>
            <w:r>
              <w:rPr>
                <w:bCs/>
                <w:sz w:val="20"/>
                <w:szCs w:val="20"/>
              </w:rPr>
            </w:r>
            <w:r>
              <w:rPr>
                <w:bCs/>
                <w:sz w:val="20"/>
                <w:szCs w:val="20"/>
              </w:rPr>
            </w:r>
          </w:p>
          <w:p>
            <w:pPr>
              <w:pStyle w:val="1160"/>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60"/>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w:t>
            </w:r>
            <w:r>
              <w:rPr>
                <w:sz w:val="20"/>
                <w:szCs w:val="20"/>
              </w:rPr>
            </w:r>
            <w:r>
              <w:rPr>
                <w:sz w:val="20"/>
                <w:szCs w:val="20"/>
              </w:rPr>
            </w:r>
          </w:p>
          <w:p>
            <w:pPr>
              <w:pStyle w:val="1160"/>
              <w:jc w:val="center"/>
              <w:rPr>
                <w:sz w:val="20"/>
                <w:szCs w:val="20"/>
              </w:rPr>
            </w:pPr>
            <w:r>
              <w:rPr>
                <w:sz w:val="20"/>
                <w:szCs w:val="20"/>
              </w:rPr>
              <w:t xml:space="preserve">до 300 000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3,5% от суммы </w:t>
            </w:r>
            <w:r>
              <w:rPr>
                <w:sz w:val="20"/>
                <w:szCs w:val="20"/>
              </w:rPr>
            </w:r>
            <w:r>
              <w:rPr>
                <w:sz w:val="20"/>
                <w:szCs w:val="20"/>
              </w:rPr>
            </w:r>
          </w:p>
          <w:p>
            <w:pPr>
              <w:pStyle w:val="1160"/>
              <w:jc w:val="center"/>
              <w:rPr>
                <w:sz w:val="20"/>
                <w:szCs w:val="20"/>
              </w:rPr>
            </w:pPr>
            <w:r>
              <w:rPr>
                <w:sz w:val="20"/>
                <w:szCs w:val="20"/>
              </w:rPr>
              <w:t xml:space="preserve">с 300 000,01 руб. </w:t>
            </w:r>
            <w:r>
              <w:rPr>
                <w:sz w:val="20"/>
                <w:szCs w:val="20"/>
              </w:rPr>
            </w:r>
            <w:r>
              <w:rPr>
                <w:sz w:val="20"/>
                <w:szCs w:val="20"/>
              </w:rPr>
            </w:r>
          </w:p>
          <w:p>
            <w:pPr>
              <w:pStyle w:val="1160"/>
              <w:jc w:val="center"/>
              <w:rPr>
                <w:sz w:val="20"/>
                <w:szCs w:val="20"/>
              </w:rPr>
            </w:pPr>
            <w:r>
              <w:rPr>
                <w:sz w:val="20"/>
                <w:szCs w:val="20"/>
              </w:rPr>
              <w:t xml:space="preserve">до 1 500 000,00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6,5% от суммы </w:t>
            </w:r>
            <w:r>
              <w:rPr>
                <w:sz w:val="20"/>
                <w:szCs w:val="20"/>
              </w:rPr>
            </w:r>
            <w:r>
              <w:rPr>
                <w:sz w:val="20"/>
                <w:szCs w:val="20"/>
              </w:rPr>
            </w:r>
          </w:p>
          <w:p>
            <w:pPr>
              <w:pStyle w:val="1160"/>
              <w:jc w:val="center"/>
              <w:rPr>
                <w:sz w:val="20"/>
                <w:szCs w:val="20"/>
              </w:rPr>
            </w:pPr>
            <w:r>
              <w:rPr>
                <w:sz w:val="20"/>
                <w:szCs w:val="20"/>
              </w:rPr>
              <w:t xml:space="preserve">с 1 500 000,01 руб. </w:t>
            </w:r>
            <w:r>
              <w:rPr>
                <w:sz w:val="20"/>
                <w:szCs w:val="20"/>
              </w:rPr>
            </w:r>
            <w:r>
              <w:rPr>
                <w:sz w:val="20"/>
                <w:szCs w:val="20"/>
              </w:rPr>
            </w:r>
          </w:p>
          <w:p>
            <w:pPr>
              <w:pStyle w:val="1160"/>
              <w:jc w:val="center"/>
              <w:rPr>
                <w:sz w:val="20"/>
                <w:szCs w:val="20"/>
              </w:rPr>
            </w:pPr>
            <w:r>
              <w:rPr>
                <w:sz w:val="20"/>
                <w:szCs w:val="20"/>
              </w:rPr>
              <w:t xml:space="preserve">до 4 000 000,00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10% от суммы</w:t>
            </w:r>
            <w:r>
              <w:rPr>
                <w:sz w:val="20"/>
                <w:szCs w:val="20"/>
              </w:rPr>
            </w:r>
            <w:r>
              <w:rPr>
                <w:sz w:val="20"/>
                <w:szCs w:val="20"/>
              </w:rPr>
            </w:r>
          </w:p>
          <w:p>
            <w:pPr>
              <w:pStyle w:val="1160"/>
              <w:jc w:val="center"/>
              <w:rPr>
                <w:sz w:val="20"/>
                <w:szCs w:val="20"/>
              </w:rPr>
            </w:pPr>
            <w:r>
              <w:rPr>
                <w:sz w:val="20"/>
                <w:szCs w:val="20"/>
              </w:rPr>
              <w:t xml:space="preserve">с 4 000 000,01 руб.</w:t>
            </w:r>
            <w:r>
              <w:rPr>
                <w:sz w:val="20"/>
                <w:szCs w:val="20"/>
              </w:rPr>
            </w:r>
            <w:r>
              <w:rPr>
                <w:sz w:val="20"/>
                <w:szCs w:val="20"/>
              </w:rPr>
            </w:r>
          </w:p>
          <w:p>
            <w:pPr>
              <w:pStyle w:val="1160"/>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60"/>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6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1,3% от суммы</w:t>
            </w:r>
            <w:r>
              <w:rPr>
                <w:sz w:val="20"/>
                <w:szCs w:val="20"/>
              </w:rPr>
            </w:r>
            <w:r>
              <w:rPr>
                <w:sz w:val="20"/>
                <w:szCs w:val="20"/>
              </w:rPr>
            </w:r>
          </w:p>
          <w:p>
            <w:pPr>
              <w:pStyle w:val="1160"/>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1,5% от суммы</w:t>
            </w:r>
            <w:r>
              <w:rPr>
                <w:sz w:val="20"/>
                <w:szCs w:val="20"/>
              </w:rPr>
            </w:r>
            <w:r>
              <w:rPr>
                <w:sz w:val="20"/>
                <w:szCs w:val="20"/>
              </w:rPr>
            </w:r>
          </w:p>
          <w:p>
            <w:pPr>
              <w:pStyle w:val="1160"/>
              <w:jc w:val="center"/>
              <w:spacing w:before="40"/>
              <w:rPr>
                <w:sz w:val="20"/>
                <w:szCs w:val="20"/>
              </w:rPr>
            </w:pPr>
            <w:r>
              <w:rPr>
                <w:sz w:val="20"/>
                <w:szCs w:val="20"/>
              </w:rPr>
              <w:t xml:space="preserve">с 3 500 000,01</w:t>
            </w:r>
            <w:r>
              <w:rPr>
                <w:sz w:val="20"/>
                <w:szCs w:val="20"/>
              </w:rPr>
            </w:r>
            <w:r>
              <w:rPr>
                <w:sz w:val="20"/>
                <w:szCs w:val="20"/>
              </w:rPr>
            </w:r>
          </w:p>
          <w:p>
            <w:pPr>
              <w:pStyle w:val="1160"/>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3% от суммы</w:t>
            </w:r>
            <w:r>
              <w:rPr>
                <w:sz w:val="20"/>
                <w:szCs w:val="20"/>
              </w:rPr>
            </w:r>
            <w:r>
              <w:rPr>
                <w:sz w:val="20"/>
                <w:szCs w:val="20"/>
              </w:rPr>
            </w:r>
          </w:p>
          <w:p>
            <w:pPr>
              <w:pStyle w:val="1160"/>
              <w:jc w:val="center"/>
              <w:spacing w:before="40"/>
              <w:rPr>
                <w:sz w:val="20"/>
                <w:szCs w:val="20"/>
              </w:rPr>
            </w:pPr>
            <w:r>
              <w:rPr>
                <w:sz w:val="20"/>
                <w:szCs w:val="20"/>
              </w:rPr>
              <w:t xml:space="preserve">с 6 000 000,01</w:t>
            </w:r>
            <w:r>
              <w:rPr>
                <w:sz w:val="20"/>
                <w:szCs w:val="20"/>
              </w:rPr>
            </w:r>
            <w:r>
              <w:rPr>
                <w:sz w:val="20"/>
                <w:szCs w:val="20"/>
              </w:rPr>
            </w:r>
          </w:p>
          <w:p>
            <w:pPr>
              <w:pStyle w:val="1160"/>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5% от суммы</w:t>
            </w:r>
            <w:r>
              <w:rPr>
                <w:sz w:val="20"/>
                <w:szCs w:val="20"/>
              </w:rPr>
            </w:r>
            <w:r>
              <w:rPr>
                <w:sz w:val="20"/>
                <w:szCs w:val="20"/>
              </w:rPr>
            </w:r>
          </w:p>
          <w:p>
            <w:pPr>
              <w:pStyle w:val="1160"/>
              <w:jc w:val="center"/>
              <w:spacing w:before="40"/>
              <w:rPr>
                <w:sz w:val="20"/>
                <w:szCs w:val="20"/>
              </w:rPr>
            </w:pPr>
            <w:r>
              <w:rPr>
                <w:sz w:val="20"/>
                <w:szCs w:val="20"/>
              </w:rPr>
              <w:t xml:space="preserve">с 10 000 000,01</w:t>
            </w:r>
            <w:r>
              <w:rPr>
                <w:sz w:val="20"/>
                <w:szCs w:val="20"/>
              </w:rPr>
            </w:r>
            <w:r>
              <w:rPr>
                <w:sz w:val="20"/>
                <w:szCs w:val="20"/>
              </w:rPr>
            </w:r>
          </w:p>
          <w:p>
            <w:pPr>
              <w:pStyle w:val="1160"/>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10% от суммы</w:t>
            </w:r>
            <w:r>
              <w:rPr>
                <w:sz w:val="20"/>
                <w:szCs w:val="20"/>
              </w:rPr>
            </w:r>
            <w:r>
              <w:rPr>
                <w:sz w:val="20"/>
                <w:szCs w:val="20"/>
              </w:rPr>
            </w:r>
          </w:p>
          <w:p>
            <w:pPr>
              <w:pStyle w:val="1160"/>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6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6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6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6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60"/>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0,25%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0,3%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60"/>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0,5%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 от суммы,</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3,5% от суммы,</w:t>
            </w:r>
            <w:r>
              <w:rPr>
                <w:sz w:val="20"/>
                <w:szCs w:val="20"/>
              </w:rPr>
            </w:r>
            <w:r>
              <w:rPr>
                <w:sz w:val="20"/>
                <w:szCs w:val="20"/>
              </w:rPr>
            </w:r>
          </w:p>
          <w:p>
            <w:pPr>
              <w:pStyle w:val="116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60"/>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60"/>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60"/>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60"/>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60"/>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60"/>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60"/>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60"/>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60"/>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60"/>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60"/>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60"/>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60"/>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60"/>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60"/>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60"/>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60"/>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60"/>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60"/>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60"/>
      </w:pPr>
      <w:r/>
      <w:r/>
    </w:p>
    <w:p>
      <w:pPr>
        <w:pStyle w:val="1164"/>
      </w:pPr>
      <w:r/>
      <w:bookmarkStart w:id="1" w:name="_Toc53502958"/>
      <w:r/>
      <w:r/>
    </w:p>
    <w:p>
      <w:pPr>
        <w:pStyle w:val="1164"/>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60"/>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0"/>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60"/>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60"/>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6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60"/>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60"/>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60"/>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Не взимается</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60"/>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6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6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6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6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6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60"/>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60"/>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6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0"/>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rPr>
                <w:sz w:val="20"/>
                <w:szCs w:val="20"/>
              </w:rPr>
            </w:pPr>
            <w:r>
              <w:rPr>
                <w:sz w:val="20"/>
                <w:szCs w:val="20"/>
              </w:rPr>
              <w:t xml:space="preserve">Комиссия взимается:</w:t>
            </w:r>
            <w:r>
              <w:rPr>
                <w:sz w:val="20"/>
                <w:szCs w:val="20"/>
              </w:rPr>
            </w:r>
            <w:r>
              <w:rPr>
                <w:sz w:val="20"/>
                <w:szCs w:val="20"/>
              </w:rPr>
            </w:r>
          </w:p>
          <w:p>
            <w:pPr>
              <w:pStyle w:val="116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60"/>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60"/>
              <w:contextualSpacing/>
              <w:jc w:val="center"/>
              <w:rPr>
                <w:sz w:val="20"/>
                <w:szCs w:val="20"/>
              </w:rPr>
            </w:pPr>
            <w:r>
              <w:rPr>
                <w:sz w:val="20"/>
                <w:szCs w:val="20"/>
              </w:rPr>
              <w:t xml:space="preserve">0,12%</w:t>
            </w:r>
            <w:r>
              <w:rPr>
                <w:sz w:val="20"/>
                <w:szCs w:val="20"/>
              </w:rPr>
            </w:r>
            <w:r>
              <w:rPr>
                <w:sz w:val="20"/>
                <w:szCs w:val="20"/>
              </w:rPr>
            </w:r>
          </w:p>
          <w:p>
            <w:pPr>
              <w:pStyle w:val="1160"/>
              <w:contextualSpacing/>
              <w:jc w:val="center"/>
              <w:rPr>
                <w:sz w:val="20"/>
                <w:szCs w:val="20"/>
              </w:rPr>
            </w:pPr>
            <w:r>
              <w:rPr>
                <w:sz w:val="20"/>
                <w:szCs w:val="20"/>
              </w:rPr>
              <w:t xml:space="preserve">минимум 250 руб.,</w:t>
            </w:r>
            <w:r>
              <w:rPr>
                <w:sz w:val="20"/>
                <w:szCs w:val="20"/>
              </w:rPr>
            </w:r>
            <w:r>
              <w:rPr>
                <w:sz w:val="20"/>
                <w:szCs w:val="20"/>
              </w:rPr>
            </w:r>
          </w:p>
          <w:p>
            <w:pPr>
              <w:pStyle w:val="1160"/>
              <w:contextualSpacing/>
              <w:jc w:val="center"/>
              <w:rPr>
                <w:sz w:val="20"/>
                <w:szCs w:val="20"/>
              </w:rPr>
            </w:pPr>
            <w:r>
              <w:rPr>
                <w:sz w:val="20"/>
                <w:szCs w:val="20"/>
              </w:rPr>
              <w:t xml:space="preserve">максимум 10 000 руб.</w:t>
            </w:r>
            <w:r>
              <w:rPr>
                <w:sz w:val="20"/>
                <w:szCs w:val="20"/>
              </w:rPr>
            </w:r>
            <w:r>
              <w:rPr>
                <w:sz w:val="20"/>
                <w:szCs w:val="20"/>
              </w:rPr>
            </w:r>
          </w:p>
          <w:p>
            <w:pPr>
              <w:pStyle w:val="1160"/>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contextualSpacing/>
              <w:jc w:val="center"/>
              <w:rPr>
                <w:sz w:val="20"/>
                <w:szCs w:val="20"/>
              </w:rPr>
            </w:pPr>
            <w:r>
              <w:rPr>
                <w:sz w:val="20"/>
                <w:szCs w:val="20"/>
              </w:rPr>
              <w:t xml:space="preserve">минимум 150 руб.,</w:t>
            </w:r>
            <w:r>
              <w:rPr>
                <w:sz w:val="20"/>
                <w:szCs w:val="20"/>
              </w:rPr>
            </w:r>
            <w:r>
              <w:rPr>
                <w:sz w:val="20"/>
                <w:szCs w:val="20"/>
              </w:rPr>
            </w:r>
          </w:p>
          <w:p>
            <w:pPr>
              <w:pStyle w:val="1160"/>
              <w:contextualSpacing/>
              <w:jc w:val="center"/>
              <w:rPr>
                <w:sz w:val="20"/>
                <w:szCs w:val="20"/>
              </w:rPr>
            </w:pPr>
            <w:r>
              <w:rPr>
                <w:sz w:val="20"/>
                <w:szCs w:val="20"/>
              </w:rPr>
              <w:t xml:space="preserve">максимум 5 000 руб.</w:t>
            </w:r>
            <w:r>
              <w:rPr>
                <w:sz w:val="20"/>
                <w:szCs w:val="20"/>
              </w:rPr>
            </w:r>
            <w:r>
              <w:rPr>
                <w:sz w:val="20"/>
                <w:szCs w:val="20"/>
              </w:rPr>
            </w:r>
          </w:p>
          <w:p>
            <w:pPr>
              <w:pStyle w:val="116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6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0"/>
              <w:jc w:val="both"/>
              <w:rPr>
                <w:b/>
                <w:sz w:val="20"/>
                <w:szCs w:val="20"/>
              </w:rPr>
            </w:pPr>
            <w:r>
              <w:rPr>
                <w:b/>
                <w:sz w:val="20"/>
                <w:szCs w:val="20"/>
              </w:rPr>
              <w:t xml:space="preserve">Комиссия не взимается:</w:t>
            </w:r>
            <w:r>
              <w:rPr>
                <w:b/>
                <w:sz w:val="20"/>
                <w:szCs w:val="20"/>
              </w:rPr>
            </w:r>
            <w:r>
              <w:rPr>
                <w:b/>
                <w:sz w:val="20"/>
                <w:szCs w:val="20"/>
              </w:rPr>
            </w:r>
          </w:p>
          <w:p>
            <w:pPr>
              <w:pStyle w:val="116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6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200 руб.</w:t>
            </w:r>
            <w:r>
              <w:rPr>
                <w:sz w:val="20"/>
                <w:szCs w:val="20"/>
              </w:rPr>
            </w:r>
            <w:r>
              <w:rPr>
                <w:sz w:val="20"/>
                <w:szCs w:val="20"/>
              </w:rPr>
            </w:r>
          </w:p>
          <w:p>
            <w:pPr>
              <w:pStyle w:val="1160"/>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60"/>
              <w:jc w:val="both"/>
              <w:rPr>
                <w:sz w:val="20"/>
                <w:szCs w:val="20"/>
              </w:rPr>
            </w:pPr>
            <w:r>
              <w:rPr>
                <w:sz w:val="20"/>
                <w:szCs w:val="20"/>
              </w:rPr>
              <w:t xml:space="preserve">к услуге.</w:t>
            </w:r>
            <w:r>
              <w:rPr>
                <w:sz w:val="20"/>
                <w:szCs w:val="20"/>
              </w:rPr>
            </w:r>
            <w:r>
              <w:rPr>
                <w:sz w:val="20"/>
                <w:szCs w:val="20"/>
              </w:rPr>
            </w:r>
          </w:p>
          <w:p>
            <w:pPr>
              <w:pStyle w:val="1160"/>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6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6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60"/>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60"/>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r>
      <w:r>
        <w:rPr>
          <w:bCs/>
          <w:i/>
          <w:sz w:val="16"/>
          <w:szCs w:val="16"/>
        </w:rPr>
      </w:r>
      <w:r>
        <w:rPr>
          <w:bCs/>
          <w:i/>
          <w:sz w:val="16"/>
          <w:szCs w:val="16"/>
        </w:rPr>
      </w:r>
    </w:p>
    <w:p>
      <w:pPr>
        <w:pStyle w:val="1160"/>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6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6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6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60"/>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6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6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60"/>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6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6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6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6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6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6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60"/>
        <w:rPr>
          <w:i/>
          <w:sz w:val="16"/>
          <w:szCs w:val="16"/>
        </w:rPr>
      </w:pPr>
      <w:r>
        <w:rPr>
          <w:i/>
          <w:sz w:val="16"/>
          <w:szCs w:val="16"/>
        </w:rPr>
      </w:r>
      <w:r>
        <w:rPr>
          <w:i/>
          <w:sz w:val="16"/>
          <w:szCs w:val="16"/>
        </w:rPr>
      </w:r>
      <w:r>
        <w:rPr>
          <w:i/>
          <w:sz w:val="16"/>
          <w:szCs w:val="16"/>
        </w:rPr>
      </w:r>
    </w:p>
    <w:p>
      <w:pPr>
        <w:pStyle w:val="1160"/>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64"/>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включает НДС.</w:t>
            </w:r>
            <w:r>
              <w:rPr>
                <w:sz w:val="20"/>
                <w:szCs w:val="20"/>
              </w:rPr>
            </w:r>
            <w:r>
              <w:rPr>
                <w:sz w:val="20"/>
                <w:szCs w:val="20"/>
              </w:rPr>
            </w:r>
          </w:p>
          <w:p>
            <w:pPr>
              <w:pStyle w:val="116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0"/>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r/>
    </w:p>
    <w:p>
      <w:pPr>
        <w:pStyle w:val="1164"/>
      </w:pPr>
      <w:r/>
      <w:bookmarkStart w:id="3" w:name="_Toc53502960"/>
      <w:r/>
      <w:r/>
    </w:p>
    <w:p>
      <w:pPr>
        <w:pStyle w:val="1164"/>
      </w:pPr>
      <w:r>
        <w:t xml:space="preserve">5</w:t>
      </w:r>
      <w:r>
        <w:t xml:space="preserve">.</w:t>
      </w:r>
      <w:r>
        <w:t xml:space="preserve"> </w:t>
      </w:r>
      <w:r>
        <w:t xml:space="preserve">Документарные</w:t>
      </w:r>
      <w:r>
        <w:t xml:space="preserve"> </w:t>
      </w:r>
      <w:r>
        <w:t xml:space="preserve">операции</w:t>
      </w:r>
      <w:bookmarkEnd w:id="3"/>
      <w:r/>
      <w:r/>
    </w:p>
    <w:p>
      <w:pPr>
        <w:pStyle w:val="1160"/>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60"/>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sz w:val="20"/>
                <w:szCs w:val="20"/>
              </w:rPr>
            </w:pPr>
            <w:r>
              <w:rPr>
                <w:bCs/>
                <w:sz w:val="20"/>
                <w:szCs w:val="20"/>
              </w:rPr>
              <w:t xml:space="preserve">максимум 50 000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6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bl>
    <w:p>
      <w:pPr>
        <w:pStyle w:val="1160"/>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60"/>
        <w:rPr>
          <w:sz w:val="18"/>
          <w:szCs w:val="18"/>
        </w:rPr>
      </w:pPr>
      <w:r>
        <w:rPr>
          <w:sz w:val="18"/>
          <w:szCs w:val="18"/>
        </w:rPr>
      </w:r>
      <w:r>
        <w:rPr>
          <w:sz w:val="18"/>
          <w:szCs w:val="18"/>
        </w:rPr>
      </w:r>
      <w:r>
        <w:rPr>
          <w:sz w:val="18"/>
          <w:szCs w:val="18"/>
        </w:rPr>
      </w:r>
    </w:p>
    <w:p>
      <w:pPr>
        <w:pStyle w:val="1160"/>
        <w:rPr>
          <w:sz w:val="18"/>
          <w:szCs w:val="18"/>
        </w:rPr>
      </w:pPr>
      <w:r>
        <w:rPr>
          <w:sz w:val="18"/>
          <w:szCs w:val="18"/>
        </w:rPr>
        <w:t xml:space="preserve">Примечание:</w:t>
      </w:r>
      <w:r>
        <w:rPr>
          <w:sz w:val="18"/>
          <w:szCs w:val="18"/>
        </w:rPr>
      </w:r>
      <w:r>
        <w:rPr>
          <w:sz w:val="18"/>
          <w:szCs w:val="18"/>
        </w:rPr>
      </w:r>
    </w:p>
    <w:p>
      <w:pPr>
        <w:pStyle w:val="1160"/>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60"/>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60"/>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60"/>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60"/>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60"/>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60"/>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60"/>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60"/>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60"/>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60"/>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60"/>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60"/>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60"/>
      </w:pPr>
      <w:r/>
      <w:r/>
    </w:p>
    <w:p>
      <w:pPr>
        <w:pStyle w:val="1160"/>
        <w:rPr>
          <w:i/>
          <w:sz w:val="16"/>
          <w:szCs w:val="16"/>
        </w:rPr>
      </w:pPr>
      <w:r>
        <w:rPr>
          <w:i/>
          <w:sz w:val="16"/>
          <w:szCs w:val="16"/>
        </w:rPr>
      </w:r>
      <w:r>
        <w:rPr>
          <w:i/>
          <w:sz w:val="16"/>
          <w:szCs w:val="16"/>
        </w:rPr>
      </w:r>
      <w:r>
        <w:rPr>
          <w:i/>
          <w:sz w:val="16"/>
          <w:szCs w:val="16"/>
        </w:rPr>
      </w:r>
    </w:p>
    <w:p>
      <w:pPr>
        <w:pStyle w:val="1164"/>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6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6.2.2.</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0"/>
        <w:rPr>
          <w:i/>
          <w:sz w:val="16"/>
          <w:szCs w:val="16"/>
        </w:rPr>
      </w:pPr>
      <w:r>
        <w:rPr>
          <w:i/>
          <w:sz w:val="16"/>
          <w:szCs w:val="16"/>
        </w:rPr>
      </w:r>
      <w:r>
        <w:rPr>
          <w:i/>
          <w:sz w:val="16"/>
          <w:szCs w:val="16"/>
        </w:rPr>
      </w:r>
      <w:r>
        <w:rPr>
          <w:i/>
          <w:sz w:val="16"/>
          <w:szCs w:val="16"/>
        </w:rPr>
      </w:r>
    </w:p>
    <w:p>
      <w:pPr>
        <w:pStyle w:val="1160"/>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60"/>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60"/>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60"/>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60"/>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60"/>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60"/>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60"/>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60"/>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60"/>
      </w:pPr>
      <w:r/>
      <w:r/>
    </w:p>
    <w:p>
      <w:pPr>
        <w:pStyle w:val="1164"/>
      </w:pPr>
      <w:r/>
      <w:r/>
    </w:p>
    <w:p>
      <w:pPr>
        <w:pStyle w:val="1164"/>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 «Банк-Клиент»</w:t>
            </w:r>
            <w:r>
              <w:rPr>
                <w:sz w:val="20"/>
                <w:szCs w:val="20"/>
              </w:rPr>
            </w:r>
            <w:r>
              <w:rPr>
                <w:sz w:val="20"/>
                <w:szCs w:val="20"/>
              </w:rPr>
            </w:r>
          </w:p>
          <w:p>
            <w:pPr>
              <w:pStyle w:val="1160"/>
              <w:jc w:val="both"/>
              <w:rPr>
                <w:sz w:val="20"/>
                <w:szCs w:val="20"/>
              </w:rPr>
            </w:pPr>
            <w:r>
              <w:rPr>
                <w:sz w:val="20"/>
                <w:szCs w:val="20"/>
              </w:rPr>
              <w:t xml:space="preserve">- «Интернет-Клиент»</w:t>
            </w:r>
            <w:r>
              <w:rPr>
                <w:sz w:val="20"/>
                <w:szCs w:val="20"/>
              </w:rPr>
            </w:r>
            <w:r>
              <w:rPr>
                <w:sz w:val="20"/>
                <w:szCs w:val="20"/>
              </w:rPr>
            </w:r>
          </w:p>
          <w:p>
            <w:pPr>
              <w:pStyle w:val="1160"/>
              <w:jc w:val="both"/>
              <w:rPr>
                <w:sz w:val="20"/>
                <w:szCs w:val="20"/>
              </w:rPr>
            </w:pPr>
            <w:r>
              <w:rPr>
                <w:sz w:val="20"/>
                <w:szCs w:val="20"/>
              </w:rPr>
              <w:t xml:space="preserve">- «Мобильный банк»</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60"/>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60"/>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w:t>
            </w:r>
            <w:r>
              <w:rPr>
                <w:sz w:val="20"/>
                <w:szCs w:val="20"/>
              </w:rPr>
            </w:r>
            <w:r>
              <w:rPr>
                <w:sz w:val="20"/>
                <w:szCs w:val="20"/>
              </w:rPr>
            </w:r>
          </w:p>
          <w:p>
            <w:pPr>
              <w:pStyle w:val="1160"/>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60"/>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60"/>
              <w:jc w:val="both"/>
              <w:rPr>
                <w:sz w:val="20"/>
                <w:szCs w:val="20"/>
              </w:rPr>
            </w:pPr>
            <w:r>
              <w:rPr>
                <w:sz w:val="20"/>
                <w:szCs w:val="20"/>
              </w:rPr>
              <w:t xml:space="preserve">от 26.10.2002 № 127-ФЗ </w:t>
            </w:r>
            <w:r>
              <w:rPr>
                <w:sz w:val="20"/>
                <w:szCs w:val="20"/>
              </w:rPr>
            </w:r>
            <w:r>
              <w:rPr>
                <w:sz w:val="20"/>
                <w:szCs w:val="20"/>
              </w:rPr>
            </w:r>
          </w:p>
          <w:p>
            <w:pPr>
              <w:pStyle w:val="1160"/>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spacing w:before="120" w:after="120"/>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60"/>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60"/>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60"/>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60"/>
              <w:jc w:val="both"/>
              <w:rPr>
                <w:sz w:val="20"/>
                <w:szCs w:val="20"/>
              </w:rPr>
            </w:pPr>
            <w:r>
              <w:rPr>
                <w:sz w:val="20"/>
                <w:szCs w:val="20"/>
              </w:rPr>
              <w:t xml:space="preserve">счетов данного клиента.</w:t>
            </w:r>
            <w:r>
              <w:rPr>
                <w:sz w:val="20"/>
                <w:szCs w:val="20"/>
              </w:rPr>
            </w:r>
            <w:r>
              <w:rPr>
                <w:sz w:val="20"/>
                <w:szCs w:val="20"/>
              </w:rPr>
            </w:r>
          </w:p>
          <w:p>
            <w:pPr>
              <w:pStyle w:val="1160"/>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60"/>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60"/>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60"/>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60"/>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60"/>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60"/>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60"/>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60"/>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60"/>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60"/>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0"/>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0"/>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0"/>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0"/>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0"/>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120" w:after="120"/>
              <w:rPr>
                <w:bCs/>
                <w:sz w:val="20"/>
                <w:szCs w:val="20"/>
              </w:rPr>
            </w:pPr>
            <w:r>
              <w:rPr>
                <w:bCs/>
                <w:sz w:val="20"/>
                <w:szCs w:val="20"/>
              </w:rPr>
            </w:r>
            <w:r>
              <w:rPr>
                <w:bCs/>
                <w:sz w:val="20"/>
                <w:szCs w:val="20"/>
              </w:rPr>
            </w:r>
            <w:r>
              <w:rPr>
                <w:bCs/>
                <w:sz w:val="20"/>
                <w:szCs w:val="20"/>
              </w:rPr>
            </w:r>
          </w:p>
          <w:p>
            <w:pPr>
              <w:pStyle w:val="1160"/>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0"/>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60"/>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60"/>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60"/>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6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60"/>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60"/>
        <w:jc w:val="both"/>
        <w:rPr>
          <w:bCs/>
          <w:i/>
          <w:sz w:val="16"/>
          <w:szCs w:val="16"/>
        </w:rPr>
      </w:pPr>
      <w:r>
        <w:rPr>
          <w:bCs/>
          <w:i/>
          <w:sz w:val="16"/>
          <w:szCs w:val="16"/>
        </w:rPr>
        <w:t xml:space="preserve">Примечание:</w:t>
      </w:r>
      <w:r>
        <w:rPr>
          <w:bCs/>
          <w:i/>
          <w:sz w:val="16"/>
          <w:szCs w:val="16"/>
        </w:rPr>
      </w:r>
      <w:r>
        <w:rPr>
          <w:bCs/>
          <w:i/>
          <w:sz w:val="16"/>
          <w:szCs w:val="16"/>
        </w:rPr>
      </w:r>
    </w:p>
    <w:p>
      <w:pPr>
        <w:pStyle w:val="1160"/>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60"/>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60"/>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60"/>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60"/>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60"/>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60"/>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60"/>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60"/>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60"/>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60"/>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60"/>
        <w:jc w:val="both"/>
        <w:rPr>
          <w:bCs/>
          <w:i/>
          <w:sz w:val="16"/>
          <w:szCs w:val="16"/>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rPr>
      </w:r>
      <w:r>
        <w:rPr>
          <w:bCs/>
          <w:i/>
          <w:sz w:val="16"/>
          <w:szCs w:val="16"/>
        </w:rPr>
      </w:r>
    </w:p>
    <w:p>
      <w:pPr>
        <w:pStyle w:val="1160"/>
        <w:jc w:val="both"/>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60"/>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60"/>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60"/>
        <w:jc w:val="both"/>
        <w:rPr>
          <w:bCs/>
          <w:i/>
          <w:sz w:val="16"/>
          <w:szCs w:val="16"/>
        </w:rPr>
      </w:pPr>
      <w:r>
        <w:rPr>
          <w:bCs/>
          <w:i/>
          <w:sz w:val="16"/>
          <w:szCs w:val="16"/>
        </w:rPr>
        <w:t xml:space="preserve">по договорам залога, договорам поручительства (в том числе прекратившим свое действи</w:t>
      </w:r>
      <w:r>
        <w:rPr>
          <w:bCs/>
          <w:i/>
          <w:sz w:val="16"/>
          <w:szCs w:val="16"/>
        </w:rPr>
        <w:t xml:space="preserve">е)</w:t>
      </w:r>
      <w:r>
        <w:rPr>
          <w:bCs/>
          <w:i/>
          <w:sz w:val="16"/>
          <w:szCs w:val="16"/>
        </w:rPr>
        <w:t xml:space="preserve">.</w:t>
      </w:r>
      <w:r>
        <w:rPr>
          <w:bCs/>
          <w:i/>
          <w:sz w:val="16"/>
          <w:szCs w:val="16"/>
        </w:rPr>
      </w:r>
      <w:r>
        <w:rPr>
          <w:bCs/>
          <w:i/>
          <w:sz w:val="16"/>
          <w:szCs w:val="16"/>
        </w:rPr>
      </w:r>
    </w:p>
    <w:p>
      <w:pPr>
        <w:pStyle w:val="1160"/>
        <w:jc w:val="both"/>
      </w:pPr>
      <w:r/>
      <w:r/>
    </w:p>
    <w:p>
      <w:pPr>
        <w:pStyle w:val="1164"/>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6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0"/>
      </w:pPr>
      <w:r/>
      <w:r/>
    </w:p>
    <w:p>
      <w:pPr>
        <w:pStyle w:val="1164"/>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64"/>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60"/>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60"/>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60"/>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60"/>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60"/>
        <w:jc w:val="both"/>
      </w:pPr>
      <w:r/>
      <w:r/>
    </w:p>
    <w:p>
      <w:pPr>
        <w:pStyle w:val="1164"/>
        <w:rPr>
          <w:lang w:val="en-US"/>
        </w:rPr>
      </w:pPr>
      <w:r/>
      <w:bookmarkStart w:id="11" w:name="_Toc53502966"/>
      <w:r>
        <w:t xml:space="preserve">10. Услуги инкассации</w:t>
      </w:r>
      <w:bookmarkEnd w:id="11"/>
      <w:r>
        <w:t xml:space="preserve"> </w:t>
      </w:r>
      <w:r>
        <w:rPr>
          <w:lang w:val="en-US"/>
        </w:rPr>
      </w:r>
      <w:r>
        <w:rPr>
          <w:lang w:val="en-US"/>
        </w:rPr>
      </w:r>
    </w:p>
    <w:p>
      <w:pPr>
        <w:pStyle w:val="1160"/>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6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6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60"/>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60"/>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60"/>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jc w:val="center"/>
              <w:spacing w:before="40"/>
              <w:rPr>
                <w:sz w:val="20"/>
                <w:szCs w:val="20"/>
              </w:rPr>
            </w:pPr>
            <w:r>
              <w:rPr>
                <w:sz w:val="20"/>
                <w:szCs w:val="20"/>
              </w:rPr>
              <w:t xml:space="preserve">Не менее 0,2% </w:t>
            </w:r>
            <w:r>
              <w:rPr>
                <w:sz w:val="20"/>
                <w:szCs w:val="20"/>
              </w:rPr>
            </w:r>
            <w:r>
              <w:rPr>
                <w:sz w:val="20"/>
                <w:szCs w:val="20"/>
              </w:rPr>
            </w:r>
          </w:p>
          <w:p>
            <w:pPr>
              <w:pStyle w:val="1160"/>
              <w:jc w:val="center"/>
              <w:spacing w:before="40"/>
              <w:rPr>
                <w:sz w:val="20"/>
                <w:szCs w:val="20"/>
              </w:rPr>
            </w:pPr>
            <w:r>
              <w:rPr>
                <w:sz w:val="20"/>
                <w:szCs w:val="20"/>
              </w:rPr>
              <w:t xml:space="preserve">от суммы,</w:t>
            </w:r>
            <w:r>
              <w:rPr>
                <w:sz w:val="20"/>
                <w:szCs w:val="20"/>
              </w:rPr>
            </w:r>
            <w:r>
              <w:rPr>
                <w:sz w:val="20"/>
                <w:szCs w:val="20"/>
              </w:rPr>
            </w:r>
          </w:p>
          <w:p>
            <w:pPr>
              <w:pStyle w:val="1160"/>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60"/>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60"/>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60"/>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60"/>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60"/>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60"/>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60"/>
      </w:pPr>
      <w:r/>
      <w:r/>
    </w:p>
    <w:p>
      <w:pPr>
        <w:pStyle w:val="1164"/>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60"/>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60"/>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60"/>
      </w:pPr>
      <w:r/>
      <w:r/>
    </w:p>
    <w:p>
      <w:pPr>
        <w:pStyle w:val="1164"/>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6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60"/>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6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6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6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6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6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sz w:val="20"/>
                <w:szCs w:val="20"/>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0"/>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rPr>
                <w:sz w:val="20"/>
                <w:szCs w:val="20"/>
              </w:rPr>
            </w:pPr>
            <w:r>
              <w:rPr>
                <w:sz w:val="20"/>
                <w:szCs w:val="20"/>
              </w:rPr>
              <w:t xml:space="preserve">При изменении:</w:t>
            </w:r>
            <w:r>
              <w:rPr>
                <w:sz w:val="20"/>
                <w:szCs w:val="20"/>
              </w:rPr>
            </w:r>
            <w:r>
              <w:rPr>
                <w:sz w:val="20"/>
                <w:szCs w:val="20"/>
              </w:rPr>
            </w:r>
          </w:p>
          <w:p>
            <w:pPr>
              <w:pStyle w:val="116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6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0"/>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6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6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6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6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6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6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60"/>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0"/>
        <w:jc w:val="both"/>
        <w:spacing w:before="40" w:after="0" w:afterAutospacing="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w:t>
      </w:r>
      <w:r>
        <w:rPr>
          <w:rFonts w:ascii="Times New Roman" w:hAnsi="Times New Roman"/>
          <w:sz w:val="20"/>
          <w:szCs w:val="20"/>
        </w:rPr>
        <w:t xml:space="preserve">твии с ППРФ от 25.10.2023 № 1780.</w:t>
      </w:r>
      <w:r>
        <w:rPr>
          <w:sz w:val="20"/>
          <w:szCs w:val="20"/>
          <w:highlight w:val="none"/>
        </w:rPr>
      </w:r>
      <w:r>
        <w:rPr>
          <w:sz w:val="20"/>
          <w:szCs w:val="20"/>
          <w:highlight w:val="none"/>
        </w:rPr>
      </w:r>
    </w:p>
    <w:p>
      <w:pPr>
        <w:contextualSpacing w:val="0"/>
        <w:ind w:left="0" w:right="0" w:firstLine="0"/>
        <w:jc w:val="both"/>
        <w:spacing w:before="40" w:after="0" w:afterAutospacing="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40" w:after="0" w:afterAutospacing="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highlight w:val="none"/>
        </w:rPr>
      </w:r>
      <w:r>
        <w:rPr>
          <w:sz w:val="20"/>
          <w:szCs w:val="20"/>
          <w:highlight w:val="none"/>
        </w:rPr>
      </w:r>
    </w:p>
    <w:p>
      <w:pPr>
        <w:jc w:val="both"/>
        <w:spacing w:before="40" w:after="0" w:afterAutospacing="0"/>
        <w:rPr>
          <w:sz w:val="20"/>
          <w:szCs w:val="20"/>
        </w:rPr>
        <w:outlineLvl w:val="5"/>
      </w:pPr>
      <w:r>
        <w:rPr>
          <w:sz w:val="20"/>
          <w:szCs w:val="20"/>
          <w:highlight w:val="none"/>
        </w:rPr>
      </w:r>
      <w:r>
        <w:rPr>
          <w:rFonts w:ascii="Times New Roman" w:hAnsi="Times New Roman"/>
          <w:sz w:val="24"/>
          <w:szCs w:val="24"/>
        </w:rPr>
        <w:t xml:space="preserve">- п</w:t>
      </w:r>
      <w:r>
        <w:rPr>
          <w:rFonts w:ascii="Times New Roman" w:hAnsi="Times New Roman"/>
          <w:sz w:val="20"/>
          <w:szCs w:val="20"/>
        </w:rPr>
        <w:t xml:space="preserve">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64"/>
      </w:pPr>
      <w:r/>
      <w:r/>
    </w:p>
    <w:p>
      <w:pPr>
        <w:pStyle w:val="1164"/>
      </w:pPr>
      <w:r/>
      <w:r/>
    </w:p>
    <w:p>
      <w:pPr>
        <w:pStyle w:val="1164"/>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60"/>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Согласно </w:t>
            </w:r>
            <w:r>
              <w:rPr>
                <w:sz w:val="20"/>
                <w:szCs w:val="20"/>
              </w:rPr>
            </w:r>
            <w:r>
              <w:rPr>
                <w:sz w:val="20"/>
                <w:szCs w:val="20"/>
              </w:rPr>
            </w:r>
          </w:p>
          <w:p>
            <w:pPr>
              <w:pStyle w:val="1160"/>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60"/>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bl>
    <w:p>
      <w:pPr>
        <w:pStyle w:val="1160"/>
        <w:rPr>
          <w:i/>
          <w:sz w:val="16"/>
          <w:szCs w:val="16"/>
        </w:rPr>
      </w:pPr>
      <w:r>
        <w:rPr>
          <w:i/>
          <w:sz w:val="16"/>
          <w:szCs w:val="16"/>
        </w:rPr>
      </w:r>
      <w:r>
        <w:rPr>
          <w:i/>
          <w:sz w:val="16"/>
          <w:szCs w:val="16"/>
        </w:rPr>
      </w:r>
      <w:r>
        <w:rPr>
          <w:i/>
          <w:sz w:val="16"/>
          <w:szCs w:val="16"/>
        </w:rPr>
      </w:r>
    </w:p>
    <w:p>
      <w:pPr>
        <w:pStyle w:val="1160"/>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60"/>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60"/>
        <w:jc w:val="both"/>
      </w:pPr>
      <w:r/>
      <w:r/>
    </w:p>
    <w:p>
      <w:pPr>
        <w:pStyle w:val="1164"/>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 </w:t>
            </w:r>
            <w:r>
              <w:rPr>
                <w:sz w:val="20"/>
                <w:szCs w:val="20"/>
              </w:rPr>
            </w:r>
            <w:r>
              <w:rPr>
                <w:sz w:val="20"/>
                <w:szCs w:val="20"/>
              </w:rPr>
            </w:r>
          </w:p>
          <w:p>
            <w:pPr>
              <w:pStyle w:val="1160"/>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60"/>
              <w:rPr>
                <w:sz w:val="20"/>
                <w:szCs w:val="20"/>
              </w:rPr>
            </w:pPr>
            <w:r>
              <w:rPr>
                <w:sz w:val="20"/>
                <w:szCs w:val="20"/>
              </w:rPr>
              <w:t xml:space="preserve">АО «Россельхозбанк» в НКО </w:t>
            </w:r>
            <w:r>
              <w:rPr>
                <w:sz w:val="20"/>
                <w:szCs w:val="20"/>
              </w:rPr>
            </w:r>
            <w:r>
              <w:rPr>
                <w:sz w:val="20"/>
                <w:szCs w:val="20"/>
              </w:rPr>
            </w:r>
          </w:p>
          <w:p>
            <w:pPr>
              <w:pStyle w:val="1160"/>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bCs/>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ind w:left="-72" w:right="-101"/>
              <w:jc w:val="center"/>
              <w:rPr>
                <w:bCs/>
                <w:sz w:val="18"/>
                <w:szCs w:val="18"/>
              </w:rPr>
            </w:pPr>
            <w:r>
              <w:rPr>
                <w:bCs/>
                <w:sz w:val="18"/>
                <w:szCs w:val="18"/>
              </w:rPr>
              <w:t xml:space="preserve">%</w:t>
            </w:r>
            <w:r>
              <w:rPr>
                <w:bCs/>
                <w:sz w:val="18"/>
                <w:szCs w:val="18"/>
              </w:rPr>
            </w:r>
            <w:r>
              <w:rPr>
                <w:bCs/>
                <w:sz w:val="18"/>
                <w:szCs w:val="18"/>
              </w:rPr>
            </w:r>
          </w:p>
          <w:p>
            <w:pPr>
              <w:pStyle w:val="1160"/>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60"/>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0"/>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60"/>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 сделки</w:t>
            </w:r>
            <w:r>
              <w:rPr>
                <w:sz w:val="20"/>
                <w:szCs w:val="20"/>
              </w:rPr>
            </w:r>
            <w:r>
              <w:rPr>
                <w:sz w:val="20"/>
                <w:szCs w:val="20"/>
              </w:rPr>
            </w:r>
          </w:p>
          <w:p>
            <w:pPr>
              <w:pStyle w:val="1160"/>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w:t>
            </w:r>
            <w:r>
              <w:rPr>
                <w:sz w:val="20"/>
                <w:szCs w:val="20"/>
              </w:rPr>
            </w:r>
            <w:r>
              <w:rPr>
                <w:sz w:val="20"/>
                <w:szCs w:val="20"/>
              </w:rPr>
            </w:r>
          </w:p>
          <w:p>
            <w:pPr>
              <w:pStyle w:val="1160"/>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bl>
    <w:p>
      <w:pPr>
        <w:pStyle w:val="1160"/>
        <w:rPr>
          <w:i/>
          <w:sz w:val="16"/>
          <w:szCs w:val="16"/>
          <w:lang w:val="en-US"/>
        </w:rPr>
      </w:pPr>
      <w:r>
        <w:rPr>
          <w:i/>
          <w:sz w:val="16"/>
          <w:szCs w:val="16"/>
          <w:lang w:val="en-US"/>
        </w:rPr>
      </w:r>
      <w:r>
        <w:rPr>
          <w:i/>
          <w:sz w:val="16"/>
          <w:szCs w:val="16"/>
          <w:lang w:val="en-US"/>
        </w:rPr>
      </w:r>
      <w:r>
        <w:rPr>
          <w:i/>
          <w:sz w:val="16"/>
          <w:szCs w:val="16"/>
          <w:lang w:val="en-US"/>
        </w:rPr>
      </w:r>
    </w:p>
    <w:p>
      <w:pPr>
        <w:pStyle w:val="1160"/>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60"/>
      </w:pPr>
      <w:r/>
      <w:r/>
    </w:p>
    <w:p>
      <w:pPr>
        <w:pStyle w:val="1164"/>
      </w:pPr>
      <w:r>
        <w:t xml:space="preserve">15. Операции с монетами из драгоценных металлов</w:t>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60"/>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60"/>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0"/>
              <w:rPr>
                <w:sz w:val="20"/>
                <w:szCs w:val="20"/>
              </w:rPr>
            </w:pPr>
            <w:r>
              <w:rPr>
                <w:sz w:val="20"/>
                <w:szCs w:val="20"/>
              </w:rPr>
              <w:t xml:space="preserve">от 300 до 499 шт.</w:t>
            </w:r>
            <w:r>
              <w:rPr>
                <w:sz w:val="20"/>
                <w:szCs w:val="20"/>
              </w:rPr>
            </w:r>
            <w:r>
              <w:rPr>
                <w:sz w:val="20"/>
                <w:szCs w:val="20"/>
              </w:rPr>
            </w:r>
          </w:p>
          <w:p>
            <w:pPr>
              <w:pStyle w:val="1160"/>
              <w:rPr>
                <w:sz w:val="20"/>
                <w:szCs w:val="20"/>
              </w:rPr>
            </w:pPr>
            <w:r>
              <w:rPr>
                <w:sz w:val="20"/>
                <w:szCs w:val="20"/>
              </w:rPr>
              <w:t xml:space="preserve">от 500 до 999 шт.</w:t>
            </w:r>
            <w:r>
              <w:rPr>
                <w:sz w:val="20"/>
                <w:szCs w:val="20"/>
              </w:rPr>
            </w:r>
            <w:r>
              <w:rPr>
                <w:sz w:val="20"/>
                <w:szCs w:val="20"/>
              </w:rPr>
            </w:r>
          </w:p>
          <w:p>
            <w:pPr>
              <w:pStyle w:val="1160"/>
              <w:rPr>
                <w:sz w:val="20"/>
                <w:szCs w:val="20"/>
              </w:rPr>
            </w:pPr>
            <w:r>
              <w:rPr>
                <w:sz w:val="20"/>
                <w:szCs w:val="20"/>
              </w:rPr>
              <w:t xml:space="preserve">от 1000 до 1499 шт.</w:t>
            </w:r>
            <w:r>
              <w:rPr>
                <w:sz w:val="20"/>
                <w:szCs w:val="20"/>
              </w:rPr>
            </w:r>
            <w:r>
              <w:rPr>
                <w:sz w:val="20"/>
                <w:szCs w:val="20"/>
              </w:rPr>
            </w:r>
          </w:p>
          <w:p>
            <w:pPr>
              <w:pStyle w:val="1160"/>
              <w:rPr>
                <w:sz w:val="20"/>
                <w:szCs w:val="20"/>
              </w:rPr>
            </w:pPr>
            <w:r>
              <w:rPr>
                <w:sz w:val="20"/>
                <w:szCs w:val="20"/>
              </w:rPr>
              <w:t xml:space="preserve">от 1500 и более шт.</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0"/>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305 руб./шт.</w:t>
            </w:r>
            <w:r>
              <w:rPr>
                <w:sz w:val="20"/>
                <w:szCs w:val="20"/>
              </w:rPr>
            </w:r>
            <w:r>
              <w:rPr>
                <w:sz w:val="20"/>
                <w:szCs w:val="20"/>
              </w:rPr>
            </w:r>
          </w:p>
          <w:p>
            <w:pPr>
              <w:pStyle w:val="1160"/>
              <w:jc w:val="center"/>
              <w:rPr>
                <w:sz w:val="20"/>
                <w:szCs w:val="20"/>
              </w:rPr>
            </w:pPr>
            <w:r>
              <w:rPr>
                <w:sz w:val="20"/>
                <w:szCs w:val="20"/>
              </w:rPr>
              <w:t xml:space="preserve">285 руб./шт.</w:t>
            </w:r>
            <w:r>
              <w:rPr>
                <w:sz w:val="20"/>
                <w:szCs w:val="20"/>
              </w:rPr>
            </w:r>
            <w:r>
              <w:rPr>
                <w:sz w:val="20"/>
                <w:szCs w:val="20"/>
              </w:rPr>
            </w:r>
          </w:p>
          <w:p>
            <w:pPr>
              <w:pStyle w:val="1160"/>
              <w:jc w:val="center"/>
              <w:rPr>
                <w:sz w:val="20"/>
                <w:szCs w:val="20"/>
              </w:rPr>
            </w:pPr>
            <w:r>
              <w:rPr>
                <w:sz w:val="20"/>
                <w:szCs w:val="20"/>
              </w:rPr>
              <w:t xml:space="preserve">265 руб./шт.</w:t>
            </w:r>
            <w:r>
              <w:rPr>
                <w:sz w:val="20"/>
                <w:szCs w:val="20"/>
              </w:rPr>
            </w:r>
            <w:r>
              <w:rPr>
                <w:sz w:val="20"/>
                <w:szCs w:val="20"/>
              </w:rPr>
            </w:r>
          </w:p>
          <w:p>
            <w:pPr>
              <w:pStyle w:val="1160"/>
              <w:jc w:val="center"/>
              <w:rPr>
                <w:sz w:val="20"/>
                <w:szCs w:val="20"/>
              </w:rPr>
            </w:pPr>
            <w:r>
              <w:rPr>
                <w:sz w:val="20"/>
                <w:szCs w:val="20"/>
              </w:rPr>
              <w:t xml:space="preserve">245 руб./шт.</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60"/>
              <w:rPr>
                <w:sz w:val="20"/>
                <w:szCs w:val="20"/>
              </w:rPr>
            </w:pPr>
            <w:r>
              <w:rPr>
                <w:sz w:val="20"/>
                <w:szCs w:val="20"/>
              </w:rPr>
              <w:t xml:space="preserve">Комиссия включает НДС</w:t>
            </w:r>
            <w:r>
              <w:rPr>
                <w:sz w:val="20"/>
                <w:szCs w:val="20"/>
              </w:rPr>
            </w:r>
            <w:r>
              <w:rPr>
                <w:sz w:val="20"/>
                <w:szCs w:val="20"/>
              </w:rPr>
            </w:r>
          </w:p>
        </w:tc>
      </w:tr>
    </w:tbl>
    <w:p>
      <w:pPr>
        <w:pStyle w:val="1160"/>
        <w:ind w:left="4395" w:right="-2"/>
        <w:jc w:val="both"/>
        <w:rPr>
          <w:sz w:val="20"/>
          <w:szCs w:val="20"/>
        </w:rPr>
      </w:pPr>
      <w:r>
        <w:rPr>
          <w:sz w:val="20"/>
          <w:szCs w:val="20"/>
        </w:rPr>
      </w:r>
      <w:r>
        <w:rPr>
          <w:sz w:val="20"/>
          <w:szCs w:val="20"/>
        </w:rPr>
      </w:r>
      <w:r>
        <w:rPr>
          <w:sz w:val="20"/>
          <w:szCs w:val="20"/>
        </w:rPr>
      </w:r>
    </w:p>
    <w:p>
      <w:pPr>
        <w:pStyle w:val="1160"/>
        <w:ind w:left="4395" w:right="-2"/>
        <w:jc w:val="both"/>
        <w:rPr>
          <w:sz w:val="20"/>
          <w:szCs w:val="20"/>
        </w:rPr>
      </w:pPr>
      <w:r>
        <w:rPr>
          <w:sz w:val="20"/>
          <w:szCs w:val="20"/>
        </w:rPr>
      </w:r>
      <w:r>
        <w:rPr>
          <w:sz w:val="20"/>
          <w:szCs w:val="20"/>
        </w:rPr>
      </w:r>
      <w:r>
        <w:rPr>
          <w:sz w:val="20"/>
          <w:szCs w:val="20"/>
        </w:rPr>
      </w:r>
    </w:p>
    <w:p>
      <w:pPr>
        <w:pStyle w:val="1164"/>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60"/>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60"/>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60"/>
        <w:tabs>
          <w:tab w:val="left" w:pos="0" w:leader="none"/>
        </w:tabs>
      </w:pPr>
      <w:r/>
      <w:r/>
    </w:p>
    <w:p>
      <w:pPr>
        <w:pStyle w:val="1164"/>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60"/>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6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6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6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6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6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6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6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6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6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6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6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bl>
    <w:p>
      <w:pPr>
        <w:pStyle w:val="1160"/>
        <w:jc w:val="both"/>
        <w:rPr>
          <w:bCs/>
          <w:iCs/>
        </w:rPr>
      </w:pPr>
      <w:r>
        <w:rPr>
          <w:bCs/>
          <w:iCs/>
        </w:rPr>
      </w:r>
      <w:r>
        <w:rPr>
          <w:bCs/>
          <w:iCs/>
        </w:rPr>
      </w:r>
      <w:r>
        <w:rPr>
          <w:bCs/>
          <w:iCs/>
        </w:rPr>
      </w:r>
    </w:p>
    <w:p>
      <w:pPr>
        <w:pStyle w:val="116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6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60"/>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60"/>
      </w:pPr>
      <w:r>
        <mc:AlternateContent>
          <mc:Choice Requires="wpg">
            <w:drawing>
              <wp:inline xmlns:wp="http://schemas.openxmlformats.org/drawingml/2006/wordprocessingDrawing" distT="0" distB="0" distL="0" distR="0">
                <wp:extent cx="6877751" cy="2769641"/>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extLst>
                            <a:ext uri="{96DAC541-7B7A-43D3-8B79-37D633B846F1}">
                              <asvg:svgBlip xmlns:asvg="http://schemas.microsoft.com/office/drawing/2016/SVG/main" r:embed="rId12"/>
                            </a:ext>
                          </a:extLst>
                        </a:blip>
                        <a:srcRect l="0" t="0" r="0" b="22869"/>
                        <a:stretch/>
                      </pic:blipFill>
                      <pic:spPr bwMode="auto">
                        <a:xfrm flipH="0" flipV="0">
                          <a:off x="0" y="0"/>
                          <a:ext cx="6877751" cy="27696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1.56pt;height:218.08pt;mso-wrap-distance-left:0.00pt;mso-wrap-distance-top:0.00pt;mso-wrap-distance-right:0.00pt;mso-wrap-distance-bottom:0.00pt;" stroked="f">
                <v:path textboxrect="0,0,0,0"/>
                <v:imagedata r:id="rId11" o:title=""/>
              </v:shape>
            </w:pict>
          </mc:Fallback>
        </mc:AlternateContent>
      </w:r>
      <w:r/>
    </w:p>
    <w:p>
      <w:pPr>
        <w:pStyle w:val="1160"/>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pStyle w:val="1160"/>
      </w:pPr>
      <w:r/>
      <w:r/>
    </w:p>
    <w:p>
      <w:pPr>
        <w:pStyle w:val="1160"/>
      </w:pPr>
      <w:r/>
      <w:r/>
    </w:p>
    <w:p>
      <w:pPr>
        <w:pStyle w:val="1160"/>
      </w:pPr>
      <w:r/>
      <w:r/>
    </w:p>
    <w:p>
      <w:pPr>
        <w:pStyle w:val="1160"/>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60"/>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0"/>
              <w:jc w:val="center"/>
              <w:rPr>
                <w:sz w:val="22"/>
                <w:szCs w:val="22"/>
              </w:rPr>
            </w:pPr>
            <w:r>
              <w:rPr>
                <w:sz w:val="22"/>
                <w:szCs w:val="22"/>
              </w:rPr>
              <w:t xml:space="preserve">№</w:t>
            </w:r>
            <w:r>
              <w:rPr>
                <w:sz w:val="22"/>
                <w:szCs w:val="22"/>
              </w:rPr>
            </w:r>
            <w:r>
              <w:rPr>
                <w:sz w:val="22"/>
                <w:szCs w:val="22"/>
              </w:rPr>
            </w:r>
          </w:p>
          <w:p>
            <w:pPr>
              <w:pStyle w:val="1160"/>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60"/>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60"/>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60"/>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60"/>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60"/>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10000000000000000"/>
  </w:font>
  <w:font w:name="TimesET">
    <w:panose1 w:val="02000603000000000000"/>
  </w:font>
  <w:font w:name="Calibri">
    <w:panose1 w:val="020F0502020204030204"/>
  </w:font>
  <w:font w:name="Tahoma">
    <w:panose1 w:val="020B060403050404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pPr>
      <w:r>
        <w:rPr>
          <w:rStyle w:val="1173"/>
        </w:rPr>
        <w:footnoteRef/>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74"/>
      </w:pPr>
      <w:r>
        <w:rPr>
          <w:rStyle w:val="1173"/>
        </w:rPr>
        <w:footnoteRef/>
      </w:r>
      <w:r>
        <w:t xml:space="preserve"> [номер сноски указывается в соответствии с нумерацией сносок в Тарифах]</w:t>
      </w:r>
      <w:r/>
    </w:p>
    <w:p>
      <w:pPr>
        <w:pStyle w:val="1174"/>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4"/>
      </w:pPr>
      <w:r/>
      <w:r/>
    </w:p>
  </w:footnote>
  <w:footnote w:id="4">
    <w:p>
      <w:pPr>
        <w:pStyle w:val="1174"/>
        <w:jc w:val="both"/>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pPr>
      <w:r>
        <w:t xml:space="preserve">В соответствии с пунктом 10.2 приказа АО «Россельхозбанк» от 01.08.2013 № 386-ОД.</w:t>
      </w:r>
      <w:r/>
    </w:p>
  </w:footnote>
  <w:footnote w:id="6">
    <w:p>
      <w:pPr>
        <w:pStyle w:val="1160"/>
        <w:ind w:left="-2" w:right="-18"/>
        <w:jc w:val="both"/>
        <w:spacing w:before="40" w:after="40"/>
        <w:tabs>
          <w:tab w:val="left" w:pos="4464" w:leader="none"/>
          <w:tab w:val="left" w:pos="5760" w:leader="none"/>
        </w:tabs>
        <w:rPr>
          <w:i/>
          <w:sz w:val="16"/>
          <w:szCs w:val="16"/>
        </w:rPr>
      </w:pPr>
      <w:r>
        <w:rPr>
          <w:rStyle w:val="1173"/>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74"/>
        <w:rPr>
          <w:i/>
          <w:sz w:val="16"/>
          <w:szCs w:val="16"/>
        </w:rPr>
      </w:pPr>
      <w:r>
        <w:rPr>
          <w:rStyle w:val="1173"/>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60"/>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6"/>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2">
    <w:name w:val="Heading 1"/>
    <w:basedOn w:val="1160"/>
    <w:next w:val="1160"/>
    <w:link w:val="983"/>
    <w:uiPriority w:val="9"/>
    <w:qFormat/>
    <w:pPr>
      <w:keepLines/>
      <w:keepNext/>
      <w:spacing w:before="480" w:after="200"/>
      <w:outlineLvl w:val="0"/>
    </w:pPr>
    <w:rPr>
      <w:rFonts w:ascii="Arial" w:hAnsi="Arial" w:eastAsia="Arial" w:cs="Arial"/>
      <w:sz w:val="40"/>
      <w:szCs w:val="40"/>
    </w:rPr>
  </w:style>
  <w:style w:type="character" w:styleId="983">
    <w:name w:val="Heading 1 Char"/>
    <w:link w:val="982"/>
    <w:uiPriority w:val="9"/>
    <w:rPr>
      <w:rFonts w:ascii="Arial" w:hAnsi="Arial" w:eastAsia="Arial" w:cs="Arial"/>
      <w:sz w:val="40"/>
      <w:szCs w:val="40"/>
    </w:rPr>
  </w:style>
  <w:style w:type="paragraph" w:styleId="984">
    <w:name w:val="Heading 2"/>
    <w:basedOn w:val="1160"/>
    <w:next w:val="1160"/>
    <w:link w:val="985"/>
    <w:uiPriority w:val="9"/>
    <w:unhideWhenUsed/>
    <w:qFormat/>
    <w:pPr>
      <w:keepLines/>
      <w:keepNext/>
      <w:spacing w:before="360" w:after="200"/>
      <w:outlineLvl w:val="1"/>
    </w:pPr>
    <w:rPr>
      <w:rFonts w:ascii="Arial" w:hAnsi="Arial" w:eastAsia="Arial" w:cs="Arial"/>
      <w:sz w:val="34"/>
    </w:rPr>
  </w:style>
  <w:style w:type="character" w:styleId="985">
    <w:name w:val="Heading 2 Char"/>
    <w:link w:val="984"/>
    <w:uiPriority w:val="9"/>
    <w:rPr>
      <w:rFonts w:ascii="Arial" w:hAnsi="Arial" w:eastAsia="Arial" w:cs="Arial"/>
      <w:sz w:val="34"/>
    </w:rPr>
  </w:style>
  <w:style w:type="paragraph" w:styleId="986">
    <w:name w:val="Heading 3"/>
    <w:basedOn w:val="1160"/>
    <w:next w:val="1160"/>
    <w:link w:val="987"/>
    <w:uiPriority w:val="9"/>
    <w:unhideWhenUsed/>
    <w:qFormat/>
    <w:pPr>
      <w:keepLines/>
      <w:keepNext/>
      <w:spacing w:before="320" w:after="200"/>
      <w:outlineLvl w:val="2"/>
    </w:pPr>
    <w:rPr>
      <w:rFonts w:ascii="Arial" w:hAnsi="Arial" w:eastAsia="Arial" w:cs="Arial"/>
      <w:sz w:val="30"/>
      <w:szCs w:val="30"/>
    </w:rPr>
  </w:style>
  <w:style w:type="character" w:styleId="987">
    <w:name w:val="Heading 3 Char"/>
    <w:link w:val="986"/>
    <w:uiPriority w:val="9"/>
    <w:rPr>
      <w:rFonts w:ascii="Arial" w:hAnsi="Arial" w:eastAsia="Arial" w:cs="Arial"/>
      <w:sz w:val="30"/>
      <w:szCs w:val="30"/>
    </w:rPr>
  </w:style>
  <w:style w:type="paragraph" w:styleId="988">
    <w:name w:val="Heading 4"/>
    <w:basedOn w:val="1160"/>
    <w:next w:val="1160"/>
    <w:link w:val="989"/>
    <w:uiPriority w:val="9"/>
    <w:unhideWhenUsed/>
    <w:qFormat/>
    <w:pPr>
      <w:keepLines/>
      <w:keepNext/>
      <w:spacing w:before="320" w:after="200"/>
      <w:outlineLvl w:val="3"/>
    </w:pPr>
    <w:rPr>
      <w:rFonts w:ascii="Arial" w:hAnsi="Arial" w:eastAsia="Arial" w:cs="Arial"/>
      <w:b/>
      <w:bCs/>
      <w:sz w:val="26"/>
      <w:szCs w:val="26"/>
    </w:rPr>
  </w:style>
  <w:style w:type="character" w:styleId="989">
    <w:name w:val="Heading 4 Char"/>
    <w:link w:val="988"/>
    <w:uiPriority w:val="9"/>
    <w:rPr>
      <w:rFonts w:ascii="Arial" w:hAnsi="Arial" w:eastAsia="Arial" w:cs="Arial"/>
      <w:b/>
      <w:bCs/>
      <w:sz w:val="26"/>
      <w:szCs w:val="26"/>
    </w:rPr>
  </w:style>
  <w:style w:type="paragraph" w:styleId="990">
    <w:name w:val="Heading 5"/>
    <w:basedOn w:val="1160"/>
    <w:next w:val="1160"/>
    <w:link w:val="991"/>
    <w:uiPriority w:val="9"/>
    <w:unhideWhenUsed/>
    <w:qFormat/>
    <w:pPr>
      <w:keepLines/>
      <w:keepNext/>
      <w:spacing w:before="320" w:after="200"/>
      <w:outlineLvl w:val="4"/>
    </w:pPr>
    <w:rPr>
      <w:rFonts w:ascii="Arial" w:hAnsi="Arial" w:eastAsia="Arial" w:cs="Arial"/>
      <w:b/>
      <w:bCs/>
      <w:sz w:val="24"/>
      <w:szCs w:val="24"/>
    </w:rPr>
  </w:style>
  <w:style w:type="character" w:styleId="991">
    <w:name w:val="Heading 5 Char"/>
    <w:link w:val="990"/>
    <w:uiPriority w:val="9"/>
    <w:rPr>
      <w:rFonts w:ascii="Arial" w:hAnsi="Arial" w:eastAsia="Arial" w:cs="Arial"/>
      <w:b/>
      <w:bCs/>
      <w:sz w:val="24"/>
      <w:szCs w:val="24"/>
    </w:rPr>
  </w:style>
  <w:style w:type="paragraph" w:styleId="992">
    <w:name w:val="Heading 6"/>
    <w:basedOn w:val="1160"/>
    <w:next w:val="1160"/>
    <w:link w:val="993"/>
    <w:uiPriority w:val="9"/>
    <w:unhideWhenUsed/>
    <w:qFormat/>
    <w:pPr>
      <w:keepLines/>
      <w:keepNext/>
      <w:spacing w:before="320" w:after="200"/>
      <w:outlineLvl w:val="5"/>
    </w:pPr>
    <w:rPr>
      <w:rFonts w:ascii="Arial" w:hAnsi="Arial" w:eastAsia="Arial" w:cs="Arial"/>
      <w:b/>
      <w:bCs/>
      <w:sz w:val="22"/>
      <w:szCs w:val="22"/>
    </w:rPr>
  </w:style>
  <w:style w:type="character" w:styleId="993">
    <w:name w:val="Heading 6 Char"/>
    <w:link w:val="992"/>
    <w:uiPriority w:val="9"/>
    <w:rPr>
      <w:rFonts w:ascii="Arial" w:hAnsi="Arial" w:eastAsia="Arial" w:cs="Arial"/>
      <w:b/>
      <w:bCs/>
      <w:sz w:val="22"/>
      <w:szCs w:val="22"/>
    </w:rPr>
  </w:style>
  <w:style w:type="paragraph" w:styleId="994">
    <w:name w:val="Heading 7"/>
    <w:basedOn w:val="1160"/>
    <w:next w:val="1160"/>
    <w:link w:val="995"/>
    <w:uiPriority w:val="9"/>
    <w:unhideWhenUsed/>
    <w:qFormat/>
    <w:pPr>
      <w:keepLines/>
      <w:keepNext/>
      <w:spacing w:before="320" w:after="200"/>
      <w:outlineLvl w:val="6"/>
    </w:pPr>
    <w:rPr>
      <w:rFonts w:ascii="Arial" w:hAnsi="Arial" w:eastAsia="Arial" w:cs="Arial"/>
      <w:b/>
      <w:bCs/>
      <w:i/>
      <w:iCs/>
      <w:sz w:val="22"/>
      <w:szCs w:val="22"/>
    </w:rPr>
  </w:style>
  <w:style w:type="character" w:styleId="995">
    <w:name w:val="Heading 7 Char"/>
    <w:link w:val="994"/>
    <w:uiPriority w:val="9"/>
    <w:rPr>
      <w:rFonts w:ascii="Arial" w:hAnsi="Arial" w:eastAsia="Arial" w:cs="Arial"/>
      <w:b/>
      <w:bCs/>
      <w:i/>
      <w:iCs/>
      <w:sz w:val="22"/>
      <w:szCs w:val="22"/>
    </w:rPr>
  </w:style>
  <w:style w:type="paragraph" w:styleId="996">
    <w:name w:val="Heading 8"/>
    <w:basedOn w:val="1160"/>
    <w:next w:val="1160"/>
    <w:link w:val="997"/>
    <w:uiPriority w:val="9"/>
    <w:unhideWhenUsed/>
    <w:qFormat/>
    <w:pPr>
      <w:keepLines/>
      <w:keepNext/>
      <w:spacing w:before="320" w:after="200"/>
      <w:outlineLvl w:val="7"/>
    </w:pPr>
    <w:rPr>
      <w:rFonts w:ascii="Arial" w:hAnsi="Arial" w:eastAsia="Arial" w:cs="Arial"/>
      <w:i/>
      <w:iCs/>
      <w:sz w:val="22"/>
      <w:szCs w:val="22"/>
    </w:rPr>
  </w:style>
  <w:style w:type="character" w:styleId="997">
    <w:name w:val="Heading 8 Char"/>
    <w:link w:val="996"/>
    <w:uiPriority w:val="9"/>
    <w:rPr>
      <w:rFonts w:ascii="Arial" w:hAnsi="Arial" w:eastAsia="Arial" w:cs="Arial"/>
      <w:i/>
      <w:iCs/>
      <w:sz w:val="22"/>
      <w:szCs w:val="22"/>
    </w:rPr>
  </w:style>
  <w:style w:type="paragraph" w:styleId="998">
    <w:name w:val="Heading 9"/>
    <w:basedOn w:val="1160"/>
    <w:next w:val="1160"/>
    <w:link w:val="999"/>
    <w:uiPriority w:val="9"/>
    <w:unhideWhenUsed/>
    <w:qFormat/>
    <w:pPr>
      <w:keepLines/>
      <w:keepNext/>
      <w:spacing w:before="320" w:after="200"/>
      <w:outlineLvl w:val="8"/>
    </w:pPr>
    <w:rPr>
      <w:rFonts w:ascii="Arial" w:hAnsi="Arial" w:eastAsia="Arial" w:cs="Arial"/>
      <w:i/>
      <w:iCs/>
      <w:sz w:val="21"/>
      <w:szCs w:val="21"/>
    </w:rPr>
  </w:style>
  <w:style w:type="character" w:styleId="999">
    <w:name w:val="Heading 9 Char"/>
    <w:link w:val="998"/>
    <w:uiPriority w:val="9"/>
    <w:rPr>
      <w:rFonts w:ascii="Arial" w:hAnsi="Arial" w:eastAsia="Arial" w:cs="Arial"/>
      <w:i/>
      <w:iCs/>
      <w:sz w:val="21"/>
      <w:szCs w:val="21"/>
    </w:rPr>
  </w:style>
  <w:style w:type="paragraph" w:styleId="1000">
    <w:name w:val="List Paragraph"/>
    <w:basedOn w:val="1160"/>
    <w:uiPriority w:val="34"/>
    <w:qFormat/>
    <w:pPr>
      <w:contextualSpacing/>
      <w:ind w:left="720"/>
    </w:pPr>
  </w:style>
  <w:style w:type="paragraph" w:styleId="1001">
    <w:name w:val="No Spacing"/>
    <w:uiPriority w:val="1"/>
    <w:qFormat/>
    <w:pPr>
      <w:spacing w:before="0" w:after="0" w:line="240" w:lineRule="auto"/>
    </w:pPr>
  </w:style>
  <w:style w:type="paragraph" w:styleId="1002">
    <w:name w:val="Title"/>
    <w:basedOn w:val="1160"/>
    <w:next w:val="1160"/>
    <w:link w:val="1003"/>
    <w:uiPriority w:val="10"/>
    <w:qFormat/>
    <w:pPr>
      <w:contextualSpacing/>
      <w:spacing w:before="300" w:after="200"/>
    </w:pPr>
    <w:rPr>
      <w:sz w:val="48"/>
      <w:szCs w:val="48"/>
    </w:rPr>
  </w:style>
  <w:style w:type="character" w:styleId="1003">
    <w:name w:val="Title Char"/>
    <w:link w:val="1002"/>
    <w:uiPriority w:val="10"/>
    <w:rPr>
      <w:sz w:val="48"/>
      <w:szCs w:val="48"/>
    </w:rPr>
  </w:style>
  <w:style w:type="paragraph" w:styleId="1004">
    <w:name w:val="Subtitle"/>
    <w:basedOn w:val="1160"/>
    <w:next w:val="1160"/>
    <w:link w:val="1005"/>
    <w:uiPriority w:val="11"/>
    <w:qFormat/>
    <w:pPr>
      <w:spacing w:before="200" w:after="200"/>
    </w:pPr>
    <w:rPr>
      <w:sz w:val="24"/>
      <w:szCs w:val="24"/>
    </w:rPr>
  </w:style>
  <w:style w:type="character" w:styleId="1005">
    <w:name w:val="Subtitle Char"/>
    <w:link w:val="1004"/>
    <w:uiPriority w:val="11"/>
    <w:rPr>
      <w:sz w:val="24"/>
      <w:szCs w:val="24"/>
    </w:rPr>
  </w:style>
  <w:style w:type="paragraph" w:styleId="1006">
    <w:name w:val="Quote"/>
    <w:basedOn w:val="1160"/>
    <w:next w:val="1160"/>
    <w:link w:val="1007"/>
    <w:uiPriority w:val="29"/>
    <w:qFormat/>
    <w:pPr>
      <w:ind w:left="720" w:right="720"/>
    </w:pPr>
    <w:rPr>
      <w:i/>
    </w:rPr>
  </w:style>
  <w:style w:type="character" w:styleId="1007">
    <w:name w:val="Quote Char"/>
    <w:link w:val="1006"/>
    <w:uiPriority w:val="29"/>
    <w:rPr>
      <w:i/>
    </w:rPr>
  </w:style>
  <w:style w:type="paragraph" w:styleId="1008">
    <w:name w:val="Intense Quote"/>
    <w:basedOn w:val="1160"/>
    <w:next w:val="1160"/>
    <w:link w:val="10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9">
    <w:name w:val="Intense Quote Char"/>
    <w:link w:val="1008"/>
    <w:uiPriority w:val="30"/>
    <w:rPr>
      <w:i/>
    </w:rPr>
  </w:style>
  <w:style w:type="paragraph" w:styleId="1010">
    <w:name w:val="Header"/>
    <w:basedOn w:val="1160"/>
    <w:link w:val="1011"/>
    <w:uiPriority w:val="99"/>
    <w:unhideWhenUsed/>
    <w:pPr>
      <w:spacing w:after="0" w:line="240" w:lineRule="auto"/>
      <w:tabs>
        <w:tab w:val="center" w:pos="7143" w:leader="none"/>
        <w:tab w:val="right" w:pos="14287" w:leader="none"/>
      </w:tabs>
    </w:pPr>
  </w:style>
  <w:style w:type="character" w:styleId="1011">
    <w:name w:val="Header Char"/>
    <w:link w:val="1010"/>
    <w:uiPriority w:val="99"/>
  </w:style>
  <w:style w:type="paragraph" w:styleId="1012">
    <w:name w:val="Footer"/>
    <w:basedOn w:val="1160"/>
    <w:link w:val="1015"/>
    <w:uiPriority w:val="99"/>
    <w:unhideWhenUsed/>
    <w:pPr>
      <w:spacing w:after="0" w:line="240" w:lineRule="auto"/>
      <w:tabs>
        <w:tab w:val="center" w:pos="7143" w:leader="none"/>
        <w:tab w:val="right" w:pos="14287" w:leader="none"/>
      </w:tabs>
    </w:pPr>
  </w:style>
  <w:style w:type="character" w:styleId="1013">
    <w:name w:val="Footer Char"/>
    <w:link w:val="1012"/>
    <w:uiPriority w:val="99"/>
  </w:style>
  <w:style w:type="paragraph" w:styleId="1014">
    <w:name w:val="Caption"/>
    <w:basedOn w:val="1160"/>
    <w:next w:val="1160"/>
    <w:link w:val="1015"/>
    <w:uiPriority w:val="35"/>
    <w:semiHidden/>
    <w:unhideWhenUsed/>
    <w:qFormat/>
    <w:pPr>
      <w:spacing w:line="276" w:lineRule="auto"/>
    </w:pPr>
    <w:rPr>
      <w:b/>
      <w:bCs/>
      <w:color w:val="4f81bd" w:themeColor="accent1"/>
      <w:sz w:val="18"/>
      <w:szCs w:val="18"/>
    </w:rPr>
  </w:style>
  <w:style w:type="character" w:styleId="1015">
    <w:name w:val="Caption Char"/>
    <w:basedOn w:val="1014"/>
    <w:link w:val="1012"/>
    <w:uiPriority w:val="99"/>
  </w:style>
  <w:style w:type="table" w:styleId="10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2">
    <w:name w:val="Hyperlink"/>
    <w:uiPriority w:val="99"/>
    <w:unhideWhenUsed/>
    <w:rPr>
      <w:color w:val="0000ff" w:themeColor="hyperlink"/>
      <w:u w:val="single"/>
    </w:rPr>
  </w:style>
  <w:style w:type="paragraph" w:styleId="1143">
    <w:name w:val="footnote text"/>
    <w:basedOn w:val="1160"/>
    <w:link w:val="1144"/>
    <w:uiPriority w:val="99"/>
    <w:semiHidden/>
    <w:unhideWhenUsed/>
    <w:pPr>
      <w:spacing w:after="40" w:line="240" w:lineRule="auto"/>
    </w:pPr>
    <w:rPr>
      <w:sz w:val="18"/>
    </w:rPr>
  </w:style>
  <w:style w:type="character" w:styleId="1144">
    <w:name w:val="Footnote Text Char"/>
    <w:link w:val="1143"/>
    <w:uiPriority w:val="99"/>
    <w:rPr>
      <w:sz w:val="18"/>
    </w:rPr>
  </w:style>
  <w:style w:type="character" w:styleId="1145">
    <w:name w:val="footnote reference"/>
    <w:uiPriority w:val="99"/>
    <w:unhideWhenUsed/>
    <w:rPr>
      <w:vertAlign w:val="superscript"/>
    </w:rPr>
  </w:style>
  <w:style w:type="paragraph" w:styleId="1146">
    <w:name w:val="endnote text"/>
    <w:basedOn w:val="1160"/>
    <w:link w:val="1147"/>
    <w:uiPriority w:val="99"/>
    <w:semiHidden/>
    <w:unhideWhenUsed/>
    <w:pPr>
      <w:spacing w:after="0" w:line="240" w:lineRule="auto"/>
    </w:pPr>
    <w:rPr>
      <w:sz w:val="20"/>
    </w:rPr>
  </w:style>
  <w:style w:type="character" w:styleId="1147">
    <w:name w:val="Endnote Text Char"/>
    <w:link w:val="1146"/>
    <w:uiPriority w:val="99"/>
    <w:rPr>
      <w:sz w:val="20"/>
    </w:rPr>
  </w:style>
  <w:style w:type="character" w:styleId="1148">
    <w:name w:val="endnote reference"/>
    <w:uiPriority w:val="99"/>
    <w:semiHidden/>
    <w:unhideWhenUsed/>
    <w:rPr>
      <w:vertAlign w:val="superscript"/>
    </w:rPr>
  </w:style>
  <w:style w:type="paragraph" w:styleId="1149">
    <w:name w:val="toc 1"/>
    <w:basedOn w:val="1160"/>
    <w:next w:val="1160"/>
    <w:uiPriority w:val="39"/>
    <w:unhideWhenUsed/>
    <w:pPr>
      <w:ind w:left="0" w:right="0" w:firstLine="0"/>
      <w:spacing w:after="57"/>
    </w:pPr>
  </w:style>
  <w:style w:type="paragraph" w:styleId="1150">
    <w:name w:val="toc 2"/>
    <w:basedOn w:val="1160"/>
    <w:next w:val="1160"/>
    <w:uiPriority w:val="39"/>
    <w:unhideWhenUsed/>
    <w:pPr>
      <w:ind w:left="283" w:right="0" w:firstLine="0"/>
      <w:spacing w:after="57"/>
    </w:pPr>
  </w:style>
  <w:style w:type="paragraph" w:styleId="1151">
    <w:name w:val="toc 3"/>
    <w:basedOn w:val="1160"/>
    <w:next w:val="1160"/>
    <w:uiPriority w:val="39"/>
    <w:unhideWhenUsed/>
    <w:pPr>
      <w:ind w:left="567" w:right="0" w:firstLine="0"/>
      <w:spacing w:after="57"/>
    </w:pPr>
  </w:style>
  <w:style w:type="paragraph" w:styleId="1152">
    <w:name w:val="toc 4"/>
    <w:basedOn w:val="1160"/>
    <w:next w:val="1160"/>
    <w:uiPriority w:val="39"/>
    <w:unhideWhenUsed/>
    <w:pPr>
      <w:ind w:left="850" w:right="0" w:firstLine="0"/>
      <w:spacing w:after="57"/>
    </w:pPr>
  </w:style>
  <w:style w:type="paragraph" w:styleId="1153">
    <w:name w:val="toc 5"/>
    <w:basedOn w:val="1160"/>
    <w:next w:val="1160"/>
    <w:uiPriority w:val="39"/>
    <w:unhideWhenUsed/>
    <w:pPr>
      <w:ind w:left="1134" w:right="0" w:firstLine="0"/>
      <w:spacing w:after="57"/>
    </w:pPr>
  </w:style>
  <w:style w:type="paragraph" w:styleId="1154">
    <w:name w:val="toc 6"/>
    <w:basedOn w:val="1160"/>
    <w:next w:val="1160"/>
    <w:uiPriority w:val="39"/>
    <w:unhideWhenUsed/>
    <w:pPr>
      <w:ind w:left="1417" w:right="0" w:firstLine="0"/>
      <w:spacing w:after="57"/>
    </w:pPr>
  </w:style>
  <w:style w:type="paragraph" w:styleId="1155">
    <w:name w:val="toc 7"/>
    <w:basedOn w:val="1160"/>
    <w:next w:val="1160"/>
    <w:uiPriority w:val="39"/>
    <w:unhideWhenUsed/>
    <w:pPr>
      <w:ind w:left="1701" w:right="0" w:firstLine="0"/>
      <w:spacing w:after="57"/>
    </w:pPr>
  </w:style>
  <w:style w:type="paragraph" w:styleId="1156">
    <w:name w:val="toc 8"/>
    <w:basedOn w:val="1160"/>
    <w:next w:val="1160"/>
    <w:uiPriority w:val="39"/>
    <w:unhideWhenUsed/>
    <w:pPr>
      <w:ind w:left="1984" w:right="0" w:firstLine="0"/>
      <w:spacing w:after="57"/>
    </w:pPr>
  </w:style>
  <w:style w:type="paragraph" w:styleId="1157">
    <w:name w:val="toc 9"/>
    <w:basedOn w:val="1160"/>
    <w:next w:val="1160"/>
    <w:uiPriority w:val="39"/>
    <w:unhideWhenUsed/>
    <w:pPr>
      <w:ind w:left="2268" w:right="0" w:firstLine="0"/>
      <w:spacing w:after="57"/>
    </w:pPr>
  </w:style>
  <w:style w:type="paragraph" w:styleId="1158">
    <w:name w:val="TOC Heading"/>
    <w:uiPriority w:val="39"/>
    <w:unhideWhenUsed/>
  </w:style>
  <w:style w:type="paragraph" w:styleId="1159">
    <w:name w:val="table of figures"/>
    <w:basedOn w:val="1160"/>
    <w:next w:val="1160"/>
    <w:uiPriority w:val="99"/>
    <w:unhideWhenUsed/>
    <w:pPr>
      <w:spacing w:after="0" w:afterAutospacing="0"/>
    </w:pPr>
  </w:style>
  <w:style w:type="paragraph" w:styleId="1160" w:default="1">
    <w:name w:val="Normal"/>
    <w:next w:val="1160"/>
    <w:link w:val="1160"/>
    <w:qFormat/>
    <w:rPr>
      <w:sz w:val="24"/>
      <w:szCs w:val="24"/>
      <w:lang w:val="ru-RU" w:eastAsia="ru-RU" w:bidi="ar-SA"/>
    </w:rPr>
  </w:style>
  <w:style w:type="paragraph" w:styleId="1161">
    <w:name w:val="Заголовок 1"/>
    <w:basedOn w:val="1160"/>
    <w:next w:val="1160"/>
    <w:link w:val="1160"/>
    <w:qFormat/>
    <w:pPr>
      <w:ind w:firstLine="709"/>
      <w:jc w:val="both"/>
      <w:keepNext/>
      <w:spacing w:before="240" w:after="60"/>
      <w:outlineLvl w:val="0"/>
    </w:pPr>
    <w:rPr>
      <w:b/>
      <w:bCs/>
      <w:sz w:val="32"/>
      <w:szCs w:val="32"/>
    </w:rPr>
  </w:style>
  <w:style w:type="paragraph" w:styleId="1162">
    <w:name w:val="Заголовок 2"/>
    <w:basedOn w:val="1160"/>
    <w:next w:val="1160"/>
    <w:link w:val="1160"/>
    <w:qFormat/>
    <w:pPr>
      <w:ind w:firstLine="709"/>
      <w:jc w:val="both"/>
      <w:keepNext/>
      <w:spacing w:before="240" w:after="60"/>
      <w:outlineLvl w:val="1"/>
    </w:pPr>
    <w:rPr>
      <w:b/>
      <w:bCs/>
      <w:i/>
      <w:iCs/>
    </w:rPr>
  </w:style>
  <w:style w:type="paragraph" w:styleId="1163">
    <w:name w:val="Заголовок 3"/>
    <w:basedOn w:val="1160"/>
    <w:next w:val="1160"/>
    <w:link w:val="1160"/>
    <w:qFormat/>
    <w:pPr>
      <w:ind w:firstLine="709"/>
      <w:jc w:val="both"/>
      <w:keepNext/>
      <w:spacing w:before="240" w:after="60"/>
      <w:outlineLvl w:val="2"/>
    </w:pPr>
    <w:rPr>
      <w:b/>
      <w:bCs/>
      <w:sz w:val="28"/>
      <w:szCs w:val="28"/>
    </w:rPr>
  </w:style>
  <w:style w:type="paragraph" w:styleId="1164">
    <w:name w:val="Заголовок 4"/>
    <w:basedOn w:val="1160"/>
    <w:next w:val="1160"/>
    <w:link w:val="1160"/>
    <w:qFormat/>
    <w:pPr>
      <w:jc w:val="center"/>
      <w:keepNext/>
      <w:outlineLvl w:val="3"/>
    </w:pPr>
    <w:rPr>
      <w:b/>
      <w:bCs/>
      <w:sz w:val="22"/>
    </w:rPr>
  </w:style>
  <w:style w:type="paragraph" w:styleId="1165">
    <w:name w:val="Заголовок 5"/>
    <w:basedOn w:val="1160"/>
    <w:next w:val="1160"/>
    <w:link w:val="1160"/>
    <w:qFormat/>
    <w:pPr>
      <w:keepNext/>
      <w:outlineLvl w:val="4"/>
    </w:pPr>
    <w:rPr>
      <w:b/>
      <w:bCs/>
      <w:sz w:val="28"/>
      <w:szCs w:val="28"/>
    </w:rPr>
  </w:style>
  <w:style w:type="paragraph" w:styleId="1166">
    <w:name w:val="Заголовок 6"/>
    <w:basedOn w:val="1160"/>
    <w:next w:val="1160"/>
    <w:link w:val="1160"/>
    <w:qFormat/>
    <w:pPr>
      <w:jc w:val="center"/>
      <w:keepNext/>
      <w:outlineLvl w:val="5"/>
    </w:pPr>
    <w:rPr>
      <w:b/>
      <w:bCs/>
    </w:rPr>
  </w:style>
  <w:style w:type="paragraph" w:styleId="1167">
    <w:name w:val="Заголовок 7"/>
    <w:basedOn w:val="1160"/>
    <w:next w:val="1160"/>
    <w:link w:val="1160"/>
    <w:qFormat/>
    <w:pPr>
      <w:jc w:val="center"/>
      <w:keepNext/>
      <w:outlineLvl w:val="6"/>
    </w:pPr>
    <w:rPr>
      <w:b/>
      <w:bCs/>
      <w:sz w:val="32"/>
      <w:szCs w:val="32"/>
    </w:rPr>
  </w:style>
  <w:style w:type="paragraph" w:styleId="1168">
    <w:name w:val="Заголовок 8"/>
    <w:basedOn w:val="1160"/>
    <w:next w:val="1160"/>
    <w:link w:val="1160"/>
    <w:qFormat/>
    <w:pPr>
      <w:keepNext/>
      <w:outlineLvl w:val="7"/>
    </w:pPr>
    <w:rPr>
      <w:b/>
      <w:bCs/>
    </w:rPr>
  </w:style>
  <w:style w:type="paragraph" w:styleId="1169">
    <w:name w:val="Заголовок 9"/>
    <w:basedOn w:val="1160"/>
    <w:next w:val="1160"/>
    <w:link w:val="1160"/>
    <w:qFormat/>
    <w:pPr>
      <w:keepNext/>
      <w:outlineLvl w:val="8"/>
    </w:pPr>
    <w:rPr>
      <w:b/>
      <w:bCs/>
      <w:sz w:val="20"/>
      <w:szCs w:val="20"/>
    </w:rPr>
  </w:style>
  <w:style w:type="character" w:styleId="1170">
    <w:name w:val="Основной шрифт абзаца"/>
    <w:next w:val="1170"/>
    <w:link w:val="1160"/>
    <w:uiPriority w:val="1"/>
    <w:unhideWhenUsed/>
  </w:style>
  <w:style w:type="table" w:styleId="1171">
    <w:name w:val="Обычная таблица"/>
    <w:next w:val="1171"/>
    <w:link w:val="1160"/>
    <w:uiPriority w:val="99"/>
    <w:semiHidden/>
    <w:unhideWhenUsed/>
    <w:qFormat/>
    <w:tblPr/>
  </w:style>
  <w:style w:type="numbering" w:styleId="1172">
    <w:name w:val="Нет списка"/>
    <w:next w:val="1172"/>
    <w:link w:val="1160"/>
    <w:uiPriority w:val="99"/>
    <w:semiHidden/>
    <w:unhideWhenUsed/>
  </w:style>
  <w:style w:type="character" w:styleId="1173">
    <w:name w:val="Знак сноски"/>
    <w:next w:val="1173"/>
    <w:link w:val="1160"/>
    <w:rPr>
      <w:vertAlign w:val="superscript"/>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0"/>
    <w:next w:val="1174"/>
    <w:link w:val="1188"/>
    <w:qFormat/>
    <w:rPr>
      <w:sz w:val="20"/>
      <w:szCs w:val="20"/>
    </w:rPr>
  </w:style>
  <w:style w:type="paragraph" w:styleId="1175">
    <w:name w:val="Текст выноски"/>
    <w:basedOn w:val="1160"/>
    <w:next w:val="1175"/>
    <w:link w:val="1160"/>
    <w:semiHidden/>
    <w:rPr>
      <w:rFonts w:ascii="Tahoma" w:hAnsi="Tahoma" w:cs="Tahoma"/>
      <w:sz w:val="16"/>
      <w:szCs w:val="16"/>
    </w:rPr>
  </w:style>
  <w:style w:type="character" w:styleId="1176">
    <w:name w:val="Гиперссылка"/>
    <w:next w:val="1176"/>
    <w:link w:val="1160"/>
    <w:uiPriority w:val="99"/>
    <w:unhideWhenUsed/>
    <w:rPr>
      <w:color w:val="0000ff"/>
      <w:u w:val="single"/>
    </w:rPr>
  </w:style>
  <w:style w:type="paragraph" w:styleId="1177">
    <w:name w:val="Без интервала"/>
    <w:next w:val="1177"/>
    <w:link w:val="1178"/>
    <w:uiPriority w:val="99"/>
    <w:qFormat/>
    <w:rPr>
      <w:rFonts w:ascii="Calibri" w:hAnsi="Calibri"/>
      <w:sz w:val="22"/>
      <w:szCs w:val="22"/>
      <w:lang w:val="ru-RU" w:eastAsia="en-US" w:bidi="ar-SA"/>
    </w:rPr>
  </w:style>
  <w:style w:type="character" w:styleId="1178">
    <w:name w:val="Без интервала Знак"/>
    <w:next w:val="1178"/>
    <w:link w:val="1177"/>
    <w:uiPriority w:val="99"/>
    <w:rPr>
      <w:rFonts w:ascii="Calibri" w:hAnsi="Calibri"/>
      <w:sz w:val="22"/>
      <w:szCs w:val="22"/>
      <w:lang w:val="ru-RU" w:eastAsia="en-US" w:bidi="ar-SA"/>
    </w:rPr>
  </w:style>
  <w:style w:type="paragraph" w:styleId="1179">
    <w:name w:val="Оглавление 4"/>
    <w:basedOn w:val="1160"/>
    <w:next w:val="1160"/>
    <w:link w:val="1160"/>
    <w:uiPriority w:val="39"/>
    <w:pPr>
      <w:spacing w:line="360" w:lineRule="auto"/>
      <w:tabs>
        <w:tab w:val="right" w:pos="10065" w:leader="dot"/>
      </w:tabs>
    </w:pPr>
    <w:rPr>
      <w:sz w:val="22"/>
    </w:rPr>
  </w:style>
  <w:style w:type="paragraph" w:styleId="1180">
    <w:name w:val="Оглавление 2"/>
    <w:basedOn w:val="1160"/>
    <w:next w:val="1160"/>
    <w:link w:val="1160"/>
    <w:semiHidden/>
    <w:pPr>
      <w:ind w:left="240"/>
    </w:pPr>
  </w:style>
  <w:style w:type="paragraph" w:styleId="1181">
    <w:name w:val="Оглавление 3"/>
    <w:basedOn w:val="1160"/>
    <w:next w:val="1160"/>
    <w:link w:val="1160"/>
    <w:semiHidden/>
    <w:pPr>
      <w:ind w:left="480"/>
    </w:pPr>
  </w:style>
  <w:style w:type="paragraph" w:styleId="1182">
    <w:name w:val="Основной текст с отступом 2"/>
    <w:basedOn w:val="1160"/>
    <w:next w:val="1182"/>
    <w:link w:val="1160"/>
    <w:pPr>
      <w:ind w:left="283"/>
      <w:spacing w:after="120" w:line="480" w:lineRule="auto"/>
    </w:pPr>
    <w:rPr>
      <w:sz w:val="20"/>
      <w:szCs w:val="20"/>
    </w:rPr>
  </w:style>
  <w:style w:type="paragraph" w:styleId="1183">
    <w:name w:val="Основной текст"/>
    <w:basedOn w:val="1160"/>
    <w:next w:val="1183"/>
    <w:link w:val="1160"/>
    <w:pPr>
      <w:spacing w:after="120"/>
    </w:pPr>
  </w:style>
  <w:style w:type="paragraph" w:styleId="1184">
    <w:name w:val="Основной текст 2"/>
    <w:basedOn w:val="1160"/>
    <w:next w:val="1184"/>
    <w:link w:val="1160"/>
    <w:pPr>
      <w:spacing w:after="120" w:line="480" w:lineRule="auto"/>
    </w:pPr>
  </w:style>
  <w:style w:type="paragraph" w:styleId="118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0"/>
    <w:next w:val="1185"/>
    <w:link w:val="1160"/>
    <w:pPr>
      <w:ind w:left="283"/>
      <w:spacing w:after="120"/>
    </w:pPr>
    <w:rPr>
      <w:sz w:val="20"/>
      <w:szCs w:val="20"/>
    </w:rPr>
  </w:style>
  <w:style w:type="paragraph" w:styleId="1186">
    <w:name w:val="Верхний колонтитул,ВерхКолонтитул"/>
    <w:basedOn w:val="1160"/>
    <w:next w:val="1186"/>
    <w:link w:val="1187"/>
    <w:uiPriority w:val="99"/>
    <w:pPr>
      <w:tabs>
        <w:tab w:val="center" w:pos="4677" w:leader="none"/>
        <w:tab w:val="right" w:pos="9355" w:leader="none"/>
      </w:tabs>
    </w:pPr>
    <w:rPr>
      <w:sz w:val="20"/>
      <w:szCs w:val="20"/>
    </w:rPr>
  </w:style>
  <w:style w:type="character" w:styleId="1187">
    <w:name w:val="Верхний колонтитул Знак,ВерхКолонтитул Знак"/>
    <w:next w:val="1187"/>
    <w:link w:val="1186"/>
    <w:uiPriority w:val="99"/>
    <w:rPr>
      <w:lang w:val="ru-RU" w:eastAsia="ru-RU" w:bidi="ar-SA"/>
    </w:rPr>
  </w:style>
  <w:style w:type="character" w:styleId="11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8"/>
    <w:link w:val="1174"/>
    <w:rPr>
      <w:lang w:val="ru-RU" w:eastAsia="ru-RU" w:bidi="ar-SA"/>
    </w:rPr>
  </w:style>
  <w:style w:type="paragraph" w:styleId="1189">
    <w:name w:val="Нижний колонтитул"/>
    <w:basedOn w:val="1160"/>
    <w:next w:val="1189"/>
    <w:link w:val="1190"/>
    <w:pPr>
      <w:tabs>
        <w:tab w:val="center" w:pos="4677" w:leader="none"/>
        <w:tab w:val="right" w:pos="9355" w:leader="none"/>
      </w:tabs>
    </w:pPr>
    <w:rPr>
      <w:lang w:val="en-US" w:eastAsia="en-US"/>
    </w:rPr>
  </w:style>
  <w:style w:type="character" w:styleId="1190">
    <w:name w:val="Нижний колонтитул Знак"/>
    <w:next w:val="1190"/>
    <w:link w:val="1189"/>
    <w:rPr>
      <w:sz w:val="24"/>
      <w:szCs w:val="24"/>
    </w:rPr>
  </w:style>
  <w:style w:type="paragraph" w:styleId="1191">
    <w:name w:val="Текст концевой сноски"/>
    <w:basedOn w:val="1160"/>
    <w:next w:val="1191"/>
    <w:link w:val="1192"/>
    <w:rPr>
      <w:sz w:val="20"/>
      <w:szCs w:val="20"/>
    </w:rPr>
  </w:style>
  <w:style w:type="character" w:styleId="1192">
    <w:name w:val="Текст концевой сноски Знак"/>
    <w:basedOn w:val="1170"/>
    <w:next w:val="1192"/>
    <w:link w:val="1191"/>
  </w:style>
  <w:style w:type="character" w:styleId="1193">
    <w:name w:val="Знак концевой сноски"/>
    <w:next w:val="1193"/>
    <w:link w:val="1160"/>
    <w:rPr>
      <w:vertAlign w:val="superscript"/>
    </w:rPr>
  </w:style>
  <w:style w:type="paragraph" w:styleId="1194">
    <w:name w:val="Название"/>
    <w:basedOn w:val="1160"/>
    <w:next w:val="1194"/>
    <w:link w:val="1195"/>
    <w:qFormat/>
    <w:pPr>
      <w:jc w:val="center"/>
    </w:pPr>
    <w:rPr>
      <w:b/>
      <w:bCs/>
      <w:sz w:val="28"/>
      <w:szCs w:val="28"/>
      <w:lang w:val="en-US" w:eastAsia="en-US"/>
    </w:rPr>
  </w:style>
  <w:style w:type="character" w:styleId="1195">
    <w:name w:val="Название Знак"/>
    <w:next w:val="1195"/>
    <w:link w:val="1194"/>
    <w:rPr>
      <w:b/>
      <w:bCs/>
      <w:sz w:val="28"/>
      <w:szCs w:val="28"/>
    </w:rPr>
  </w:style>
  <w:style w:type="paragraph" w:styleId="1196">
    <w:name w:val="Абзац списка"/>
    <w:basedOn w:val="1160"/>
    <w:next w:val="1196"/>
    <w:link w:val="1160"/>
    <w:uiPriority w:val="34"/>
    <w:qFormat/>
    <w:pPr>
      <w:contextualSpacing/>
      <w:ind w:left="720"/>
    </w:pPr>
  </w:style>
  <w:style w:type="paragraph" w:styleId="1197">
    <w:name w:val="Нормальный"/>
    <w:next w:val="1197"/>
    <w:link w:val="1160"/>
    <w:rPr>
      <w:rFonts w:ascii="TimesET" w:hAnsi="TimesET" w:eastAsia="Calibri" w:cs="TimesET"/>
      <w:b/>
      <w:bCs/>
      <w:i/>
      <w:iCs/>
      <w:smallCaps/>
      <w:sz w:val="24"/>
      <w:szCs w:val="24"/>
      <w:lang w:val="ru-RU" w:eastAsia="ru-RU" w:bidi="ar-SA"/>
    </w:rPr>
  </w:style>
  <w:style w:type="paragraph" w:styleId="1198">
    <w:name w:val="Абзац списка1"/>
    <w:basedOn w:val="1160"/>
    <w:next w:val="1198"/>
    <w:link w:val="1160"/>
    <w:pPr>
      <w:contextualSpacing/>
      <w:ind w:left="720"/>
      <w:spacing w:after="200" w:line="276" w:lineRule="auto"/>
    </w:pPr>
    <w:rPr>
      <w:rFonts w:ascii="Calibri" w:hAnsi="Calibri"/>
      <w:sz w:val="22"/>
      <w:szCs w:val="22"/>
      <w:lang w:eastAsia="en-US"/>
    </w:rPr>
  </w:style>
  <w:style w:type="character" w:styleId="1199">
    <w:name w:val="Основной текст (3)_"/>
    <w:next w:val="1199"/>
    <w:link w:val="1200"/>
    <w:rPr>
      <w:b/>
      <w:bCs/>
      <w:i/>
      <w:iCs/>
      <w:spacing w:val="1"/>
      <w:sz w:val="19"/>
      <w:szCs w:val="19"/>
      <w:shd w:val="clear" w:color="auto" w:fill="ffffff"/>
    </w:rPr>
  </w:style>
  <w:style w:type="paragraph" w:styleId="1200">
    <w:name w:val="Основной текст (3)"/>
    <w:basedOn w:val="1160"/>
    <w:next w:val="1200"/>
    <w:link w:val="1199"/>
    <w:pPr>
      <w:jc w:val="right"/>
      <w:spacing w:after="60" w:line="0" w:lineRule="atLeast"/>
      <w:shd w:val="clear" w:color="auto" w:fill="ffffff"/>
      <w:widowControl w:val="off"/>
    </w:pPr>
    <w:rPr>
      <w:b/>
      <w:bCs/>
      <w:i/>
      <w:iCs/>
      <w:spacing w:val="1"/>
      <w:sz w:val="19"/>
      <w:szCs w:val="19"/>
    </w:r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 Id="rId12"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andreeva-eyu</cp:lastModifiedBy>
  <cp:revision>46</cp:revision>
  <dcterms:created xsi:type="dcterms:W3CDTF">2023-07-12T01:02:00Z</dcterms:created>
  <dcterms:modified xsi:type="dcterms:W3CDTF">2025-05-29T12:05:52Z</dcterms:modified>
  <cp:version>917504</cp:version>
</cp:coreProperties>
</file>