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jc w:val="center"/>
        <w:rPr>
          <w:b/>
        </w:rPr>
      </w:pPr>
      <w:r>
        <w:rPr>
          <w:b/>
        </w:rPr>
        <w:t xml:space="preserve">И</w:t>
      </w:r>
      <w:r>
        <w:rPr>
          <w:b/>
        </w:rPr>
        <w:t xml:space="preserve">нформация об условиях предоставления, использования и возврата </w:t>
      </w:r>
      <w:r>
        <w:rPr>
          <w:b/>
        </w:rPr>
      </w:r>
      <w:r>
        <w:rPr>
          <w:b/>
        </w:rPr>
      </w:r>
    </w:p>
    <w:p>
      <w:pPr>
        <w:widowControl w:val="off"/>
        <w:jc w:val="center"/>
      </w:pPr>
      <w:r>
        <w:rPr>
          <w:b/>
        </w:rPr>
        <w:t xml:space="preserve">кредитных средств по потребительским кредитам АО «</w:t>
      </w:r>
      <w:r>
        <w:rPr>
          <w:b/>
        </w:rPr>
        <w:t xml:space="preserve">Россельхозбанк</w:t>
      </w:r>
      <w:r>
        <w:rPr>
          <w:b/>
        </w:rPr>
        <w:t xml:space="preserve">»</w:t>
      </w:r>
      <w:r>
        <w:rPr>
          <w:rStyle w:val="1051"/>
          <w:b/>
        </w:rPr>
        <w:footnoteReference w:id="2"/>
      </w:r>
      <w:r>
        <w:rPr>
          <w:b/>
        </w:rPr>
        <w:t xml:space="preserve"> </w:t>
      </w:r>
    </w:p>
    <w:p>
      <w:pPr>
        <w:pStyle w:val="1048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7168"/>
      </w:tblGrid>
      <w:tr>
        <w:trPr>
          <w:tblHeader/>
        </w:trPr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условия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условия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blHeader/>
        </w:trPr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сайт, номер лицензии на осуществление банковских операций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Акционерное общество «Российский Сельскохозяйственный банк», АО 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(далее – Банк)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119034, г. Москва, Гагаринский переулок, д. 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8 800 100-0-100, </w:t>
            </w:r>
            <w:hyperlink r:id="rId14" w:tooltip="http://www.rshb.ru" w:history="1">
              <w:r>
                <w:rPr>
                  <w:rStyle w:val="1086"/>
                  <w:sz w:val="22"/>
                  <w:szCs w:val="22"/>
                </w:rPr>
                <w:t xml:space="preserve">www.rshb.ru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Генеральная лицензия Банка России №3349 (Бессрочная) от 12.08.2015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заемщику, выполнение которых является обязательным для предоставления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Гражданство</w:t>
            </w:r>
            <w:r>
              <w:rPr>
                <w:sz w:val="22"/>
                <w:szCs w:val="22"/>
                <w:u w:val="single"/>
              </w:rPr>
              <w:t xml:space="preserve">, постоянная регистрация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Российская Федерация</w:t>
            </w:r>
            <w:r>
              <w:rPr>
                <w:rStyle w:val="1051"/>
                <w:sz w:val="22"/>
                <w:szCs w:val="22"/>
              </w:rPr>
              <w:footnoteReference w:id="3"/>
            </w:r>
            <w:r>
              <w:rPr>
                <w:sz w:val="22"/>
                <w:szCs w:val="22"/>
              </w:rPr>
              <w:t xml:space="preserve"> (далее – РФ)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Возраст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момент заявки </w:t>
            </w:r>
            <w:r>
              <w:rPr>
                <w:sz w:val="22"/>
                <w:szCs w:val="22"/>
              </w:rPr>
              <w:t xml:space="preserve">– не менее </w:t>
            </w:r>
            <w:r>
              <w:rPr>
                <w:sz w:val="22"/>
                <w:szCs w:val="22"/>
              </w:rPr>
              <w:t xml:space="preserve">23 </w:t>
            </w: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на момент возврата кредита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до 65 лет вкл</w:t>
            </w:r>
            <w:r>
              <w:rPr>
                <w:sz w:val="22"/>
                <w:szCs w:val="22"/>
              </w:rPr>
              <w:t xml:space="preserve">. (</w:t>
            </w:r>
            <w:r>
              <w:rPr>
                <w:sz w:val="22"/>
                <w:szCs w:val="22"/>
              </w:rPr>
              <w:t xml:space="preserve">до 75 лет вкл</w:t>
            </w:r>
            <w:r>
              <w:rPr>
                <w:sz w:val="22"/>
                <w:szCs w:val="22"/>
              </w:rPr>
              <w:t xml:space="preserve">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для пенсионеров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rStyle w:val="1051"/>
                <w:sz w:val="22"/>
                <w:szCs w:val="22"/>
              </w:rPr>
              <w:footnoteReference w:id="4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Наличие трудового стажа 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 xml:space="preserve">граждан, </w:t>
            </w:r>
            <w:r>
              <w:rPr>
                <w:sz w:val="22"/>
                <w:szCs w:val="22"/>
              </w:rPr>
              <w:t xml:space="preserve">осуществляющих</w:t>
            </w:r>
            <w:r>
              <w:rPr>
                <w:sz w:val="22"/>
                <w:szCs w:val="22"/>
              </w:rPr>
              <w:t xml:space="preserve"> трудовую деятельность/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службу,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текущем месте работы </w:t>
            </w:r>
            <w:r>
              <w:rPr>
                <w:sz w:val="22"/>
                <w:szCs w:val="22"/>
              </w:rPr>
              <w:t xml:space="preserve">не менее 3 мес.</w:t>
            </w:r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не менее 6 мес. общего стажа </w:t>
            </w:r>
            <w:r>
              <w:rPr>
                <w:sz w:val="22"/>
                <w:szCs w:val="22"/>
              </w:rPr>
              <w:t xml:space="preserve">за последние 5 лет </w:t>
            </w:r>
            <w:r>
              <w:rPr>
                <w:sz w:val="22"/>
                <w:szCs w:val="22"/>
              </w:rPr>
              <w:t xml:space="preserve">(в зависимости от категории клиента)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самозанятых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граждан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не менее 6 мес. деятельности,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облагаемой</w:t>
            </w:r>
            <w:r>
              <w:rPr>
                <w:sz w:val="22"/>
                <w:szCs w:val="22"/>
              </w:rPr>
              <w:t xml:space="preserve"> налогом на профессиональный доход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неработающих пенсионеров требования </w:t>
            </w:r>
            <w:r>
              <w:rPr>
                <w:sz w:val="22"/>
                <w:szCs w:val="22"/>
              </w:rPr>
              <w:t xml:space="preserve">по стажу </w:t>
            </w:r>
            <w:r>
              <w:rPr>
                <w:sz w:val="22"/>
                <w:szCs w:val="22"/>
              </w:rPr>
              <w:t xml:space="preserve">отсутствуют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рассмотрения оформленного заемщиком заявления о предоставлении потребительского кредита и принятия кредитором решения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Срок рассмотрения заявки</w:t>
            </w:r>
            <w:r>
              <w:rPr>
                <w:sz w:val="22"/>
                <w:szCs w:val="22"/>
              </w:rPr>
              <w:t xml:space="preserve"> – до 3 рабочих дней c момента предоставления полного комплекта документов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(срок рассмотрения заявки может бы</w:t>
            </w:r>
            <w:r>
              <w:rPr>
                <w:sz w:val="22"/>
                <w:szCs w:val="22"/>
              </w:rPr>
              <w:t xml:space="preserve">ть изменен по усмотрению Банка)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Перечень документов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анкета-заявление на предоставление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документ, удостоверяющий личность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документ, подтверждающий доход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иные документы при необходимости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(подробный перечень документов размещен на сайте Банка)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Виды</w:t>
            </w:r>
            <w:r>
              <w:rPr>
                <w:sz w:val="22"/>
                <w:szCs w:val="22"/>
                <w:u w:val="single"/>
              </w:rPr>
              <w:t xml:space="preserve"> кредита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отребительские кредит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t xml:space="preserve">р</w:t>
            </w:r>
            <w:r>
              <w:rPr>
                <w:sz w:val="22"/>
                <w:szCs w:val="22"/>
              </w:rPr>
              <w:t xml:space="preserve">ефинансирование потребительских кредитов</w:t>
            </w:r>
            <w:r>
              <w:rPr>
                <w:rStyle w:val="1051"/>
                <w:sz w:val="22"/>
                <w:szCs w:val="22"/>
              </w:rPr>
              <w:footnoteReference w:id="5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Кредитные продукты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Кредит потребительский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Потребительский кредит на рефинансирование</w:t>
            </w:r>
            <w:r>
              <w:rPr>
                <w:sz w:val="22"/>
                <w:szCs w:val="22"/>
                <w:vertAlign w:val="superscript"/>
              </w:rPr>
              <w:t xml:space="preserve">4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Кредит потребительский «Газомоторное топливо»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Потребительский кредит с льготной процентной ставкой для граждан </w:t>
            </w:r>
            <w:r>
              <w:rPr>
                <w:sz w:val="22"/>
                <w:szCs w:val="22"/>
              </w:rPr>
              <w:t xml:space="preserve">Российской Федерации на повышение уровня благоустройства домовладений</w:t>
            </w:r>
            <w:r>
              <w:rPr>
                <w:rStyle w:val="1051"/>
                <w:sz w:val="18"/>
                <w:szCs w:val="22"/>
              </w:rPr>
              <w:footnoteReference w:id="6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Кредит для глав крестьянского (фермерского) хозяйства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62"/>
        </w:trPr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Суммы потребительского кредита и сроки его возврата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Style w:val="1079"/>
              <w:tblW w:w="7005" w:type="dxa"/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1559"/>
              <w:gridCol w:w="1276"/>
            </w:tblGrid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Продукт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Сумма кредита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  <w:p>
                  <w:pPr>
                    <w:widowControl w:val="off"/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(руб. вкл.)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Срок </w:t>
                  </w:r>
                  <w:r>
                    <w:rPr>
                      <w:sz w:val="18"/>
                      <w:szCs w:val="22"/>
                    </w:rPr>
                    <w:t xml:space="preserve">к</w:t>
                  </w:r>
                  <w:r>
                    <w:rPr>
                      <w:sz w:val="18"/>
                      <w:szCs w:val="22"/>
                    </w:rPr>
                    <w:t xml:space="preserve">редита</w:t>
                  </w:r>
                  <w:r>
                    <w:rPr>
                      <w:sz w:val="18"/>
                      <w:szCs w:val="22"/>
                    </w:rPr>
                    <w:t xml:space="preserve"> (мес. вкл.)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30 тыс.</w:t>
                  </w:r>
                  <w:r>
                    <w:rPr>
                      <w:sz w:val="18"/>
                      <w:szCs w:val="22"/>
                    </w:rPr>
                    <w:t xml:space="preserve"> – 5</w:t>
                  </w:r>
                  <w:r>
                    <w:rPr>
                      <w:sz w:val="18"/>
                      <w:szCs w:val="22"/>
                    </w:rPr>
                    <w:t xml:space="preserve">,0 млн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6</w:t>
                  </w:r>
                  <w:r>
                    <w:rPr>
                      <w:sz w:val="18"/>
                      <w:szCs w:val="22"/>
                    </w:rPr>
                    <w:t xml:space="preserve"> – 60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  <w:vertAlign w:val="superscript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на рефинансирование</w:t>
                  </w:r>
                  <w:r>
                    <w:rPr>
                      <w:sz w:val="18"/>
                      <w:szCs w:val="22"/>
                      <w:vertAlign w:val="superscript"/>
                    </w:rPr>
                    <w:t xml:space="preserve">4</w:t>
                  </w:r>
                  <w:r>
                    <w:rPr>
                      <w:sz w:val="18"/>
                      <w:szCs w:val="22"/>
                      <w:vertAlign w:val="superscript"/>
                    </w:rPr>
                  </w:r>
                  <w:r>
                    <w:rPr>
                      <w:sz w:val="18"/>
                      <w:szCs w:val="22"/>
                      <w:vertAlign w:val="superscript"/>
                    </w:rPr>
                  </w:r>
                </w:p>
              </w:tc>
              <w:tc>
                <w:tcPr>
                  <w:tcW w:w="155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30 тыс.</w:t>
                  </w:r>
                  <w:r>
                    <w:rPr>
                      <w:sz w:val="18"/>
                      <w:szCs w:val="22"/>
                    </w:rPr>
                    <w:t xml:space="preserve"> – 3</w:t>
                  </w:r>
                  <w:r>
                    <w:rPr>
                      <w:sz w:val="18"/>
                      <w:szCs w:val="22"/>
                    </w:rPr>
                    <w:t xml:space="preserve">,0 млн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13 – 60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 «Газомоторное топливо</w:t>
                  </w:r>
                  <w:r>
                    <w:rPr>
                      <w:sz w:val="18"/>
                      <w:szCs w:val="22"/>
                    </w:rPr>
                    <w:t xml:space="preserve">»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30 – 300 тыс</w:t>
                  </w:r>
                  <w:r>
                    <w:rPr>
                      <w:sz w:val="18"/>
                      <w:szCs w:val="22"/>
                    </w:rPr>
                    <w:t xml:space="preserve">.</w:t>
                  </w:r>
                  <w:r>
                    <w:rPr>
                      <w:sz w:val="18"/>
                      <w:szCs w:val="22"/>
                    </w:rPr>
                    <w:t xml:space="preserve">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13 – </w:t>
                  </w:r>
                  <w:r>
                    <w:rPr>
                      <w:sz w:val="18"/>
                      <w:szCs w:val="22"/>
                    </w:rPr>
                    <w:t xml:space="preserve">36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30 – 700 тыс.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13</w:t>
                  </w:r>
                  <w:r>
                    <w:rPr>
                      <w:sz w:val="18"/>
                      <w:szCs w:val="22"/>
                    </w:rPr>
                    <w:t xml:space="preserve"> – 60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/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для глав крестьянского (фермерского) хозяйства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55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100 </w:t>
                  </w:r>
                  <w:r>
                    <w:rPr>
                      <w:sz w:val="18"/>
                      <w:szCs w:val="22"/>
                    </w:rPr>
                    <w:t xml:space="preserve">тыс. – </w:t>
                  </w:r>
                  <w:r>
                    <w:rPr>
                      <w:sz w:val="18"/>
                      <w:szCs w:val="22"/>
                    </w:rPr>
                    <w:t xml:space="preserve">1</w:t>
                  </w:r>
                  <w:r>
                    <w:rPr>
                      <w:sz w:val="18"/>
                      <w:szCs w:val="22"/>
                    </w:rPr>
                    <w:t xml:space="preserve"> млн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127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13 – 36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</w:tbl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Валюты, в которых предоставляется потребительский кредит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Рубли РФ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Способы предоставления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Единовременно в полной сумме путем зачисления су</w:t>
            </w:r>
            <w:r>
              <w:rPr>
                <w:sz w:val="22"/>
                <w:szCs w:val="22"/>
              </w:rPr>
              <w:t xml:space="preserve">ммы кредита на банковский счет з</w:t>
            </w:r>
            <w:r>
              <w:rPr>
                <w:sz w:val="22"/>
                <w:szCs w:val="22"/>
              </w:rPr>
              <w:t xml:space="preserve">аемщика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Распоряжение кредит</w:t>
            </w:r>
            <w:r>
              <w:rPr>
                <w:sz w:val="22"/>
                <w:szCs w:val="22"/>
              </w:rPr>
              <w:t xml:space="preserve">ными средствами осуществляется з</w:t>
            </w:r>
            <w:r>
              <w:rPr>
                <w:sz w:val="22"/>
                <w:szCs w:val="22"/>
              </w:rPr>
              <w:t xml:space="preserve">аемщиком в наличном и/или безналичном порядке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10"/>
        </w:trPr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</w:t>
            </w:r>
            <w:r>
              <w:rPr>
                <w:sz w:val="22"/>
                <w:szCs w:val="22"/>
              </w:rPr>
              <w:t xml:space="preserve">вующий требованиям </w:t>
            </w:r>
            <w:r>
              <w:rPr>
                <w:sz w:val="22"/>
                <w:szCs w:val="22"/>
              </w:rPr>
              <w:t xml:space="preserve">Федерального закона № 353-ФЗ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Style w:val="1079"/>
              <w:tblW w:w="7005" w:type="dxa"/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2835"/>
            </w:tblGrid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Продукт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Процентные ставки, % годовых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42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</w:t>
                  </w:r>
                  <w:bookmarkStart w:id="0" w:name="_Ref158394513"/>
                  <w:r>
                    <w:rPr>
                      <w:rStyle w:val="1051"/>
                      <w:sz w:val="18"/>
                      <w:szCs w:val="22"/>
                    </w:rPr>
                    <w:footnoteReference w:id="7"/>
                  </w:r>
                  <w:bookmarkEnd w:id="0"/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23</w:t>
                  </w:r>
                  <w:r>
                    <w:rPr>
                      <w:sz w:val="18"/>
                      <w:szCs w:val="22"/>
                    </w:rPr>
                    <w:t xml:space="preserve">,0 - 35,9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на рефинансирование</w:t>
                  </w:r>
                  <w:r>
                    <w:rPr>
                      <w:sz w:val="18"/>
                      <w:szCs w:val="22"/>
                      <w:vertAlign w:val="superscript"/>
                    </w:rPr>
                    <w:t xml:space="preserve">5</w:t>
                  </w:r>
                  <w:r>
                    <w:rPr>
                      <w:sz w:val="18"/>
                      <w:szCs w:val="22"/>
                      <w:vertAlign w:val="superscript"/>
                    </w:rPr>
                    <w:t xml:space="preserve">,</w:t>
                  </w:r>
                  <w:r>
                    <w:rPr>
                      <w:rStyle w:val="1051"/>
                      <w:sz w:val="18"/>
                      <w:szCs w:val="22"/>
                    </w:rPr>
                    <w:footnoteReference w:id="8"/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color w:val="000000" w:themeColor="text1"/>
                      <w:sz w:val="18"/>
                      <w:szCs w:val="22"/>
                    </w:rPr>
                    <w:t xml:space="preserve">24</w:t>
                  </w:r>
                  <w:r>
                    <w:rPr>
                      <w:color w:val="000000" w:themeColor="text1"/>
                      <w:sz w:val="18"/>
                      <w:szCs w:val="22"/>
                    </w:rPr>
                    <w:t xml:space="preserve">,5 - 31,</w:t>
                  </w:r>
                  <w:r>
                    <w:rPr>
                      <w:color w:val="000000" w:themeColor="text1"/>
                      <w:sz w:val="18"/>
                      <w:szCs w:val="22"/>
                    </w:rPr>
                    <w:t xml:space="preserve">0</w:t>
                  </w:r>
                  <w:r>
                    <w:rPr>
                      <w:color w:val="000000" w:themeColor="text1"/>
                      <w:sz w:val="18"/>
                      <w:szCs w:val="22"/>
                    </w:rPr>
                  </w:r>
                  <w:r>
                    <w:rPr>
                      <w:color w:val="000000" w:themeColor="text1"/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 «Газомоторное топливо</w:t>
                  </w:r>
                  <w:r>
                    <w:rPr>
                      <w:sz w:val="18"/>
                      <w:szCs w:val="22"/>
                    </w:rPr>
                    <w:t xml:space="preserve">»</w:t>
                  </w:r>
                  <w:r>
                    <w:rPr>
                      <w:sz w:val="18"/>
                      <w:szCs w:val="22"/>
                      <w:vertAlign w:val="superscript"/>
                    </w:rPr>
                    <w:t xml:space="preserve">5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27,9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vMerge w:val="restart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 при невыполнении условий субсидирования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Merge w:val="restart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33,00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 при условии выполнения условий субсидирования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3,25 – 5,0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для глав крестьянского (фермерского) хозяйства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32,9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</w:tbl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Переменные процентные ставки – не применимо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Дата, начиная с которой начисляются проценты за пользование потребительским кредитом, или порядок ее определения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Проценты за пользование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редитом начисляются, начиная с даты, следующей за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атой выдачи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Датой выдачи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редита является д</w:t>
            </w:r>
            <w:r>
              <w:rPr>
                <w:sz w:val="22"/>
                <w:szCs w:val="22"/>
              </w:rPr>
              <w:t xml:space="preserve">ата зачисления кредита на счет з</w:t>
            </w:r>
            <w:r>
              <w:rPr>
                <w:sz w:val="22"/>
                <w:szCs w:val="22"/>
              </w:rPr>
              <w:t xml:space="preserve">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и суммы иных платежей заемщика по договору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применимо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22"/>
        </w:trPr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Диапазоны значений полной стоимости потребительского кредита </w:t>
            </w:r>
            <w:r>
              <w:rPr>
                <w:sz w:val="22"/>
                <w:szCs w:val="22"/>
              </w:rPr>
              <w:t xml:space="preserve">(далее – ПСК)</w:t>
            </w:r>
            <w:r>
              <w:rPr>
                <w:sz w:val="22"/>
                <w:szCs w:val="22"/>
              </w:rPr>
              <w:t xml:space="preserve">, определенных с учетом требований Федерального закона № 353-ФЗ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Style w:val="1079"/>
              <w:tblW w:w="7005" w:type="dxa"/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2835"/>
            </w:tblGrid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Продукт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ПСК</w:t>
                  </w:r>
                  <w:r>
                    <w:rPr>
                      <w:sz w:val="18"/>
                      <w:szCs w:val="22"/>
                    </w:rPr>
                    <w:t xml:space="preserve">, % годовых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  <w:r>
                    <w:rPr>
                      <w:b w:val="0"/>
                      <w:color w:val="000000" w:themeColor="text1"/>
                      <w:sz w:val="18"/>
                      <w:szCs w:val="18"/>
                      <w:highlight w:val="white"/>
                    </w:rPr>
                    <w:t xml:space="preserve">,756</w:t>
                  </w:r>
                  <w:r>
                    <w:rPr>
                      <w:b w:val="0"/>
                      <w:color w:val="000000" w:themeColor="text1"/>
                      <w:sz w:val="18"/>
                      <w:szCs w:val="18"/>
                      <w:highlight w:val="white"/>
                    </w:rPr>
                    <w:t xml:space="preserve"> — </w:t>
                  </w:r>
                  <w:r>
                    <w:rPr>
                      <w:b w:val="0"/>
                      <w:color w:val="000000" w:themeColor="text1"/>
                      <w:sz w:val="18"/>
                      <w:szCs w:val="18"/>
                      <w:highlight w:val="white"/>
                    </w:rPr>
                    <w:t xml:space="preserve">41</w:t>
                  </w:r>
                  <w:r>
                    <w:rPr>
                      <w:b w:val="0"/>
                      <w:color w:val="000000" w:themeColor="text1"/>
                      <w:sz w:val="18"/>
                      <w:szCs w:val="18"/>
                      <w:highlight w:val="white"/>
                    </w:rPr>
                    <w:t xml:space="preserve">,400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  <w:vertAlign w:val="superscript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на рефинансирование</w:t>
                  </w:r>
                  <w:r>
                    <w:rPr>
                      <w:sz w:val="18"/>
                      <w:szCs w:val="22"/>
                      <w:vertAlign w:val="superscript"/>
                    </w:rPr>
                    <w:t xml:space="preserve">4</w:t>
                  </w:r>
                  <w:r>
                    <w:rPr>
                      <w:sz w:val="18"/>
                      <w:szCs w:val="22"/>
                      <w:vertAlign w:val="superscript"/>
                    </w:rPr>
                  </w:r>
                  <w:r>
                    <w:rPr>
                      <w:sz w:val="18"/>
                      <w:szCs w:val="22"/>
                      <w:vertAlign w:val="superscript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25,307 — 39,850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 «Газомоторное топливо</w:t>
                  </w:r>
                  <w:r>
                    <w:rPr>
                      <w:sz w:val="18"/>
                      <w:szCs w:val="22"/>
                    </w:rPr>
                    <w:t xml:space="preserve">»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28,314 – 33,400</w:t>
                  </w:r>
                  <w:bookmarkStart w:id="1" w:name="_GoBack"/>
                  <w:bookmarkEnd w:id="1"/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vMerge w:val="restart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 при невыполнении условий субсидирования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vMerge w:val="restart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  <w:t xml:space="preserve">33,014 - 38,410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 при условии выполнения условий субсидирования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3,875</w:t>
                  </w:r>
                  <w:r>
                    <w:rPr>
                      <w:sz w:val="18"/>
                      <w:szCs w:val="22"/>
                    </w:rPr>
                    <w:t xml:space="preserve"> – </w:t>
                  </w:r>
                  <w:r>
                    <w:rPr>
                      <w:sz w:val="18"/>
                      <w:szCs w:val="22"/>
                    </w:rPr>
                    <w:t xml:space="preserve">7,300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4170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для глав крестьянс</w:t>
                  </w:r>
                  <w:r>
                    <w:rPr>
                      <w:sz w:val="18"/>
                      <w:szCs w:val="22"/>
                    </w:rPr>
                    <w:t xml:space="preserve">кого (фермерского) хозяйства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2835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  <w:highlight w:val="red"/>
                    </w:rPr>
                  </w:pPr>
                  <w:r>
                    <w:rPr>
                      <w:sz w:val="18"/>
                      <w:szCs w:val="22"/>
                      <w:highlight w:val="none"/>
                    </w:rPr>
                    <w:t xml:space="preserve">32,9</w:t>
                  </w:r>
                  <w:r>
                    <w:rPr>
                      <w:sz w:val="18"/>
                      <w:szCs w:val="22"/>
                      <w:highlight w:val="none"/>
                    </w:rPr>
                    <w:t xml:space="preserve">00</w:t>
                  </w:r>
                  <w:r>
                    <w:rPr>
                      <w:sz w:val="18"/>
                      <w:szCs w:val="22"/>
                      <w:highlight w:val="none"/>
                    </w:rPr>
                    <w:t xml:space="preserve"> - 32,9</w:t>
                  </w:r>
                  <w:r>
                    <w:rPr>
                      <w:sz w:val="18"/>
                      <w:szCs w:val="22"/>
                      <w:highlight w:val="none"/>
                    </w:rPr>
                    <w:t xml:space="preserve">00</w:t>
                  </w:r>
                  <w:r>
                    <w:rPr>
                      <w:sz w:val="18"/>
                      <w:szCs w:val="22"/>
                      <w:highlight w:val="red"/>
                    </w:rPr>
                  </w:r>
                  <w:r>
                    <w:rPr>
                      <w:sz w:val="18"/>
                      <w:szCs w:val="22"/>
                      <w:highlight w:val="red"/>
                    </w:rPr>
                  </w:r>
                </w:p>
              </w:tc>
            </w:tr>
          </w:tbl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Итоговая процентная ставка и ПСК рассчитываются индивидуально</w:t>
            </w:r>
            <w:r>
              <w:rPr>
                <w:sz w:val="22"/>
                <w:szCs w:val="22"/>
              </w:rPr>
              <w:t xml:space="preserve"> и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указываются в кредитном договоре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ПСК </w:t>
            </w:r>
            <w:r>
              <w:rPr>
                <w:sz w:val="22"/>
                <w:szCs w:val="22"/>
              </w:rPr>
              <w:t xml:space="preserve">составляет </w:t>
            </w:r>
            <w:r>
              <w:rPr>
                <w:sz w:val="22"/>
                <w:szCs w:val="22"/>
              </w:rPr>
              <w:t xml:space="preserve">не более предельного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значения </w:t>
            </w:r>
            <w:r>
              <w:rPr>
                <w:sz w:val="22"/>
                <w:szCs w:val="22"/>
              </w:rPr>
              <w:t xml:space="preserve">ПСК</w:t>
            </w:r>
            <w:r>
              <w:rPr>
                <w:sz w:val="22"/>
                <w:szCs w:val="22"/>
              </w:rPr>
              <w:t xml:space="preserve">, установленного в соответствии с частью 11 статьи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 Федерального закона 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353-ФЗ</w:t>
            </w:r>
            <w:r>
              <w:rPr>
                <w:sz w:val="22"/>
                <w:szCs w:val="22"/>
              </w:rPr>
              <w:t xml:space="preserve"> на дату заключения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договора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9"/>
        </w:trPr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платежей заемщика при возврате</w:t>
            </w:r>
            <w:r>
              <w:rPr>
                <w:sz w:val="22"/>
                <w:szCs w:val="22"/>
              </w:rPr>
              <w:t xml:space="preserve"> потребительского кредита</w:t>
            </w:r>
            <w:r>
              <w:rPr>
                <w:sz w:val="22"/>
                <w:szCs w:val="22"/>
              </w:rPr>
              <w:t xml:space="preserve">, уплате процентов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иных платежей по кредиту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 дифференцированными или </w:t>
            </w:r>
            <w:r>
              <w:rPr>
                <w:sz w:val="22"/>
                <w:szCs w:val="22"/>
              </w:rPr>
              <w:t xml:space="preserve">аннуитетными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платежами (по выбору заемщика)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 xml:space="preserve">Заемщик вправе досрочно исполни</w:t>
            </w:r>
            <w:r>
              <w:rPr>
                <w:sz w:val="22"/>
                <w:szCs w:val="22"/>
              </w:rPr>
              <w:t xml:space="preserve">ть </w:t>
            </w:r>
            <w:r>
              <w:rPr>
                <w:sz w:val="22"/>
                <w:szCs w:val="22"/>
              </w:rPr>
              <w:t xml:space="preserve">свои обязательства по возврату к</w:t>
            </w:r>
            <w:r>
              <w:rPr>
                <w:sz w:val="22"/>
                <w:szCs w:val="22"/>
              </w:rPr>
              <w:t xml:space="preserve">редита </w:t>
            </w:r>
            <w:r>
              <w:rPr>
                <w:sz w:val="22"/>
                <w:szCs w:val="22"/>
              </w:rPr>
              <w:t xml:space="preserve">без ограничений </w:t>
            </w:r>
            <w:r>
              <w:rPr>
                <w:sz w:val="22"/>
                <w:szCs w:val="22"/>
              </w:rPr>
              <w:t xml:space="preserve">(как в полном объеме, так и </w:t>
            </w:r>
            <w:r>
              <w:rPr>
                <w:sz w:val="22"/>
                <w:szCs w:val="22"/>
              </w:rPr>
              <w:t xml:space="preserve">в отношении </w:t>
            </w:r>
            <w:r>
              <w:rPr>
                <w:sz w:val="22"/>
                <w:szCs w:val="22"/>
              </w:rPr>
              <w:t xml:space="preserve">части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Способы возврата заемщиком потребительского кредита, уплаты процентов по нему, включая бесплатный способ исполнения заемщиком обязательств по договору потребительского кредита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Пополнение с</w:t>
            </w:r>
            <w:r>
              <w:rPr>
                <w:sz w:val="22"/>
                <w:szCs w:val="22"/>
              </w:rPr>
              <w:t xml:space="preserve">чета осуществляется посредством</w:t>
            </w:r>
            <w:bookmarkStart w:id="2" w:name="_Ref159243586"/>
            <w:r>
              <w:rPr>
                <w:rStyle w:val="1051"/>
                <w:sz w:val="22"/>
                <w:szCs w:val="22"/>
              </w:rPr>
              <w:footnoteReference w:id="9"/>
            </w:r>
            <w:bookmarkEnd w:id="2"/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несения наличных денежных средств в </w:t>
            </w:r>
            <w:r>
              <w:rPr>
                <w:sz w:val="22"/>
                <w:szCs w:val="22"/>
              </w:rPr>
              <w:t xml:space="preserve">любом офисе</w:t>
            </w:r>
            <w:r>
              <w:rPr>
                <w:sz w:val="22"/>
                <w:szCs w:val="22"/>
              </w:rPr>
              <w:t xml:space="preserve"> 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несения наличных денежных средств с использование</w:t>
            </w:r>
            <w:r>
              <w:rPr>
                <w:sz w:val="22"/>
                <w:szCs w:val="22"/>
              </w:rPr>
              <w:t xml:space="preserve">м платежных карт, выпущенных к с</w:t>
            </w:r>
            <w:r>
              <w:rPr>
                <w:sz w:val="22"/>
                <w:szCs w:val="22"/>
              </w:rPr>
              <w:t xml:space="preserve">чету, в любом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офисе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несения наличных денежных средств без использования платежных карт с указанием реквизито</w:t>
            </w:r>
            <w:r>
              <w:rPr>
                <w:sz w:val="22"/>
                <w:szCs w:val="22"/>
              </w:rPr>
              <w:t xml:space="preserve">в платежных карт, выпущенных к с</w:t>
            </w:r>
            <w:r>
              <w:rPr>
                <w:sz w:val="22"/>
                <w:szCs w:val="22"/>
              </w:rPr>
              <w:t xml:space="preserve">чету, в любых </w:t>
            </w:r>
            <w:r>
              <w:rPr>
                <w:sz w:val="22"/>
                <w:szCs w:val="22"/>
              </w:rPr>
              <w:t xml:space="preserve">офисах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несения наличных денежных средств с использование</w:t>
            </w:r>
            <w:r>
              <w:rPr>
                <w:sz w:val="22"/>
                <w:szCs w:val="22"/>
              </w:rPr>
              <w:t xml:space="preserve">м платежных карт, выпущенных к с</w:t>
            </w:r>
            <w:r>
              <w:rPr>
                <w:sz w:val="22"/>
                <w:szCs w:val="22"/>
              </w:rPr>
              <w:t xml:space="preserve">чету, в любых банкоматах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Банка</w:t>
            </w:r>
            <w:r>
              <w:rPr>
                <w:sz w:val="22"/>
                <w:szCs w:val="22"/>
              </w:rPr>
              <w:t xml:space="preserve">, имеющих функции п</w:t>
            </w:r>
            <w:r>
              <w:rPr>
                <w:sz w:val="22"/>
                <w:szCs w:val="22"/>
              </w:rPr>
              <w:t xml:space="preserve">риема наличных денежных средств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 xml:space="preserve">езналичного перевода денежных</w:t>
            </w:r>
            <w:r>
              <w:rPr>
                <w:sz w:val="22"/>
                <w:szCs w:val="22"/>
              </w:rPr>
              <w:t xml:space="preserve"> средств с иного счета з</w:t>
            </w:r>
            <w:r>
              <w:rPr>
                <w:sz w:val="22"/>
                <w:szCs w:val="22"/>
              </w:rPr>
              <w:t xml:space="preserve">аемщика</w:t>
            </w:r>
            <w:r>
              <w:rPr>
                <w:sz w:val="22"/>
                <w:szCs w:val="22"/>
              </w:rPr>
              <w:t xml:space="preserve">, открытого в </w:t>
            </w:r>
            <w:r>
              <w:rPr>
                <w:sz w:val="22"/>
                <w:szCs w:val="22"/>
              </w:rPr>
              <w:t xml:space="preserve">Банке</w:t>
            </w:r>
            <w:r>
              <w:rPr>
                <w:sz w:val="22"/>
                <w:szCs w:val="22"/>
              </w:rPr>
              <w:t xml:space="preserve"> (далее – иной счет), в </w:t>
            </w:r>
            <w:r>
              <w:rPr>
                <w:sz w:val="22"/>
                <w:szCs w:val="22"/>
              </w:rPr>
              <w:t xml:space="preserve">офисе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Банка, в котором открыт иной счет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</w:t>
            </w:r>
            <w:r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 xml:space="preserve">езналичного перевода денежных средств с иного счета с использованием дебетовых платежных карт, выпущенных к иному счету, в любых банкоматах </w:t>
            </w:r>
            <w:r>
              <w:rPr>
                <w:sz w:val="22"/>
                <w:szCs w:val="22"/>
              </w:rPr>
              <w:t xml:space="preserve">Банка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Сроки, в течение которых заемщик вправе отказаться от получения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Заемщик вправе отказаться от получения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редита </w:t>
            </w:r>
            <w:r>
              <w:rPr>
                <w:sz w:val="22"/>
                <w:szCs w:val="22"/>
              </w:rPr>
              <w:t xml:space="preserve">в любой момент </w:t>
            </w:r>
            <w:r>
              <w:rPr>
                <w:sz w:val="22"/>
                <w:szCs w:val="22"/>
              </w:rPr>
              <w:t xml:space="preserve">до зачисления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редита на 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чет путем предоставления в Банк письменного заявления в произвольной форме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Способы обеспечения исполнения обязательств по договору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в виде залога ликвидного имущества и/или поручительства физического или юридического лица не требуется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неустойки за просроченную задолженность по ос</w:t>
            </w:r>
            <w:r>
              <w:rPr>
                <w:sz w:val="22"/>
                <w:szCs w:val="22"/>
              </w:rPr>
              <w:t xml:space="preserve">новному долгу и (или) процентам определяется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арифами Банка</w:t>
            </w:r>
            <w:r>
              <w:rPr>
                <w:sz w:val="22"/>
                <w:szCs w:val="22"/>
              </w:rPr>
              <w:t xml:space="preserve"> и в обязательном порядке указывается в договоре </w:t>
            </w:r>
            <w:r>
              <w:rPr>
                <w:sz w:val="22"/>
                <w:szCs w:val="22"/>
              </w:rPr>
              <w:t xml:space="preserve">потребительского кредита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Неустойка начисляется ежедневно на сумму просроченной задолженности по основному долгу и процентам за каждый календарный день просрочки исполнения обязательств по уплате денежных средств, начиная со дня, следующего за установленной </w:t>
            </w:r>
            <w:r>
              <w:rPr>
                <w:sz w:val="22"/>
                <w:szCs w:val="22"/>
              </w:rPr>
              <w:t xml:space="preserve">договором </w:t>
            </w:r>
            <w:r>
              <w:rPr>
                <w:sz w:val="22"/>
                <w:szCs w:val="22"/>
              </w:rPr>
              <w:t xml:space="preserve">потребительского кредита соответствующей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атой платежа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период с даты предоставления кредита по дату окончания начисления процентов составляет 20 % годовых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период с даты, следующей за датой окончания начисления процентов, и по дату фактического возврата Банку кредита в полном объеме составляет 0,1 % от суммы просроченной задолженности за каждый календарный день просрочки (нарушения обязательства)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об иных договорах, которые з</w:t>
            </w:r>
            <w:r>
              <w:rPr>
                <w:sz w:val="22"/>
                <w:szCs w:val="22"/>
              </w:rPr>
              <w:t xml:space="preserve">аемщик обязан заключить, и (или) иных услугах, которые он обязан получить в связи с договором потребительского кредита, а также информация о возможности заемщика согласиться с заключением таких договоров и (или) оказанием таких услуг либо отказаться от них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</w:t>
            </w:r>
            <w:r>
              <w:rPr>
                <w:sz w:val="22"/>
                <w:szCs w:val="22"/>
              </w:rPr>
              <w:t xml:space="preserve"> банковского счета в валюте кредита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только </w:t>
            </w:r>
            <w:r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 xml:space="preserve">отсутствии</w:t>
            </w:r>
            <w:r>
              <w:rPr>
                <w:sz w:val="22"/>
                <w:szCs w:val="22"/>
              </w:rPr>
              <w:t xml:space="preserve"> у заёмщика действующего договора банковского счёта </w:t>
            </w:r>
            <w:r>
              <w:rPr>
                <w:sz w:val="22"/>
                <w:szCs w:val="22"/>
              </w:rPr>
              <w:t xml:space="preserve">в Банке </w:t>
            </w:r>
            <w:r>
              <w:rPr>
                <w:sz w:val="22"/>
                <w:szCs w:val="22"/>
              </w:rPr>
              <w:t xml:space="preserve">в валюте кредита)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возможном увеличении суммы расходов заемщика по сравнению с ожидаемой суммой расходов в рублях, в том числе при применении</w:t>
            </w:r>
            <w:r>
              <w:rPr>
                <w:sz w:val="22"/>
                <w:szCs w:val="22"/>
              </w:rPr>
              <w:t xml:space="preserve">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и информация о повышенных рисках заемщика, получающего доходы в валюте, отличной от валюты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применимо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</w:t>
            </w:r>
            <w:r>
              <w:rPr>
                <w:sz w:val="22"/>
                <w:szCs w:val="22"/>
              </w:rPr>
              <w:t xml:space="preserve">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потребительского кредита, может отличаться от валюты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применимо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возможности запрета уступки кредитором третьим лицам прав (требований) по договору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Предусмотрена возможность запрета или согласия заемщика на уступку прав требований. При этом согласие на уступку предоставляется только </w:t>
            </w:r>
            <w:r>
              <w:rPr>
                <w:sz w:val="22"/>
                <w:szCs w:val="22"/>
              </w:rPr>
              <w:t xml:space="preserve">юридическому лиц</w:t>
            </w:r>
            <w:r>
              <w:rPr>
                <w:sz w:val="22"/>
                <w:szCs w:val="22"/>
              </w:rPr>
              <w:t xml:space="preserve">у, осуществляющему профессиональную деятельность по предоставлению потребительских займов, и(или) юридическому лицу, осуществляющему деятельность по возврату просроченной задолженности физических лиц в качестве основного вида деятельности, и (или) специали</w:t>
            </w:r>
            <w:r>
              <w:rPr>
                <w:sz w:val="22"/>
                <w:szCs w:val="22"/>
              </w:rPr>
              <w:t xml:space="preserve">зированному финансовому обществ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81"/>
        </w:trPr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tbl>
            <w:tblPr>
              <w:tblStyle w:val="1079"/>
              <w:tblW w:w="7005" w:type="dxa"/>
              <w:tblLayout w:type="fixed"/>
              <w:tblLook w:val="04A0" w:firstRow="1" w:lastRow="0" w:firstColumn="1" w:lastColumn="0" w:noHBand="0" w:noVBand="1"/>
            </w:tblPr>
            <w:tblGrid>
              <w:gridCol w:w="3886"/>
              <w:gridCol w:w="3119"/>
            </w:tblGrid>
            <w:tr>
              <w:trPr>
                <w:trHeight w:val="397"/>
              </w:trPr>
              <w:tblPrEx/>
              <w:tc>
                <w:tcPr>
                  <w:tcW w:w="388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Продукт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Порядок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388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не </w:t>
                  </w:r>
                  <w:r>
                    <w:rPr>
                      <w:sz w:val="18"/>
                      <w:szCs w:val="22"/>
                    </w:rPr>
                    <w:t xml:space="preserve">применимо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388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  <w:vertAlign w:val="superscript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на рефинансирование</w:t>
                  </w:r>
                  <w:r>
                    <w:rPr>
                      <w:sz w:val="18"/>
                      <w:szCs w:val="22"/>
                      <w:vertAlign w:val="superscript"/>
                    </w:rPr>
                    <w:t xml:space="preserve">4</w:t>
                  </w:r>
                  <w:r>
                    <w:rPr>
                      <w:sz w:val="18"/>
                      <w:szCs w:val="22"/>
                      <w:vertAlign w:val="superscript"/>
                    </w:rPr>
                  </w:r>
                  <w:r>
                    <w:rPr>
                      <w:sz w:val="18"/>
                      <w:szCs w:val="22"/>
                      <w:vertAlign w:val="superscript"/>
                    </w:rPr>
                  </w:r>
                </w:p>
              </w:tc>
              <w:tc>
                <w:tcPr>
                  <w:tcW w:w="311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описан в</w:t>
                  </w:r>
                  <w:r>
                    <w:rPr>
                      <w:sz w:val="18"/>
                      <w:szCs w:val="22"/>
                    </w:rPr>
                    <w:t xml:space="preserve"> разд</w:t>
                  </w:r>
                  <w:r>
                    <w:rPr>
                      <w:sz w:val="18"/>
                      <w:szCs w:val="22"/>
                    </w:rPr>
                    <w:t xml:space="preserve">еле</w:t>
                  </w:r>
                  <w:r>
                    <w:rPr>
                      <w:sz w:val="18"/>
                      <w:szCs w:val="22"/>
                    </w:rPr>
                    <w:t xml:space="preserve"> 7 Правил </w:t>
                  </w:r>
                  <w:r>
                    <w:rPr>
                      <w:sz w:val="18"/>
                      <w:szCs w:val="22"/>
                    </w:rPr>
                    <w:t xml:space="preserve">предоставления физическим лицам</w:t>
                  </w:r>
                  <w:r>
                    <w:rPr>
                      <w:sz w:val="18"/>
                      <w:szCs w:val="22"/>
                    </w:rPr>
                    <w:t xml:space="preserve"> </w:t>
                  </w:r>
                  <w:r>
                    <w:rPr>
                      <w:sz w:val="18"/>
                      <w:szCs w:val="22"/>
                    </w:rPr>
                    <w:t xml:space="preserve">потребительских кредитов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388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потребительский «Газомоторное топливо</w:t>
                  </w:r>
                  <w:r>
                    <w:rPr>
                      <w:sz w:val="18"/>
                      <w:szCs w:val="22"/>
                    </w:rPr>
                    <w:t xml:space="preserve">»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описан в разделе </w:t>
                  </w:r>
                  <w:r>
                    <w:rPr>
                      <w:sz w:val="18"/>
                      <w:szCs w:val="22"/>
                    </w:rPr>
                    <w:t xml:space="preserve">7</w:t>
                  </w:r>
                  <w:r>
                    <w:rPr>
                      <w:sz w:val="18"/>
                      <w:szCs w:val="22"/>
                    </w:rPr>
                    <w:t xml:space="preserve"> Правил </w:t>
                  </w:r>
                  <w:r>
                    <w:rPr>
                      <w:sz w:val="18"/>
                      <w:szCs w:val="22"/>
                    </w:rPr>
                    <w:t xml:space="preserve">предоставления</w:t>
                  </w:r>
                  <w:r>
                    <w:rPr>
                      <w:sz w:val="18"/>
                      <w:szCs w:val="22"/>
                    </w:rPr>
                    <w:t xml:space="preserve"> </w:t>
                  </w:r>
                  <w:r>
                    <w:rPr>
                      <w:sz w:val="18"/>
                      <w:szCs w:val="22"/>
                    </w:rPr>
                    <w:t xml:space="preserve">потребительских целевых кредитов физическим лицам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388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Потребительский кредит с льготной процентной ставкой для граждан Российской Федерации на повышение уровня благоустройства домовладений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описан в разделе </w:t>
                  </w:r>
                  <w:r>
                    <w:rPr>
                      <w:sz w:val="18"/>
                      <w:szCs w:val="22"/>
                    </w:rPr>
                    <w:t xml:space="preserve">7 Правил предоставления</w:t>
                  </w:r>
                  <w:r>
                    <w:rPr>
                      <w:sz w:val="18"/>
                      <w:szCs w:val="22"/>
                    </w:rPr>
                    <w:t xml:space="preserve"> </w:t>
                  </w:r>
                  <w:r>
                    <w:rPr>
                      <w:sz w:val="18"/>
                      <w:szCs w:val="22"/>
                    </w:rPr>
                    <w:t xml:space="preserve">потребительских целевых кредитов физическим лицам</w:t>
                  </w:r>
                  <w:r>
                    <w:rPr>
                      <w:sz w:val="18"/>
                      <w:szCs w:val="22"/>
                    </w:rPr>
                    <w:t xml:space="preserve"> 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  <w:tr>
              <w:trPr>
                <w:trHeight w:val="397"/>
              </w:trPr>
              <w:tblPrEx/>
              <w:tc>
                <w:tcPr>
                  <w:tcW w:w="3886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Кредит для глав крестьянского (фермерского) хозяйства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  <w:tc>
                <w:tcPr>
                  <w:tcW w:w="3119" w:type="dxa"/>
                  <w:noWrap w:val="false"/>
                  <w:textDirection w:val="lrTb"/>
                  <w:vAlign w:val="center"/>
                </w:tcPr>
                <w:p>
                  <w:pPr>
                    <w:widowControl w:val="off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не применимо</w:t>
                  </w:r>
                  <w:r>
                    <w:rPr>
                      <w:sz w:val="18"/>
                      <w:szCs w:val="22"/>
                    </w:rPr>
                  </w:r>
                  <w:r>
                    <w:rPr>
                      <w:sz w:val="18"/>
                      <w:szCs w:val="22"/>
                    </w:rPr>
                  </w:r>
                </w:p>
              </w:tc>
            </w:tr>
          </w:tbl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338"/>
        </w:trPr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Подсудность споров по искам кредитора к заемщику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Любой спор, возникающий по </w:t>
            </w:r>
            <w:r>
              <w:rPr>
                <w:sz w:val="22"/>
                <w:szCs w:val="22"/>
              </w:rPr>
              <w:t xml:space="preserve">договору</w:t>
            </w:r>
            <w:r>
              <w:rPr>
                <w:sz w:val="22"/>
                <w:szCs w:val="22"/>
              </w:rPr>
              <w:t xml:space="preserve"> и/ или в связи с ним, в том числе любой спор в отношении существования, действительности, исполнения или прекращения </w:t>
            </w:r>
            <w:r>
              <w:rPr>
                <w:sz w:val="22"/>
                <w:szCs w:val="22"/>
              </w:rPr>
              <w:t xml:space="preserve">договора, при </w:t>
            </w:r>
            <w:r>
              <w:rPr>
                <w:sz w:val="22"/>
                <w:szCs w:val="22"/>
              </w:rPr>
              <w:t xml:space="preserve">не достижении</w:t>
            </w:r>
            <w:r>
              <w:rPr>
                <w:sz w:val="22"/>
                <w:szCs w:val="22"/>
              </w:rPr>
              <w:t xml:space="preserve"> з</w:t>
            </w:r>
            <w:r>
              <w:rPr>
                <w:sz w:val="22"/>
                <w:szCs w:val="22"/>
              </w:rPr>
              <w:t xml:space="preserve">аемщиком и Банком согласия по нему, подлежит передаче на рассмотрение</w:t>
            </w:r>
            <w:r>
              <w:rPr>
                <w:sz w:val="22"/>
                <w:szCs w:val="22"/>
              </w:rPr>
              <w:t xml:space="preserve"> по выбору заемщика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по иску з</w:t>
            </w:r>
            <w:r>
              <w:rPr>
                <w:sz w:val="22"/>
                <w:szCs w:val="22"/>
              </w:rPr>
              <w:t xml:space="preserve">аемщика к Банку о защите прав потребителей - в соответствии с действующим законодательством </w:t>
            </w:r>
            <w:r>
              <w:rPr>
                <w:sz w:val="22"/>
                <w:szCs w:val="22"/>
              </w:rPr>
              <w:t xml:space="preserve">РФ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по иску Банка к </w:t>
            </w:r>
            <w:r>
              <w:rPr>
                <w:sz w:val="22"/>
                <w:szCs w:val="22"/>
              </w:rPr>
              <w:t xml:space="preserve">з</w:t>
            </w:r>
            <w:r>
              <w:rPr>
                <w:sz w:val="22"/>
                <w:szCs w:val="22"/>
              </w:rPr>
              <w:t xml:space="preserve">аемщику</w:t>
            </w:r>
            <w:r>
              <w:rPr>
                <w:sz w:val="22"/>
                <w:szCs w:val="22"/>
              </w:rPr>
              <w:t xml:space="preserve"> - согласно выбору заемщика в договоре (</w:t>
            </w:r>
            <w:r>
              <w:rPr>
                <w:sz w:val="22"/>
                <w:szCs w:val="22"/>
              </w:rPr>
              <w:t xml:space="preserve">по месту нахождения заемщика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</w:rPr>
              <w:t xml:space="preserve">районн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суд</w:t>
            </w:r>
            <w:r>
              <w:rPr>
                <w:sz w:val="22"/>
                <w:szCs w:val="22"/>
              </w:rPr>
              <w:t xml:space="preserve">ье</w:t>
            </w:r>
            <w:r>
              <w:rPr>
                <w:sz w:val="22"/>
                <w:szCs w:val="22"/>
              </w:rPr>
              <w:t xml:space="preserve">/миров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судье в пределах субъекта </w:t>
            </w:r>
            <w:r>
              <w:rPr>
                <w:sz w:val="22"/>
                <w:szCs w:val="22"/>
              </w:rPr>
              <w:t xml:space="preserve">РФ</w:t>
            </w:r>
            <w:r>
              <w:rPr>
                <w:sz w:val="22"/>
                <w:szCs w:val="22"/>
              </w:rPr>
              <w:t xml:space="preserve"> по месту получения заемщиком оферты </w:t>
            </w:r>
            <w:r>
              <w:rPr>
                <w:sz w:val="22"/>
                <w:szCs w:val="22"/>
              </w:rPr>
              <w:t xml:space="preserve">(предложения заключить договор))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Формуляры или иные стандартные формы, в которых определены общие условия договора потребительского кредита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Правил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предоставления физическим лицам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потребительских кредитов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⸱ </w:t>
            </w:r>
            <w:r>
              <w:rPr>
                <w:sz w:val="22"/>
                <w:szCs w:val="22"/>
              </w:rPr>
              <w:t xml:space="preserve">Правил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предоставления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потребительских целевых кредитов физическим ли</w:t>
            </w:r>
            <w:r>
              <w:rPr>
                <w:sz w:val="22"/>
                <w:szCs w:val="22"/>
              </w:rPr>
              <w:t xml:space="preserve">цам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⸱ Кредитный договор (</w:t>
            </w:r>
            <w:r>
              <w:rPr>
                <w:sz w:val="22"/>
                <w:szCs w:val="22"/>
              </w:rPr>
              <w:t xml:space="preserve">применяемый в рамках продукта «Кредит для глав крестьянского (фермерского) хозяйства»),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 размещенные на странице каждого пр</w:t>
            </w:r>
            <w:r>
              <w:rPr>
                <w:sz w:val="22"/>
                <w:szCs w:val="22"/>
              </w:rPr>
              <w:t xml:space="preserve">одукта на сайте Банка (при доступности указанных продуктов)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праве заемщика обратиться к кредитору с требованием, указанным в части 1 статьи 6.1-2 Федерального закона № 353-ФЗ, и об условиях, при наступлении которых у заемщика возникает соответствующее право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Подробнее по адресу</w:t>
            </w:r>
            <w:r>
              <w:rPr>
                <w:sz w:val="22"/>
                <w:szCs w:val="22"/>
              </w:rPr>
              <w:t xml:space="preserve"> </w:t>
            </w:r>
            <w:hyperlink r:id="rId15" w:tooltip="https://www.rshb.ru/natural/support-measures" w:history="1">
              <w:r>
                <w:rPr>
                  <w:rStyle w:val="1086"/>
                  <w:sz w:val="22"/>
                  <w:szCs w:val="22"/>
                </w:rPr>
                <w:t xml:space="preserve">https://www.rshb.ru/natural/support-measures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blPrEx/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правах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заемщика установить в соответствии с Федеральным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законом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от 30 декабря 2004 года № 218-ФЗ «О кредитных историях» (далее – Федеральный закон № 218-ФЗ) запрет на заключение с ним договоров потребительского кредита (займа)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(далее - запрет), о порядке и способах установления (снятия) запрета, об условиях запрета, о случаях, в которых Банк обязан отказать заемщику в заключении договора потребительског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 кредита (займа) при проверке на наличие запрета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, о случаях, когда юридические и физические лица не вправе требовать исполнения заемщиком обязательств по договору потребительского кредита (займа) в связи с наличием запрета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</w:tc>
        <w:tc>
          <w:tcPr>
            <w:tcW w:w="7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Заемщик имеет право: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установить/снять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запрет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на заключение с ним договоров потребительского кредита (займа)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(условия, порядок и способы  определены Федеральным законом № 218-ФЗ);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- оспорить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обязательства по договору потребительского кредита (займа) в соответствии с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частью 6 статьи 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Федерального закона № 353-ФЗ, заключенные 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ри наличии действующего запрета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(условия, порядок и способы оспаривания определены Федеральным законом № 218-ФЗ).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none"/>
              </w:rPr>
              <w:t xml:space="preserve">Банк: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обязан отказать заемщику в заключении договора потребительског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о кредита (займа) при наличии сведений о действующем запрете в кредитной истории заемщика, в случае несоответствия представленных заемщиком сведений об ИНН, выявленного в рамках проверки, проведенной в соответствии с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частью 4.1 статьи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Федерального закона № 353-ФЗ, или невозможности самостоятельного получения Банком в порядке, установленном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частью 4.2 статьи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Федераль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ного закона № 353-ФЗ, сведений об ИНН, принадлежащем заемщику;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- не вправе требовать исполнения заемщиком обязательств по договору потребительского кредита (займа) в соответствии с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частью 6 статьи 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 Федерального закона № 353-ФЗ (по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договору потребительского кредита (займа), заключенному с субъектом кредитной истории - физическим лицом при наличии действующего запрета).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none"/>
              </w:rPr>
            </w:r>
          </w:p>
        </w:tc>
      </w:tr>
    </w:tbl>
    <w:p>
      <w:pPr>
        <w:widowControl w:val="off"/>
        <w:tabs>
          <w:tab w:val="left" w:pos="9356" w:leader="none"/>
        </w:tabs>
        <w:ind w:left="5387" w:right="-5"/>
      </w:pPr>
      <w:r>
        <w:t xml:space="preserve"> </w:t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7" w:h="16840" w:orient="portrait"/>
      <w:pgMar w:top="1135" w:right="425" w:bottom="1135" w:left="851" w:header="568" w:footer="63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imes New Roman CYR">
    <w:panose1 w:val="02020603050405020304"/>
  </w:font>
  <w:font w:name="Tahoma">
    <w:panose1 w:val="020B0604030504040204"/>
  </w:font>
  <w:font w:name="Peterburg">
    <w:panose1 w:val="02000603000000000000"/>
  </w:font>
  <w:font w:name="ヒラギノ角ゴ Pro W3">
    <w:panose1 w:val="02000603000000000000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9"/>
      <w:jc w:val="both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9"/>
      <w:framePr w:wrap="around" w:vAnchor="text" w:hAnchor="margin" w:xAlign="right" w:y="1"/>
      <w:rPr>
        <w:rStyle w:val="1058"/>
      </w:rPr>
    </w:pPr>
    <w:r>
      <w:rPr>
        <w:rStyle w:val="1058"/>
      </w:rPr>
      <w:fldChar w:fldCharType="begin"/>
    </w:r>
    <w:r>
      <w:rPr>
        <w:rStyle w:val="1058"/>
      </w:rPr>
      <w:instrText xml:space="preserve">PAGE  </w:instrText>
    </w:r>
    <w:r>
      <w:rPr>
        <w:rStyle w:val="1058"/>
      </w:rPr>
      <w:fldChar w:fldCharType="end"/>
    </w:r>
    <w:r>
      <w:rPr>
        <w:rStyle w:val="1058"/>
      </w:rPr>
    </w:r>
    <w:r>
      <w:rPr>
        <w:rStyle w:val="1058"/>
      </w:rPr>
    </w:r>
  </w:p>
  <w:p>
    <w:pPr>
      <w:pStyle w:val="105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2">
    <w:p>
      <w:pPr>
        <w:pStyle w:val="1057"/>
        <w:jc w:val="both"/>
        <w:rPr>
          <w:sz w:val="18"/>
          <w:szCs w:val="18"/>
        </w:rPr>
      </w:pPr>
      <w:r>
        <w:rPr>
          <w:rStyle w:val="1051"/>
          <w:sz w:val="18"/>
          <w:szCs w:val="18"/>
        </w:rPr>
        <w:footnoteRef/>
      </w:r>
      <w:r>
        <w:rPr>
          <w:sz w:val="18"/>
          <w:szCs w:val="18"/>
        </w:rPr>
        <w:t xml:space="preserve"> Информация размещается в соответствии с частью 4 статьи 5 Федерального закона от 21.12.2013 № 353-ФЗ «О потребительском кредите (займе)» (далее – Федеральный закон № 353-ФЗ).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057"/>
        <w:jc w:val="both"/>
        <w:rPr>
          <w:sz w:val="18"/>
          <w:szCs w:val="18"/>
        </w:rPr>
      </w:pPr>
      <w:r>
        <w:rPr>
          <w:rStyle w:val="1051"/>
          <w:sz w:val="18"/>
          <w:szCs w:val="18"/>
        </w:rPr>
        <w:footnoteRef/>
      </w:r>
      <w:r>
        <w:rPr>
          <w:sz w:val="18"/>
          <w:szCs w:val="18"/>
        </w:rPr>
        <w:t xml:space="preserve"> По продукту «Потребительский кредит с льготной процентной ставкой для граждан Российской Федерации на повышение уровн</w:t>
      </w:r>
      <w:r>
        <w:rPr>
          <w:sz w:val="18"/>
          <w:szCs w:val="18"/>
        </w:rPr>
        <w:t xml:space="preserve">я благоустройства домовладений»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также обязательна </w:t>
      </w:r>
      <w:r>
        <w:rPr>
          <w:sz w:val="18"/>
          <w:szCs w:val="18"/>
        </w:rPr>
        <w:t xml:space="preserve">постоянная регистрация на сельских территориях (сельских агломерациях)</w:t>
      </w:r>
      <w:r>
        <w:rPr>
          <w:sz w:val="18"/>
          <w:szCs w:val="18"/>
        </w:rPr>
        <w:t xml:space="preserve">. Сельские территории (сельские агломерации) определены согласно Постановлению </w:t>
      </w:r>
      <w:r>
        <w:rPr>
          <w:sz w:val="18"/>
          <w:szCs w:val="18"/>
        </w:rPr>
        <w:t xml:space="preserve">Правительства РФ от 26.11.2019 № 1514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1057"/>
        <w:jc w:val="both"/>
        <w:rPr>
          <w:sz w:val="18"/>
          <w:szCs w:val="18"/>
          <w14:ligatures w14:val="none"/>
        </w:rPr>
      </w:pPr>
      <w:r>
        <w:rPr>
          <w:rStyle w:val="1051"/>
          <w:sz w:val="18"/>
          <w:szCs w:val="18"/>
        </w:rPr>
        <w:footnoteRef/>
      </w:r>
      <w:r>
        <w:rPr>
          <w:sz w:val="18"/>
          <w:szCs w:val="18"/>
        </w:rPr>
        <w:t xml:space="preserve"> По продуктам </w:t>
      </w:r>
      <w:r>
        <w:rPr>
          <w:sz w:val="18"/>
          <w:szCs w:val="18"/>
        </w:rPr>
        <w:t xml:space="preserve">«Кредит для глав крестьянского (фермерского) хозяйства»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«</w:t>
      </w:r>
      <w:r>
        <w:rPr>
          <w:sz w:val="18"/>
          <w:szCs w:val="18"/>
        </w:rPr>
        <w:t xml:space="preserve">Кредит потребительский «Газомоторное топливо»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максима</w:t>
      </w:r>
      <w:r>
        <w:rPr>
          <w:sz w:val="18"/>
          <w:szCs w:val="18"/>
        </w:rPr>
        <w:t xml:space="preserve">льный возраст на момент возврата кредита - 65 лет вкл.</w:t>
      </w:r>
      <w:r>
        <w:rPr>
          <w:sz w:val="18"/>
          <w:szCs w:val="18"/>
          <w14:ligatures w14:val="none"/>
        </w:rPr>
      </w:r>
      <w:r>
        <w:rPr>
          <w:sz w:val="18"/>
          <w:szCs w:val="18"/>
          <w14:ligatures w14:val="none"/>
        </w:rPr>
      </w:r>
    </w:p>
  </w:footnote>
  <w:footnote w:id="5">
    <w:p>
      <w:pPr>
        <w:pStyle w:val="1057"/>
        <w:jc w:val="both"/>
        <w:rPr>
          <w:sz w:val="18"/>
          <w:szCs w:val="18"/>
          <w14:ligatures w14:val="none"/>
        </w:rPr>
      </w:pPr>
      <w:r>
        <w:rPr>
          <w:rStyle w:val="105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Прием заявок осуществляется только на рефинансирование кредитов полученных, в  </w:t>
      </w:r>
      <w:r>
        <w:rPr>
          <w:sz w:val="18"/>
          <w:szCs w:val="18"/>
        </w:rPr>
        <w:t xml:space="preserve">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».</w:t>
      </w:r>
      <w:r>
        <w:rPr>
          <w:sz w:val="18"/>
          <w:szCs w:val="18"/>
          <w14:ligatures w14:val="none"/>
        </w:rPr>
      </w:r>
      <w:r>
        <w:rPr>
          <w:sz w:val="18"/>
          <w:szCs w:val="18"/>
          <w14:ligatures w14:val="none"/>
        </w:rPr>
      </w:r>
      <w:r>
        <w:rPr>
          <w:sz w:val="18"/>
          <w:szCs w:val="18"/>
        </w:rPr>
      </w:r>
      <w:r>
        <w:rPr>
          <w:sz w:val="18"/>
          <w:szCs w:val="18"/>
          <w14:ligatures w14:val="none"/>
        </w:rPr>
      </w:r>
    </w:p>
  </w:footnote>
  <w:footnote w:id="6">
    <w:p>
      <w:pPr>
        <w:pStyle w:val="1057"/>
        <w:jc w:val="both"/>
        <w:rPr>
          <w:sz w:val="18"/>
          <w:szCs w:val="18"/>
        </w:rPr>
      </w:pPr>
      <w:r>
        <w:rPr>
          <w:rStyle w:val="105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Прием заявок на кредитный продукт приостановлен на период отсутствия лимита субсидирования, доводимого от Минсельхоза России в Банк.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1057"/>
        <w:jc w:val="both"/>
        <w:rPr>
          <w:sz w:val="18"/>
          <w:szCs w:val="18"/>
        </w:rPr>
      </w:pPr>
      <w:r>
        <w:rPr>
          <w:rStyle w:val="1051"/>
          <w:sz w:val="18"/>
          <w:szCs w:val="18"/>
        </w:rPr>
        <w:footnoteRef/>
      </w:r>
      <w:r>
        <w:rPr>
          <w:sz w:val="18"/>
          <w:szCs w:val="18"/>
        </w:rPr>
        <w:t xml:space="preserve"> По кредитам без личного страховани</w:t>
      </w:r>
      <w:r>
        <w:rPr>
          <w:sz w:val="18"/>
          <w:szCs w:val="18"/>
        </w:rPr>
        <w:t xml:space="preserve">я применяется надбавка 5,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% годовых.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8">
    <w:p>
      <w:pPr>
        <w:pStyle w:val="1057"/>
        <w:jc w:val="both"/>
        <w:rPr>
          <w:sz w:val="18"/>
          <w:szCs w:val="18"/>
        </w:rPr>
      </w:pPr>
      <w:r>
        <w:rPr>
          <w:rStyle w:val="1051"/>
          <w:sz w:val="18"/>
          <w:szCs w:val="18"/>
        </w:rPr>
        <w:footnoteRef/>
      </w:r>
      <w:r>
        <w:rPr>
          <w:sz w:val="18"/>
          <w:szCs w:val="18"/>
        </w:rPr>
        <w:t xml:space="preserve"> В случае нарушения условий по предоставлению документов, подтверждающих целевое использование кредита, применяется надбавка 3,0% годовых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057"/>
        <w:rPr>
          <w:sz w:val="18"/>
          <w:szCs w:val="18"/>
        </w:rPr>
      </w:pPr>
      <w:r>
        <w:rPr>
          <w:rStyle w:val="1051"/>
          <w:sz w:val="18"/>
          <w:szCs w:val="18"/>
        </w:rPr>
        <w:footnoteRef/>
      </w:r>
      <w:r>
        <w:rPr>
          <w:sz w:val="18"/>
          <w:szCs w:val="18"/>
        </w:rPr>
        <w:t xml:space="preserve"> Бесплатны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 способ</w:t>
      </w:r>
      <w:r>
        <w:rPr>
          <w:sz w:val="18"/>
          <w:szCs w:val="18"/>
        </w:rPr>
        <w:t xml:space="preserve">ы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6"/>
      <w:framePr w:wrap="around" w:vAnchor="text" w:hAnchor="margin" w:xAlign="center" w:y="1"/>
      <w:rPr>
        <w:rStyle w:val="1058"/>
      </w:rPr>
    </w:pPr>
    <w:r>
      <w:rPr>
        <w:rStyle w:val="1058"/>
      </w:rPr>
      <w:fldChar w:fldCharType="begin"/>
    </w:r>
    <w:r>
      <w:rPr>
        <w:rStyle w:val="1058"/>
      </w:rPr>
      <w:instrText xml:space="preserve">PAGE  </w:instrText>
    </w:r>
    <w:r>
      <w:rPr>
        <w:rStyle w:val="1058"/>
      </w:rPr>
      <w:fldChar w:fldCharType="separate"/>
    </w:r>
    <w:r>
      <w:rPr>
        <w:rStyle w:val="1058"/>
      </w:rPr>
      <w:t xml:space="preserve">5</w:t>
    </w:r>
    <w:r>
      <w:rPr>
        <w:rStyle w:val="1058"/>
      </w:rPr>
      <w:fldChar w:fldCharType="end"/>
    </w:r>
    <w:r>
      <w:rPr>
        <w:rStyle w:val="1058"/>
      </w:rPr>
    </w:r>
    <w:r>
      <w:rPr>
        <w:rStyle w:val="1058"/>
      </w:rPr>
    </w:r>
  </w:p>
  <w:p>
    <w:pPr>
      <w:pStyle w:val="105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6"/>
      <w:framePr w:wrap="around" w:vAnchor="text" w:hAnchor="margin" w:xAlign="center" w:y="1"/>
      <w:rPr>
        <w:rStyle w:val="1058"/>
      </w:rPr>
    </w:pPr>
    <w:r>
      <w:rPr>
        <w:rStyle w:val="1058"/>
      </w:rPr>
      <w:fldChar w:fldCharType="begin"/>
    </w:r>
    <w:r>
      <w:rPr>
        <w:rStyle w:val="1058"/>
      </w:rPr>
      <w:instrText xml:space="preserve">PAGE  </w:instrText>
    </w:r>
    <w:r>
      <w:rPr>
        <w:rStyle w:val="1058"/>
      </w:rPr>
      <w:fldChar w:fldCharType="end"/>
    </w:r>
    <w:r>
      <w:rPr>
        <w:rStyle w:val="1058"/>
      </w:rPr>
    </w:r>
    <w:r>
      <w:rPr>
        <w:rStyle w:val="1058"/>
      </w:rPr>
    </w:r>
  </w:p>
  <w:p>
    <w:pPr>
      <w:pStyle w:val="105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572" w:hanging="54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eastAsia="ヒラギノ角ゴ Pro W3"/>
      </w:rPr>
    </w:lvl>
    <w:lvl w:ilvl="1">
      <w:start w:val="1"/>
      <w:numFmt w:val="decimal"/>
      <w:isLgl w:val="false"/>
      <w:suff w:val="tab"/>
      <w:lvlText w:val="%1.%2."/>
      <w:lvlJc w:val="left"/>
      <w:pPr>
        <w:ind w:left="2490" w:hanging="360"/>
      </w:pPr>
      <w:rPr>
        <w:rFonts w:hint="default" w:eastAsia="ヒラギノ角ゴ Pro W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80" w:hanging="720"/>
      </w:pPr>
      <w:rPr>
        <w:rFonts w:hint="default" w:eastAsia="ヒラギノ角ゴ Pro W3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110" w:hanging="720"/>
      </w:pPr>
      <w:rPr>
        <w:rFonts w:hint="default" w:eastAsia="ヒラギノ角ゴ Pro W3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600" w:hanging="1080"/>
      </w:pPr>
      <w:rPr>
        <w:rFonts w:hint="default" w:eastAsia="ヒラギノ角ゴ Pro W3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730" w:hanging="1080"/>
      </w:pPr>
      <w:rPr>
        <w:rFonts w:hint="default" w:eastAsia="ヒラギノ角ゴ Pro W3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220" w:hanging="1440"/>
      </w:pPr>
      <w:rPr>
        <w:rFonts w:hint="default" w:eastAsia="ヒラギノ角ゴ Pro W3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6350" w:hanging="1440"/>
      </w:pPr>
      <w:rPr>
        <w:rFonts w:hint="default" w:eastAsia="ヒラギノ角ゴ Pro W3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840" w:hanging="1800"/>
      </w:pPr>
      <w:rPr>
        <w:rFonts w:hint="default" w:eastAsia="ヒラギノ角ゴ Pro W3"/>
      </w:r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eastAsia="ヒラギノ角ゴ Pro W3"/>
      </w:rPr>
    </w:lvl>
    <w:lvl w:ilvl="1">
      <w:start w:val="7"/>
      <w:numFmt w:val="decimal"/>
      <w:isLgl w:val="false"/>
      <w:suff w:val="tab"/>
      <w:lvlText w:val="%1.%2."/>
      <w:lvlJc w:val="left"/>
      <w:pPr>
        <w:ind w:left="1605" w:hanging="540"/>
      </w:pPr>
      <w:rPr>
        <w:rFonts w:hint="default" w:eastAsia="ヒラギノ角ゴ Pro W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0" w:hanging="720"/>
      </w:pPr>
      <w:rPr>
        <w:rFonts w:hint="default" w:eastAsia="ヒラギノ角ゴ Pro W3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15" w:hanging="720"/>
      </w:pPr>
      <w:rPr>
        <w:rFonts w:hint="default" w:eastAsia="ヒラギノ角ゴ Pro W3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40" w:hanging="1080"/>
      </w:pPr>
      <w:rPr>
        <w:rFonts w:hint="default" w:eastAsia="ヒラギノ角ゴ Pro W3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080"/>
      </w:pPr>
      <w:rPr>
        <w:rFonts w:hint="default" w:eastAsia="ヒラギノ角ゴ Pro W3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30" w:hanging="1440"/>
      </w:pPr>
      <w:rPr>
        <w:rFonts w:hint="default" w:eastAsia="ヒラギノ角ゴ Pro W3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895" w:hanging="1440"/>
      </w:pPr>
      <w:rPr>
        <w:rFonts w:hint="default" w:eastAsia="ヒラギノ角ゴ Pro W3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20" w:hanging="1800"/>
      </w:pPr>
      <w:rPr>
        <w:rFonts w:hint="default" w:eastAsia="ヒラギノ角ゴ Pro W3"/>
      </w:rPr>
    </w:lvl>
  </w:abstractNum>
  <w:abstractNum w:abstractNumId="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 w:ascii="Peterburg" w:hAnsi="Peterburg"/>
        <w:i/>
      </w:rPr>
    </w:lvl>
    <w:lvl w:ilvl="1">
      <w:start w:val="2"/>
      <w:numFmt w:val="decimal"/>
      <w:isLgl w:val="false"/>
      <w:suff w:val="tab"/>
      <w:lvlText w:val="%1.%2."/>
      <w:lvlJc w:val="left"/>
      <w:pPr>
        <w:ind w:left="1232" w:hanging="660"/>
      </w:pPr>
      <w:rPr>
        <w:rFonts w:hint="default" w:ascii="Peterburg" w:hAnsi="Peterburg"/>
        <w:i/>
      </w:rPr>
    </w:lvl>
    <w:lvl w:ilvl="2">
      <w:start w:val="5"/>
      <w:numFmt w:val="decimal"/>
      <w:isLgl w:val="false"/>
      <w:suff w:val="tab"/>
      <w:lvlText w:val="%1.%2.%3."/>
      <w:lvlJc w:val="left"/>
      <w:pPr>
        <w:ind w:left="1864" w:hanging="720"/>
      </w:pPr>
      <w:rPr>
        <w:rFonts w:hint="default" w:ascii="Peterburg" w:hAnsi="Peterburg"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6" w:hanging="720"/>
      </w:pPr>
      <w:rPr>
        <w:rFonts w:hint="default" w:ascii="Peterburg" w:hAnsi="Peterburg"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68" w:hanging="1080"/>
      </w:pPr>
      <w:rPr>
        <w:rFonts w:hint="default" w:ascii="Peterburg" w:hAnsi="Peterburg"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40" w:hanging="1080"/>
      </w:pPr>
      <w:rPr>
        <w:rFonts w:hint="default" w:ascii="Peterburg" w:hAnsi="Peterburg"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72" w:hanging="1440"/>
      </w:pPr>
      <w:rPr>
        <w:rFonts w:hint="default" w:ascii="Peterburg" w:hAnsi="Peterburg"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44" w:hanging="1440"/>
      </w:pPr>
      <w:rPr>
        <w:rFonts w:hint="default" w:ascii="Peterburg" w:hAnsi="Peterburg"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76" w:hanging="1800"/>
      </w:pPr>
      <w:rPr>
        <w:rFonts w:hint="default" w:ascii="Peterburg" w:hAnsi="Peterburg"/>
        <w:i/>
      </w:r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498" w:hanging="360"/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22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eastAsia="ヒラギノ角ゴ Pro W3"/>
      </w:rPr>
    </w:lvl>
    <w:lvl w:ilvl="1">
      <w:start w:val="7"/>
      <w:numFmt w:val="decimal"/>
      <w:isLgl w:val="false"/>
      <w:suff w:val="tab"/>
      <w:lvlText w:val="%1.%2."/>
      <w:lvlJc w:val="left"/>
      <w:pPr>
        <w:ind w:left="1605" w:hanging="540"/>
      </w:pPr>
      <w:rPr>
        <w:rFonts w:hint="default" w:eastAsia="ヒラギノ角ゴ Pro W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0" w:hanging="720"/>
      </w:pPr>
      <w:rPr>
        <w:rFonts w:hint="default" w:eastAsia="ヒラギノ角ゴ Pro W3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15" w:hanging="720"/>
      </w:pPr>
      <w:rPr>
        <w:rFonts w:hint="default" w:eastAsia="ヒラギノ角ゴ Pro W3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40" w:hanging="1080"/>
      </w:pPr>
      <w:rPr>
        <w:rFonts w:hint="default" w:eastAsia="ヒラギノ角ゴ Pro W3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080"/>
      </w:pPr>
      <w:rPr>
        <w:rFonts w:hint="default" w:eastAsia="ヒラギノ角ゴ Pro W3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30" w:hanging="1440"/>
      </w:pPr>
      <w:rPr>
        <w:rFonts w:hint="default" w:eastAsia="ヒラギノ角ゴ Pro W3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895" w:hanging="1440"/>
      </w:pPr>
      <w:rPr>
        <w:rFonts w:hint="default" w:eastAsia="ヒラギノ角ゴ Pro W3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20" w:hanging="1800"/>
      </w:pPr>
      <w:rPr>
        <w:rFonts w:hint="default" w:eastAsia="ヒラギノ角ゴ Pro W3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eastAsia="ヒラギノ角ゴ Pro W3"/>
      </w:rPr>
    </w:lvl>
    <w:lvl w:ilvl="1">
      <w:start w:val="7"/>
      <w:numFmt w:val="decimal"/>
      <w:isLgl w:val="false"/>
      <w:suff w:val="tab"/>
      <w:lvlText w:val="%1.%2."/>
      <w:lvlJc w:val="left"/>
      <w:pPr>
        <w:ind w:left="1605" w:hanging="540"/>
      </w:pPr>
      <w:rPr>
        <w:rFonts w:hint="default" w:eastAsia="ヒラギノ角ゴ Pro W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0" w:hanging="720"/>
      </w:pPr>
      <w:rPr>
        <w:rFonts w:hint="default" w:eastAsia="ヒラギノ角ゴ Pro W3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15" w:hanging="720"/>
      </w:pPr>
      <w:rPr>
        <w:rFonts w:hint="default" w:eastAsia="ヒラギノ角ゴ Pro W3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40" w:hanging="1080"/>
      </w:pPr>
      <w:rPr>
        <w:rFonts w:hint="default" w:eastAsia="ヒラギノ角ゴ Pro W3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080"/>
      </w:pPr>
      <w:rPr>
        <w:rFonts w:hint="default" w:eastAsia="ヒラギノ角ゴ Pro W3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30" w:hanging="1440"/>
      </w:pPr>
      <w:rPr>
        <w:rFonts w:hint="default" w:eastAsia="ヒラギノ角ゴ Pro W3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895" w:hanging="1440"/>
      </w:pPr>
      <w:rPr>
        <w:rFonts w:hint="default" w:eastAsia="ヒラギノ角ゴ Pro W3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20" w:hanging="1800"/>
      </w:pPr>
      <w:rPr>
        <w:rFonts w:hint="default" w:eastAsia="ヒラギノ角ゴ Pro W3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ascii="Times New Roman" w:hAnsi="Times New Roman"/>
        <w:i w:val="0"/>
        <w:sz w:val="22"/>
      </w:rPr>
    </w:lvl>
    <w:lvl w:ilvl="1">
      <w:start w:val="6"/>
      <w:numFmt w:val="decimal"/>
      <w:isLgl/>
      <w:suff w:val="tab"/>
      <w:lvlText w:val="%1.%2."/>
      <w:lvlJc w:val="left"/>
      <w:pPr>
        <w:ind w:left="928" w:hanging="360"/>
      </w:pPr>
      <w:rPr>
        <w:rFonts w:hint="default"/>
        <w:i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isLgl/>
      <w:suff w:val="tab"/>
      <w:lvlText w:val="%1.%2.%3.%4."/>
      <w:lvlJc w:val="left"/>
      <w:pPr>
        <w:ind w:left="1288" w:hanging="720"/>
      </w:pPr>
      <w:rPr>
        <w:rFonts w:hint="default"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</w:pPr>
      <w:rPr>
        <w:rFonts w:hint="default"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648" w:hanging="1080"/>
      </w:pPr>
      <w:rPr>
        <w:rFonts w:hint="default"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2008" w:hanging="1440"/>
      </w:pPr>
      <w:rPr>
        <w:rFonts w:hint="default"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8" w:hanging="1440"/>
      </w:pPr>
      <w:rPr>
        <w:rFonts w:hint="default"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8" w:hanging="1800"/>
      </w:pPr>
      <w:rPr>
        <w:rFonts w:hint="default"/>
        <w:i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0"/>
  </w:num>
  <w:num w:numId="5">
    <w:abstractNumId w:val="1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11"/>
  </w:num>
  <w:num w:numId="15">
    <w:abstractNumId w:val="0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75">
    <w:name w:val="Heading 1 Char"/>
    <w:basedOn w:val="1045"/>
    <w:link w:val="1038"/>
    <w:uiPriority w:val="9"/>
    <w:rPr>
      <w:rFonts w:ascii="Arial" w:hAnsi="Arial" w:eastAsia="Arial" w:cs="Arial"/>
      <w:sz w:val="40"/>
      <w:szCs w:val="40"/>
    </w:rPr>
  </w:style>
  <w:style w:type="character" w:styleId="876">
    <w:name w:val="Heading 2 Char"/>
    <w:basedOn w:val="1045"/>
    <w:link w:val="1039"/>
    <w:uiPriority w:val="9"/>
    <w:rPr>
      <w:rFonts w:ascii="Arial" w:hAnsi="Arial" w:eastAsia="Arial" w:cs="Arial"/>
      <w:sz w:val="34"/>
    </w:rPr>
  </w:style>
  <w:style w:type="paragraph" w:styleId="877">
    <w:name w:val="Heading 3"/>
    <w:basedOn w:val="1037"/>
    <w:next w:val="1037"/>
    <w:link w:val="87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78">
    <w:name w:val="Heading 3 Char"/>
    <w:basedOn w:val="1045"/>
    <w:link w:val="877"/>
    <w:uiPriority w:val="9"/>
    <w:rPr>
      <w:rFonts w:ascii="Arial" w:hAnsi="Arial" w:eastAsia="Arial" w:cs="Arial"/>
      <w:sz w:val="30"/>
      <w:szCs w:val="30"/>
    </w:rPr>
  </w:style>
  <w:style w:type="character" w:styleId="879">
    <w:name w:val="Heading 4 Char"/>
    <w:basedOn w:val="1045"/>
    <w:link w:val="1040"/>
    <w:uiPriority w:val="9"/>
    <w:rPr>
      <w:rFonts w:ascii="Arial" w:hAnsi="Arial" w:eastAsia="Arial" w:cs="Arial"/>
      <w:b/>
      <w:bCs/>
      <w:sz w:val="26"/>
      <w:szCs w:val="26"/>
    </w:rPr>
  </w:style>
  <w:style w:type="character" w:styleId="880">
    <w:name w:val="Heading 5 Char"/>
    <w:basedOn w:val="1045"/>
    <w:link w:val="1041"/>
    <w:uiPriority w:val="9"/>
    <w:rPr>
      <w:rFonts w:ascii="Arial" w:hAnsi="Arial" w:eastAsia="Arial" w:cs="Arial"/>
      <w:b/>
      <w:bCs/>
      <w:sz w:val="24"/>
      <w:szCs w:val="24"/>
    </w:rPr>
  </w:style>
  <w:style w:type="character" w:styleId="881">
    <w:name w:val="Heading 6 Char"/>
    <w:basedOn w:val="1045"/>
    <w:link w:val="1042"/>
    <w:uiPriority w:val="9"/>
    <w:rPr>
      <w:rFonts w:ascii="Arial" w:hAnsi="Arial" w:eastAsia="Arial" w:cs="Arial"/>
      <w:b/>
      <w:bCs/>
      <w:sz w:val="22"/>
      <w:szCs w:val="22"/>
    </w:rPr>
  </w:style>
  <w:style w:type="paragraph" w:styleId="882">
    <w:name w:val="Heading 7"/>
    <w:basedOn w:val="1037"/>
    <w:next w:val="1037"/>
    <w:link w:val="88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3">
    <w:name w:val="Heading 7 Char"/>
    <w:basedOn w:val="1045"/>
    <w:link w:val="8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4">
    <w:name w:val="Heading 8 Char"/>
    <w:basedOn w:val="1045"/>
    <w:link w:val="1043"/>
    <w:uiPriority w:val="9"/>
    <w:rPr>
      <w:rFonts w:ascii="Arial" w:hAnsi="Arial" w:eastAsia="Arial" w:cs="Arial"/>
      <w:i/>
      <w:iCs/>
      <w:sz w:val="22"/>
      <w:szCs w:val="22"/>
    </w:rPr>
  </w:style>
  <w:style w:type="character" w:styleId="885">
    <w:name w:val="Heading 9 Char"/>
    <w:basedOn w:val="1045"/>
    <w:link w:val="1044"/>
    <w:uiPriority w:val="9"/>
    <w:rPr>
      <w:rFonts w:ascii="Arial" w:hAnsi="Arial" w:eastAsia="Arial" w:cs="Arial"/>
      <w:i/>
      <w:iCs/>
      <w:sz w:val="21"/>
      <w:szCs w:val="21"/>
    </w:rPr>
  </w:style>
  <w:style w:type="paragraph" w:styleId="886">
    <w:name w:val="No Spacing"/>
    <w:uiPriority w:val="1"/>
    <w:qFormat/>
    <w:pPr>
      <w:spacing w:before="0" w:after="0" w:line="240" w:lineRule="auto"/>
    </w:pPr>
  </w:style>
  <w:style w:type="paragraph" w:styleId="887">
    <w:name w:val="Title"/>
    <w:basedOn w:val="1037"/>
    <w:next w:val="1037"/>
    <w:link w:val="88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88">
    <w:name w:val="Title Char"/>
    <w:basedOn w:val="1045"/>
    <w:link w:val="887"/>
    <w:uiPriority w:val="10"/>
    <w:rPr>
      <w:sz w:val="48"/>
      <w:szCs w:val="48"/>
    </w:rPr>
  </w:style>
  <w:style w:type="paragraph" w:styleId="889">
    <w:name w:val="Subtitle"/>
    <w:basedOn w:val="1037"/>
    <w:next w:val="1037"/>
    <w:link w:val="890"/>
    <w:uiPriority w:val="11"/>
    <w:qFormat/>
    <w:pPr>
      <w:spacing w:before="200" w:after="200"/>
    </w:pPr>
    <w:rPr>
      <w:sz w:val="24"/>
      <w:szCs w:val="24"/>
    </w:rPr>
  </w:style>
  <w:style w:type="character" w:styleId="890">
    <w:name w:val="Subtitle Char"/>
    <w:basedOn w:val="1045"/>
    <w:link w:val="889"/>
    <w:uiPriority w:val="11"/>
    <w:rPr>
      <w:sz w:val="24"/>
      <w:szCs w:val="24"/>
    </w:rPr>
  </w:style>
  <w:style w:type="paragraph" w:styleId="891">
    <w:name w:val="Quote"/>
    <w:basedOn w:val="1037"/>
    <w:next w:val="1037"/>
    <w:link w:val="892"/>
    <w:uiPriority w:val="29"/>
    <w:qFormat/>
    <w:pPr>
      <w:ind w:left="720" w:right="720"/>
    </w:pPr>
    <w:rPr>
      <w:i/>
    </w:rPr>
  </w:style>
  <w:style w:type="character" w:styleId="892">
    <w:name w:val="Quote Char"/>
    <w:link w:val="891"/>
    <w:uiPriority w:val="29"/>
    <w:rPr>
      <w:i/>
    </w:rPr>
  </w:style>
  <w:style w:type="paragraph" w:styleId="893">
    <w:name w:val="Intense Quote"/>
    <w:basedOn w:val="1037"/>
    <w:next w:val="1037"/>
    <w:link w:val="89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894">
    <w:name w:val="Intense Quote Char"/>
    <w:link w:val="893"/>
    <w:uiPriority w:val="30"/>
    <w:rPr>
      <w:i/>
    </w:rPr>
  </w:style>
  <w:style w:type="character" w:styleId="895">
    <w:name w:val="Header Char"/>
    <w:basedOn w:val="1045"/>
    <w:link w:val="1056"/>
    <w:uiPriority w:val="99"/>
  </w:style>
  <w:style w:type="character" w:styleId="896">
    <w:name w:val="Footer Char"/>
    <w:basedOn w:val="1045"/>
    <w:link w:val="1059"/>
    <w:uiPriority w:val="99"/>
  </w:style>
  <w:style w:type="paragraph" w:styleId="897">
    <w:name w:val="Caption"/>
    <w:basedOn w:val="1037"/>
    <w:next w:val="1037"/>
    <w:link w:val="8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8">
    <w:name w:val="Caption Char"/>
    <w:basedOn w:val="897"/>
    <w:link w:val="1059"/>
    <w:uiPriority w:val="99"/>
  </w:style>
  <w:style w:type="table" w:styleId="899">
    <w:name w:val="Table Grid Light"/>
    <w:basedOn w:val="10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>
    <w:name w:val="Plain Table 1"/>
    <w:basedOn w:val="10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1">
    <w:name w:val="Plain Table 2"/>
    <w:basedOn w:val="10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2">
    <w:name w:val="Plain Table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3">
    <w:name w:val="Plain Table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Plain Table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1 Light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1 Light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1 Light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Grid Table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3">
    <w:name w:val="Grid Table 2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4">
    <w:name w:val="Grid Table 2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5">
    <w:name w:val="Grid Table 2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6">
    <w:name w:val="Grid Table 2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7">
    <w:name w:val="Grid Table 2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8">
    <w:name w:val="Grid Table 2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9">
    <w:name w:val="Grid Table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0">
    <w:name w:val="Grid Table 3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1">
    <w:name w:val="Grid Table 3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3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3">
    <w:name w:val="Grid Table 3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4">
    <w:name w:val="Grid Table 3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5">
    <w:name w:val="Grid Table 3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6">
    <w:name w:val="Grid Table 4"/>
    <w:basedOn w:val="10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7">
    <w:name w:val="Grid Table 4 - Accent 1"/>
    <w:basedOn w:val="10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8">
    <w:name w:val="Grid Table 4 - Accent 2"/>
    <w:basedOn w:val="10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9">
    <w:name w:val="Grid Table 4 - Accent 3"/>
    <w:basedOn w:val="10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30">
    <w:name w:val="Grid Table 4 - Accent 4"/>
    <w:basedOn w:val="10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31">
    <w:name w:val="Grid Table 4 - Accent 5"/>
    <w:basedOn w:val="10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2">
    <w:name w:val="Grid Table 4 - Accent 6"/>
    <w:basedOn w:val="10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3">
    <w:name w:val="Grid Table 5 Dark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934">
    <w:name w:val="Grid Table 5 Dark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935">
    <w:name w:val="Grid Table 5 Dark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936">
    <w:name w:val="Grid Table 5 Dark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937">
    <w:name w:val="Grid Table 5 Dark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938">
    <w:name w:val="Grid Table 5 Dark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939">
    <w:name w:val="Grid Table 5 Dark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40">
    <w:name w:val="Grid Table 6 Colorful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41">
    <w:name w:val="Grid Table 6 Colorful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2">
    <w:name w:val="Grid Table 6 Colorful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3">
    <w:name w:val="Grid Table 6 Colorful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4">
    <w:name w:val="Grid Table 6 Colorful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5">
    <w:name w:val="Grid Table 6 Colorful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6">
    <w:name w:val="Grid Table 6 Colorful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7">
    <w:name w:val="Grid Table 7 Colorful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8">
    <w:name w:val="Grid Table 7 Colorful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9">
    <w:name w:val="Grid Table 7 Colorful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0">
    <w:name w:val="Grid Table 7 Colorful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1">
    <w:name w:val="Grid Table 7 Colorful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2">
    <w:name w:val="Grid Table 7 Colorful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3">
    <w:name w:val="Grid Table 7 Colorful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4">
    <w:name w:val="List Table 1 Light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2">
    <w:name w:val="List Table 2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3">
    <w:name w:val="List Table 2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4">
    <w:name w:val="List Table 2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5">
    <w:name w:val="List Table 2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6">
    <w:name w:val="List Table 2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7">
    <w:name w:val="List Table 2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8">
    <w:name w:val="List Table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3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3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4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5 Dark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3">
    <w:name w:val="List Table 5 Dark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5 Dark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8">
    <w:name w:val="List Table 5 Dark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9">
    <w:name w:val="List Table 6 Colorful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90">
    <w:name w:val="List Table 6 Colorful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1">
    <w:name w:val="List Table 6 Colorful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2">
    <w:name w:val="List Table 6 Colorful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3">
    <w:name w:val="List Table 6 Colorful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4">
    <w:name w:val="List Table 6 Colorful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5">
    <w:name w:val="List Table 6 Colorful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6">
    <w:name w:val="List Table 7 Colorful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7">
    <w:name w:val="List Table 7 Colorful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98">
    <w:name w:val="List Table 7 Colorful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99">
    <w:name w:val="List Table 7 Colorful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00">
    <w:name w:val="List Table 7 Colorful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01">
    <w:name w:val="List Table 7 Colorful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02">
    <w:name w:val="List Table 7 Colorful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03">
    <w:name w:val="Lined - Accent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4">
    <w:name w:val="Lined - Accent 1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05">
    <w:name w:val="Lined - Accent 2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6">
    <w:name w:val="Lined - Accent 3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7">
    <w:name w:val="Lined - Accent 4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8">
    <w:name w:val="Lined - Accent 5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09">
    <w:name w:val="Lined - Accent 6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0">
    <w:name w:val="Bordered &amp; Lined - Accent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1">
    <w:name w:val="Bordered &amp; Lined - Accent 1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12">
    <w:name w:val="Bordered &amp; Lined - Accent 2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3">
    <w:name w:val="Bordered &amp; Lined - Accent 3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4">
    <w:name w:val="Bordered &amp; Lined - Accent 4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5">
    <w:name w:val="Bordered &amp; Lined - Accent 5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16">
    <w:name w:val="Bordered &amp; Lined - Accent 6"/>
    <w:basedOn w:val="10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7">
    <w:name w:val="Bordered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8">
    <w:name w:val="Bordered - Accent 1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9">
    <w:name w:val="Bordered - Accent 2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20">
    <w:name w:val="Bordered - Accent 3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21">
    <w:name w:val="Bordered - Accent 4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2">
    <w:name w:val="Bordered - Accent 5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3">
    <w:name w:val="Bordered - Accent 6"/>
    <w:basedOn w:val="10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4">
    <w:name w:val="Footnote Text Char"/>
    <w:link w:val="1057"/>
    <w:uiPriority w:val="99"/>
    <w:rPr>
      <w:sz w:val="18"/>
    </w:rPr>
  </w:style>
  <w:style w:type="character" w:styleId="1025">
    <w:name w:val="Endnote Text Char"/>
    <w:link w:val="1075"/>
    <w:uiPriority w:val="99"/>
    <w:rPr>
      <w:sz w:val="20"/>
    </w:rPr>
  </w:style>
  <w:style w:type="paragraph" w:styleId="1026">
    <w:name w:val="toc 1"/>
    <w:basedOn w:val="1037"/>
    <w:next w:val="1037"/>
    <w:uiPriority w:val="39"/>
    <w:unhideWhenUsed/>
    <w:pPr>
      <w:spacing w:after="57"/>
      <w:ind w:left="0" w:right="0" w:firstLine="0"/>
    </w:pPr>
  </w:style>
  <w:style w:type="paragraph" w:styleId="1027">
    <w:name w:val="toc 2"/>
    <w:basedOn w:val="1037"/>
    <w:next w:val="1037"/>
    <w:uiPriority w:val="39"/>
    <w:unhideWhenUsed/>
    <w:pPr>
      <w:spacing w:after="57"/>
      <w:ind w:left="283" w:right="0" w:firstLine="0"/>
    </w:pPr>
  </w:style>
  <w:style w:type="paragraph" w:styleId="1028">
    <w:name w:val="toc 3"/>
    <w:basedOn w:val="1037"/>
    <w:next w:val="1037"/>
    <w:uiPriority w:val="39"/>
    <w:unhideWhenUsed/>
    <w:pPr>
      <w:spacing w:after="57"/>
      <w:ind w:left="567" w:right="0" w:firstLine="0"/>
    </w:pPr>
  </w:style>
  <w:style w:type="paragraph" w:styleId="1029">
    <w:name w:val="toc 4"/>
    <w:basedOn w:val="1037"/>
    <w:next w:val="1037"/>
    <w:uiPriority w:val="39"/>
    <w:unhideWhenUsed/>
    <w:pPr>
      <w:spacing w:after="57"/>
      <w:ind w:left="850" w:right="0" w:firstLine="0"/>
    </w:pPr>
  </w:style>
  <w:style w:type="paragraph" w:styleId="1030">
    <w:name w:val="toc 5"/>
    <w:basedOn w:val="1037"/>
    <w:next w:val="1037"/>
    <w:uiPriority w:val="39"/>
    <w:unhideWhenUsed/>
    <w:pPr>
      <w:spacing w:after="57"/>
      <w:ind w:left="1134" w:right="0" w:firstLine="0"/>
    </w:pPr>
  </w:style>
  <w:style w:type="paragraph" w:styleId="1031">
    <w:name w:val="toc 6"/>
    <w:basedOn w:val="1037"/>
    <w:next w:val="1037"/>
    <w:uiPriority w:val="39"/>
    <w:unhideWhenUsed/>
    <w:pPr>
      <w:spacing w:after="57"/>
      <w:ind w:left="1417" w:right="0" w:firstLine="0"/>
    </w:pPr>
  </w:style>
  <w:style w:type="paragraph" w:styleId="1032">
    <w:name w:val="toc 7"/>
    <w:basedOn w:val="1037"/>
    <w:next w:val="1037"/>
    <w:uiPriority w:val="39"/>
    <w:unhideWhenUsed/>
    <w:pPr>
      <w:spacing w:after="57"/>
      <w:ind w:left="1701" w:right="0" w:firstLine="0"/>
    </w:pPr>
  </w:style>
  <w:style w:type="paragraph" w:styleId="1033">
    <w:name w:val="toc 8"/>
    <w:basedOn w:val="1037"/>
    <w:next w:val="1037"/>
    <w:uiPriority w:val="39"/>
    <w:unhideWhenUsed/>
    <w:pPr>
      <w:spacing w:after="57"/>
      <w:ind w:left="1984" w:right="0" w:firstLine="0"/>
    </w:pPr>
  </w:style>
  <w:style w:type="paragraph" w:styleId="1034">
    <w:name w:val="toc 9"/>
    <w:basedOn w:val="1037"/>
    <w:next w:val="1037"/>
    <w:uiPriority w:val="39"/>
    <w:unhideWhenUsed/>
    <w:pPr>
      <w:spacing w:after="57"/>
      <w:ind w:left="2268" w:right="0" w:firstLine="0"/>
    </w:pPr>
  </w:style>
  <w:style w:type="paragraph" w:styleId="1035">
    <w:name w:val="TOC Heading"/>
    <w:uiPriority w:val="39"/>
    <w:unhideWhenUsed/>
  </w:style>
  <w:style w:type="paragraph" w:styleId="1036">
    <w:name w:val="table of figures"/>
    <w:basedOn w:val="1037"/>
    <w:next w:val="1037"/>
    <w:uiPriority w:val="99"/>
    <w:unhideWhenUsed/>
    <w:pPr>
      <w:spacing w:after="0" w:afterAutospacing="0"/>
    </w:pPr>
  </w:style>
  <w:style w:type="paragraph" w:styleId="1037" w:default="1">
    <w:name w:val="Normal"/>
    <w:qFormat/>
    <w:rPr>
      <w:sz w:val="24"/>
      <w:szCs w:val="24"/>
    </w:rPr>
  </w:style>
  <w:style w:type="paragraph" w:styleId="1038">
    <w:name w:val="Heading 1"/>
    <w:basedOn w:val="1037"/>
    <w:next w:val="1037"/>
    <w:link w:val="1067"/>
    <w:qFormat/>
    <w:pPr>
      <w:keepNext/>
      <w:jc w:val="center"/>
      <w:outlineLvl w:val="0"/>
    </w:pPr>
    <w:rPr>
      <w:b/>
      <w:bCs/>
    </w:rPr>
  </w:style>
  <w:style w:type="paragraph" w:styleId="1039">
    <w:name w:val="Heading 2"/>
    <w:basedOn w:val="1037"/>
    <w:next w:val="1037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1040">
    <w:name w:val="Heading 4"/>
    <w:basedOn w:val="1037"/>
    <w:next w:val="1037"/>
    <w:qFormat/>
    <w:pPr>
      <w:keepNext/>
      <w:widowControl w:val="off"/>
      <w:ind w:left="99"/>
      <w:jc w:val="center"/>
      <w:outlineLvl w:val="3"/>
    </w:pPr>
    <w:rPr>
      <w:b/>
      <w:bCs/>
      <w:sz w:val="22"/>
      <w:szCs w:val="22"/>
    </w:rPr>
  </w:style>
  <w:style w:type="paragraph" w:styleId="1041">
    <w:name w:val="Heading 5"/>
    <w:basedOn w:val="1037"/>
    <w:next w:val="1037"/>
    <w:link w:val="1069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1042">
    <w:name w:val="Heading 6"/>
    <w:basedOn w:val="1037"/>
    <w:next w:val="1037"/>
    <w:qFormat/>
    <w:pPr>
      <w:keepNext/>
      <w:ind w:right="283"/>
      <w:outlineLvl w:val="5"/>
    </w:pPr>
    <w:rPr>
      <w:b/>
      <w:bCs/>
      <w:i/>
      <w:iCs/>
      <w:color w:val="ff0000"/>
    </w:rPr>
  </w:style>
  <w:style w:type="paragraph" w:styleId="1043">
    <w:name w:val="Heading 8"/>
    <w:basedOn w:val="1037"/>
    <w:next w:val="1037"/>
    <w:qFormat/>
    <w:pPr>
      <w:keepNext/>
      <w:jc w:val="center"/>
      <w:outlineLvl w:val="7"/>
    </w:pPr>
    <w:rPr>
      <w:b/>
      <w:bCs/>
    </w:rPr>
  </w:style>
  <w:style w:type="paragraph" w:styleId="1044">
    <w:name w:val="Heading 9"/>
    <w:basedOn w:val="1037"/>
    <w:next w:val="1037"/>
    <w:qFormat/>
    <w:pPr>
      <w:keepNext/>
      <w:widowControl w:val="off"/>
      <w:jc w:val="right"/>
      <w:outlineLvl w:val="8"/>
    </w:pPr>
    <w:rPr>
      <w:b/>
      <w:bCs/>
      <w:sz w:val="22"/>
      <w:szCs w:val="22"/>
    </w:rPr>
  </w:style>
  <w:style w:type="character" w:styleId="1045" w:default="1">
    <w:name w:val="Default Paragraph Font"/>
    <w:uiPriority w:val="1"/>
    <w:semiHidden/>
    <w:unhideWhenUsed/>
  </w:style>
  <w:style w:type="table" w:styleId="10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7" w:default="1">
    <w:name w:val="No List"/>
    <w:uiPriority w:val="99"/>
    <w:semiHidden/>
    <w:unhideWhenUsed/>
  </w:style>
  <w:style w:type="paragraph" w:styleId="1048" w:customStyle="1">
    <w:name w:val="Noeeu1"/>
    <w:basedOn w:val="1037"/>
    <w:link w:val="1087"/>
    <w:qFormat/>
    <w:pPr>
      <w:ind w:firstLine="709"/>
      <w:jc w:val="both"/>
    </w:pPr>
    <w:rPr>
      <w:rFonts w:ascii="Peterburg" w:hAnsi="Peterburg"/>
    </w:rPr>
  </w:style>
  <w:style w:type="paragraph" w:styleId="1049">
    <w:name w:val="Body Text"/>
    <w:basedOn w:val="1037"/>
    <w:pPr>
      <w:jc w:val="both"/>
    </w:pPr>
    <w:rPr>
      <w:rFonts w:ascii="Times New Roman CYR" w:hAnsi="Times New Roman CYR" w:cs="Times New Roman CYR"/>
    </w:rPr>
  </w:style>
  <w:style w:type="paragraph" w:styleId="1050" w:customStyle="1">
    <w:name w:val="ConsNormal"/>
    <w:pPr>
      <w:widowControl w:val="off"/>
      <w:ind w:right="19772" w:firstLine="720"/>
    </w:pPr>
    <w:rPr>
      <w:rFonts w:ascii="Arial" w:hAnsi="Arial" w:cs="Arial"/>
    </w:rPr>
  </w:style>
  <w:style w:type="character" w:styleId="1051">
    <w:name w:val="footnote reference"/>
    <w:qFormat/>
    <w:rPr>
      <w:rFonts w:ascii="Times New Roman" w:hAnsi="Times New Roman" w:cs="Times New Roman"/>
      <w:vertAlign w:val="superscript"/>
    </w:rPr>
  </w:style>
  <w:style w:type="paragraph" w:styleId="1052">
    <w:name w:val="Body Text Indent"/>
    <w:basedOn w:val="1037"/>
    <w:pPr>
      <w:jc w:val="both"/>
    </w:pPr>
  </w:style>
  <w:style w:type="paragraph" w:styleId="1053">
    <w:name w:val="Body Text Indent 2"/>
    <w:basedOn w:val="1037"/>
    <w:pPr>
      <w:ind w:firstLine="425"/>
      <w:jc w:val="both"/>
    </w:pPr>
    <w:rPr>
      <w:rFonts w:ascii="Times New Roman CYR" w:hAnsi="Times New Roman CYR" w:cs="Times New Roman CYR"/>
    </w:rPr>
  </w:style>
  <w:style w:type="paragraph" w:styleId="1054">
    <w:name w:val="Body Text 3"/>
    <w:basedOn w:val="1037"/>
    <w:pPr>
      <w:jc w:val="both"/>
    </w:pPr>
  </w:style>
  <w:style w:type="paragraph" w:styleId="1055" w:customStyle="1">
    <w:name w:val="заголовок 4"/>
    <w:basedOn w:val="1037"/>
    <w:next w:val="1037"/>
    <w:pPr>
      <w:keepNext/>
      <w:jc w:val="both"/>
    </w:pPr>
    <w:rPr>
      <w:rFonts w:ascii="Arial" w:hAnsi="Arial" w:cs="Arial"/>
      <w:sz w:val="28"/>
      <w:szCs w:val="28"/>
    </w:rPr>
  </w:style>
  <w:style w:type="paragraph" w:styleId="1056">
    <w:name w:val="Header"/>
    <w:basedOn w:val="1037"/>
    <w:link w:val="1081"/>
    <w:pPr>
      <w:tabs>
        <w:tab w:val="center" w:pos="4677" w:leader="none"/>
        <w:tab w:val="right" w:pos="9355" w:leader="none"/>
      </w:tabs>
    </w:pPr>
  </w:style>
  <w:style w:type="paragraph" w:styleId="1057">
    <w:name w:val="footnote text"/>
    <w:basedOn w:val="1037"/>
    <w:link w:val="1078"/>
    <w:qFormat/>
    <w:rPr>
      <w:sz w:val="20"/>
      <w:szCs w:val="20"/>
    </w:rPr>
  </w:style>
  <w:style w:type="character" w:styleId="1058">
    <w:name w:val="page number"/>
    <w:basedOn w:val="1045"/>
  </w:style>
  <w:style w:type="paragraph" w:styleId="1059">
    <w:name w:val="Footer"/>
    <w:basedOn w:val="1037"/>
    <w:pPr>
      <w:tabs>
        <w:tab w:val="center" w:pos="4844" w:leader="none"/>
        <w:tab w:val="right" w:pos="9689" w:leader="none"/>
      </w:tabs>
    </w:pPr>
  </w:style>
  <w:style w:type="paragraph" w:styleId="1060">
    <w:name w:val="Body Text Indent 3"/>
    <w:basedOn w:val="1037"/>
    <w:pPr>
      <w:spacing w:before="120"/>
      <w:ind w:firstLine="709"/>
      <w:jc w:val="both"/>
    </w:pPr>
    <w:rPr>
      <w:rFonts w:ascii="Times New Roman CYR" w:hAnsi="Times New Roman CYR" w:cs="Times New Roman CYR"/>
      <w:b/>
      <w:bCs/>
    </w:rPr>
  </w:style>
  <w:style w:type="paragraph" w:styleId="1061">
    <w:name w:val="Balloon Text"/>
    <w:basedOn w:val="1037"/>
    <w:semiHidden/>
    <w:rPr>
      <w:rFonts w:ascii="Tahoma" w:hAnsi="Tahoma" w:cs="Tahoma"/>
      <w:sz w:val="16"/>
      <w:szCs w:val="16"/>
    </w:rPr>
  </w:style>
  <w:style w:type="paragraph" w:styleId="1062">
    <w:name w:val="Normal (Web)"/>
    <w:basedOn w:val="1037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1063" w:customStyle="1">
    <w:name w:val="Стиль5"/>
    <w:pPr>
      <w:widowControl w:val="off"/>
    </w:pPr>
    <w:rPr>
      <w:spacing w:val="-1"/>
      <w:position w:val="-1"/>
      <w:lang w:val="en-US"/>
    </w:rPr>
  </w:style>
  <w:style w:type="paragraph" w:styleId="1064">
    <w:name w:val="Body Text 2"/>
    <w:basedOn w:val="1037"/>
    <w:pPr>
      <w:jc w:val="both"/>
    </w:pPr>
    <w:rPr>
      <w:sz w:val="22"/>
    </w:rPr>
  </w:style>
  <w:style w:type="character" w:styleId="1065" w:customStyle="1">
    <w:name w:val="Знак сноски1"/>
    <w:rPr>
      <w:color w:val="000000"/>
      <w:sz w:val="20"/>
      <w:vertAlign w:val="superscript"/>
    </w:rPr>
  </w:style>
  <w:style w:type="paragraph" w:styleId="1066" w:customStyle="1">
    <w:name w:val="Текст сноски A"/>
    <w:rPr>
      <w:rFonts w:eastAsia="ヒラギノ角ゴ Pro W3"/>
      <w:color w:val="000000"/>
    </w:rPr>
  </w:style>
  <w:style w:type="character" w:styleId="1067" w:customStyle="1">
    <w:name w:val="Заголовок 1 Знак"/>
    <w:link w:val="1038"/>
    <w:rPr>
      <w:b/>
      <w:bCs/>
      <w:sz w:val="24"/>
      <w:szCs w:val="24"/>
    </w:rPr>
  </w:style>
  <w:style w:type="paragraph" w:styleId="1068" w:customStyle="1">
    <w:name w:val="ConsPlusNormal"/>
    <w:pPr>
      <w:ind w:firstLine="720"/>
    </w:pPr>
    <w:rPr>
      <w:rFonts w:ascii="Arial" w:hAnsi="Arial" w:cs="Arial"/>
    </w:rPr>
  </w:style>
  <w:style w:type="character" w:styleId="1069" w:customStyle="1">
    <w:name w:val="Заголовок 5 Знак"/>
    <w:link w:val="1041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1070">
    <w:name w:val="annotation reference"/>
    <w:rPr>
      <w:sz w:val="16"/>
      <w:szCs w:val="16"/>
    </w:rPr>
  </w:style>
  <w:style w:type="paragraph" w:styleId="1071">
    <w:name w:val="annotation text"/>
    <w:basedOn w:val="1037"/>
    <w:link w:val="1072"/>
    <w:rPr>
      <w:sz w:val="20"/>
      <w:szCs w:val="20"/>
    </w:rPr>
  </w:style>
  <w:style w:type="character" w:styleId="1072" w:customStyle="1">
    <w:name w:val="Текст примечания Знак"/>
    <w:basedOn w:val="1045"/>
    <w:link w:val="1071"/>
  </w:style>
  <w:style w:type="paragraph" w:styleId="1073">
    <w:name w:val="annotation subject"/>
    <w:basedOn w:val="1071"/>
    <w:next w:val="1071"/>
    <w:link w:val="1074"/>
    <w:rPr>
      <w:b/>
      <w:bCs/>
    </w:rPr>
  </w:style>
  <w:style w:type="character" w:styleId="1074" w:customStyle="1">
    <w:name w:val="Тема примечания Знак"/>
    <w:link w:val="1073"/>
    <w:rPr>
      <w:b/>
      <w:bCs/>
    </w:rPr>
  </w:style>
  <w:style w:type="paragraph" w:styleId="1075">
    <w:name w:val="endnote text"/>
    <w:basedOn w:val="1037"/>
    <w:link w:val="1076"/>
    <w:rPr>
      <w:sz w:val="20"/>
      <w:szCs w:val="20"/>
    </w:rPr>
  </w:style>
  <w:style w:type="character" w:styleId="1076" w:customStyle="1">
    <w:name w:val="Текст концевой сноски Знак"/>
    <w:basedOn w:val="1045"/>
    <w:link w:val="1075"/>
  </w:style>
  <w:style w:type="character" w:styleId="1077">
    <w:name w:val="endnote reference"/>
    <w:rPr>
      <w:vertAlign w:val="superscript"/>
    </w:rPr>
  </w:style>
  <w:style w:type="character" w:styleId="1078" w:customStyle="1">
    <w:name w:val="Текст сноски Знак"/>
    <w:link w:val="1057"/>
    <w:qFormat/>
  </w:style>
  <w:style w:type="table" w:styleId="1079">
    <w:name w:val="Table Grid"/>
    <w:basedOn w:val="104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0">
    <w:name w:val="List Paragraph"/>
    <w:basedOn w:val="1037"/>
    <w:link w:val="1084"/>
    <w:uiPriority w:val="34"/>
    <w:qFormat/>
    <w:pPr>
      <w:ind w:left="720"/>
      <w:contextualSpacing/>
    </w:pPr>
    <w:rPr>
      <w:rFonts w:eastAsia="Calibri"/>
    </w:rPr>
  </w:style>
  <w:style w:type="character" w:styleId="1081" w:customStyle="1">
    <w:name w:val="Верхний колонтитул Знак"/>
    <w:link w:val="1056"/>
    <w:rPr>
      <w:sz w:val="24"/>
      <w:szCs w:val="24"/>
    </w:rPr>
  </w:style>
  <w:style w:type="paragraph" w:styleId="1082">
    <w:name w:val="Revision"/>
    <w:hidden/>
    <w:uiPriority w:val="99"/>
    <w:semiHidden/>
    <w:rPr>
      <w:sz w:val="24"/>
      <w:szCs w:val="24"/>
    </w:rPr>
  </w:style>
  <w:style w:type="paragraph" w:styleId="1083" w:customStyle="1">
    <w:name w:val="заголовок 1"/>
    <w:basedOn w:val="1037"/>
    <w:next w:val="1037"/>
    <w:pPr>
      <w:keepNext/>
      <w:ind w:left="567" w:right="374"/>
      <w:jc w:val="both"/>
      <w:outlineLvl w:val="0"/>
    </w:pPr>
    <w:rPr>
      <w:b/>
      <w:bCs/>
    </w:rPr>
  </w:style>
  <w:style w:type="character" w:styleId="1084" w:customStyle="1">
    <w:name w:val="Абзац списка Знак"/>
    <w:link w:val="1080"/>
    <w:uiPriority w:val="34"/>
    <w:rPr>
      <w:rFonts w:eastAsia="Calibri"/>
      <w:sz w:val="24"/>
      <w:szCs w:val="24"/>
    </w:rPr>
  </w:style>
  <w:style w:type="paragraph" w:styleId="1085" w:customStyle="1">
    <w:name w:val="Обычный1"/>
  </w:style>
  <w:style w:type="character" w:styleId="1086">
    <w:name w:val="Hyperlink"/>
    <w:basedOn w:val="1045"/>
    <w:rPr>
      <w:color w:val="0563c1" w:themeColor="hyperlink"/>
      <w:u w:val="single"/>
    </w:rPr>
  </w:style>
  <w:style w:type="character" w:styleId="1087" w:customStyle="1">
    <w:name w:val="Noeeu1 Знак"/>
    <w:link w:val="1048"/>
    <w:rPr>
      <w:rFonts w:ascii="Peterburg" w:hAnsi="Peterburg"/>
      <w:sz w:val="24"/>
      <w:szCs w:val="24"/>
    </w:rPr>
  </w:style>
  <w:style w:type="paragraph" w:styleId="1088" w:customStyle="1">
    <w:name w:val="       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://www.rshb.ru" TargetMode="External"/><Relationship Id="rId15" Type="http://schemas.openxmlformats.org/officeDocument/2006/relationships/hyperlink" Target="https://www.rshb.ru/natural/support-measur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8444-9CD3-4EE4-8A74-68C01C68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RSHB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Shamin</dc:creator>
  <cp:keywords/>
  <cp:lastModifiedBy>timonov-vp</cp:lastModifiedBy>
  <cp:revision>19</cp:revision>
  <dcterms:created xsi:type="dcterms:W3CDTF">2024-08-19T15:09:00Z</dcterms:created>
  <dcterms:modified xsi:type="dcterms:W3CDTF">2025-12-04T15:47:58Z</dcterms:modified>
</cp:coreProperties>
</file>